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topLinePunct w:val="0"/>
        <w:bidi w:val="0"/>
        <w:spacing w:line="360" w:lineRule="auto"/>
        <w:ind w:left="0" w:leftChars="0" w:right="0" w:rightChars="0"/>
        <w:rPr>
          <w:rFonts w:eastAsia="仿宋_GB2312"/>
          <w:color w:val="auto"/>
          <w:sz w:val="36"/>
          <w:szCs w:val="36"/>
          <w:highlight w:val="none"/>
        </w:rPr>
      </w:pPr>
    </w:p>
    <w:p>
      <w:pPr>
        <w:pageBreakBefore w:val="0"/>
        <w:kinsoku/>
        <w:wordWrap/>
        <w:topLinePunct w:val="0"/>
        <w:bidi w:val="0"/>
        <w:spacing w:line="360" w:lineRule="auto"/>
        <w:ind w:left="0" w:leftChars="0" w:right="0" w:rightChars="0"/>
        <w:rPr>
          <w:rFonts w:eastAsia="仿宋_GB2312"/>
          <w:color w:val="auto"/>
          <w:sz w:val="36"/>
          <w:szCs w:val="36"/>
          <w:highlight w:val="none"/>
        </w:rPr>
      </w:pPr>
    </w:p>
    <w:p>
      <w:pPr>
        <w:pageBreakBefore w:val="0"/>
        <w:kinsoku/>
        <w:wordWrap/>
        <w:topLinePunct w:val="0"/>
        <w:bidi w:val="0"/>
        <w:spacing w:line="360" w:lineRule="auto"/>
        <w:ind w:left="0" w:leftChars="0" w:right="0" w:rightChars="0"/>
        <w:rPr>
          <w:rFonts w:eastAsia="仿宋_GB2312"/>
          <w:color w:val="auto"/>
          <w:sz w:val="36"/>
          <w:szCs w:val="36"/>
          <w:highlight w:val="none"/>
        </w:rPr>
      </w:pPr>
    </w:p>
    <w:p>
      <w:pPr>
        <w:pageBreakBefore w:val="0"/>
        <w:kinsoku/>
        <w:wordWrap/>
        <w:topLinePunct w:val="0"/>
        <w:bidi w:val="0"/>
        <w:spacing w:line="360" w:lineRule="auto"/>
        <w:ind w:left="0" w:leftChars="0" w:right="0" w:rightChars="0"/>
        <w:jc w:val="center"/>
        <w:rPr>
          <w:rFonts w:eastAsia="方正小标宋_GBK"/>
          <w:color w:val="auto"/>
          <w:sz w:val="72"/>
          <w:szCs w:val="72"/>
          <w:highlight w:val="none"/>
        </w:rPr>
      </w:pPr>
      <w:r>
        <w:rPr>
          <w:rFonts w:eastAsia="方正小标宋_GBK"/>
          <w:color w:val="auto"/>
          <w:sz w:val="72"/>
          <w:szCs w:val="72"/>
          <w:highlight w:val="none"/>
        </w:rPr>
        <w:t>建设项目环境影响报告表</w:t>
      </w:r>
    </w:p>
    <w:p>
      <w:pPr>
        <w:pageBreakBefore w:val="0"/>
        <w:kinsoku/>
        <w:wordWrap/>
        <w:topLinePunct w:val="0"/>
        <w:bidi w:val="0"/>
        <w:spacing w:line="360" w:lineRule="auto"/>
        <w:ind w:left="0" w:leftChars="0" w:right="0" w:rightChars="0"/>
        <w:jc w:val="center"/>
        <w:rPr>
          <w:rFonts w:eastAsia="楷体"/>
          <w:color w:val="auto"/>
          <w:sz w:val="48"/>
          <w:szCs w:val="48"/>
          <w:highlight w:val="none"/>
        </w:rPr>
      </w:pPr>
      <w:r>
        <w:rPr>
          <w:rFonts w:eastAsia="楷体"/>
          <w:color w:val="auto"/>
          <w:sz w:val="48"/>
          <w:szCs w:val="48"/>
          <w:highlight w:val="none"/>
        </w:rPr>
        <w:t>（污染影响类）</w:t>
      </w:r>
    </w:p>
    <w:p>
      <w:pPr>
        <w:pageBreakBefore w:val="0"/>
        <w:kinsoku/>
        <w:wordWrap/>
        <w:topLinePunct w:val="0"/>
        <w:bidi w:val="0"/>
        <w:spacing w:line="360" w:lineRule="auto"/>
        <w:ind w:left="0" w:leftChars="0" w:right="0" w:rightChars="0"/>
        <w:jc w:val="center"/>
        <w:rPr>
          <w:rFonts w:eastAsia="楷体"/>
          <w:color w:val="auto"/>
          <w:sz w:val="48"/>
          <w:szCs w:val="48"/>
          <w:highlight w:val="none"/>
        </w:rPr>
      </w:pPr>
      <w:r>
        <w:rPr>
          <w:rFonts w:eastAsia="楷体"/>
          <w:color w:val="auto"/>
          <w:sz w:val="44"/>
          <w:szCs w:val="44"/>
          <w:highlight w:val="none"/>
        </w:rPr>
        <w:t>（送审本）</w:t>
      </w:r>
    </w:p>
    <w:p>
      <w:pPr>
        <w:pageBreakBefore w:val="0"/>
        <w:kinsoku/>
        <w:wordWrap/>
        <w:topLinePunct w:val="0"/>
        <w:bidi w:val="0"/>
        <w:spacing w:line="360" w:lineRule="auto"/>
        <w:ind w:left="0" w:leftChars="0" w:right="0" w:rightChars="0"/>
        <w:rPr>
          <w:rFonts w:eastAsia="仿宋_GB2312"/>
          <w:color w:val="auto"/>
          <w:sz w:val="36"/>
          <w:szCs w:val="36"/>
          <w:highlight w:val="none"/>
        </w:rPr>
      </w:pPr>
    </w:p>
    <w:p>
      <w:pPr>
        <w:pageBreakBefore w:val="0"/>
        <w:kinsoku/>
        <w:wordWrap/>
        <w:topLinePunct w:val="0"/>
        <w:bidi w:val="0"/>
        <w:spacing w:line="360" w:lineRule="auto"/>
        <w:ind w:left="0" w:leftChars="0" w:right="0" w:rightChars="0"/>
        <w:rPr>
          <w:rFonts w:eastAsia="仿宋_GB2312"/>
          <w:color w:val="auto"/>
          <w:sz w:val="36"/>
          <w:szCs w:val="36"/>
          <w:highlight w:val="none"/>
        </w:rPr>
      </w:pPr>
    </w:p>
    <w:p>
      <w:pPr>
        <w:pageBreakBefore w:val="0"/>
        <w:kinsoku/>
        <w:wordWrap/>
        <w:topLinePunct w:val="0"/>
        <w:bidi w:val="0"/>
        <w:spacing w:line="360" w:lineRule="auto"/>
        <w:ind w:left="0" w:leftChars="0" w:right="0" w:rightChars="0"/>
        <w:jc w:val="center"/>
        <w:rPr>
          <w:rFonts w:eastAsia="楷体"/>
          <w:color w:val="auto"/>
          <w:sz w:val="48"/>
          <w:szCs w:val="48"/>
          <w:highlight w:val="none"/>
        </w:rPr>
      </w:pPr>
    </w:p>
    <w:p>
      <w:pPr>
        <w:pageBreakBefore w:val="0"/>
        <w:kinsoku/>
        <w:wordWrap/>
        <w:topLinePunct w:val="0"/>
        <w:bidi w:val="0"/>
        <w:spacing w:line="360" w:lineRule="auto"/>
        <w:ind w:left="0" w:leftChars="0" w:right="0" w:rightChars="0" w:firstLine="1040"/>
        <w:rPr>
          <w:rFonts w:eastAsia="仿宋"/>
          <w:color w:val="auto"/>
          <w:sz w:val="44"/>
          <w:szCs w:val="44"/>
          <w:highlight w:val="none"/>
        </w:rPr>
      </w:pPr>
    </w:p>
    <w:p>
      <w:pPr>
        <w:pageBreakBefore w:val="0"/>
        <w:kinsoku/>
        <w:wordWrap/>
        <w:topLinePunct w:val="0"/>
        <w:bidi w:val="0"/>
        <w:spacing w:line="360" w:lineRule="auto"/>
        <w:ind w:left="0" w:leftChars="0" w:right="0" w:rightChars="0" w:firstLine="1040"/>
        <w:rPr>
          <w:rFonts w:eastAsia="仿宋"/>
          <w:color w:val="auto"/>
          <w:sz w:val="44"/>
          <w:szCs w:val="44"/>
          <w:highlight w:val="none"/>
        </w:rPr>
      </w:pPr>
    </w:p>
    <w:p>
      <w:pPr>
        <w:pageBreakBefore w:val="0"/>
        <w:kinsoku/>
        <w:wordWrap/>
        <w:topLinePunct w:val="0"/>
        <w:bidi w:val="0"/>
        <w:spacing w:line="360" w:lineRule="auto"/>
        <w:ind w:left="0" w:leftChars="0" w:right="0" w:rightChars="0" w:firstLine="1040"/>
        <w:rPr>
          <w:rFonts w:eastAsia="仿宋"/>
          <w:color w:val="auto"/>
          <w:sz w:val="44"/>
          <w:szCs w:val="44"/>
          <w:highlight w:val="none"/>
        </w:rPr>
      </w:pPr>
    </w:p>
    <w:p>
      <w:pPr>
        <w:pageBreakBefore w:val="0"/>
        <w:kinsoku/>
        <w:wordWrap/>
        <w:topLinePunct w:val="0"/>
        <w:bidi w:val="0"/>
        <w:spacing w:line="360" w:lineRule="auto"/>
        <w:ind w:left="0" w:leftChars="0" w:right="0" w:rightChars="0" w:firstLine="1040"/>
        <w:rPr>
          <w:rFonts w:eastAsia="仿宋"/>
          <w:color w:val="auto"/>
          <w:sz w:val="44"/>
          <w:szCs w:val="44"/>
          <w:highlight w:val="none"/>
        </w:rPr>
      </w:pPr>
    </w:p>
    <w:p>
      <w:pPr>
        <w:pageBreakBefore w:val="0"/>
        <w:kinsoku/>
        <w:wordWrap/>
        <w:topLinePunct w:val="0"/>
        <w:bidi w:val="0"/>
        <w:spacing w:line="360" w:lineRule="auto"/>
        <w:ind w:left="0" w:leftChars="0" w:right="0" w:rightChars="0"/>
        <w:rPr>
          <w:rFonts w:eastAsia="仿宋"/>
          <w:color w:val="auto"/>
          <w:sz w:val="36"/>
          <w:szCs w:val="36"/>
          <w:highlight w:val="none"/>
          <w:u w:val="single"/>
        </w:rPr>
      </w:pPr>
      <w:r>
        <w:rPr>
          <w:rFonts w:eastAsia="仿宋"/>
          <w:color w:val="auto"/>
          <w:sz w:val="36"/>
          <w:szCs w:val="36"/>
          <w:highlight w:val="none"/>
        </w:rPr>
        <w:t>项目名称：</w:t>
      </w:r>
      <w:r>
        <w:rPr>
          <w:rFonts w:hint="eastAsia" w:eastAsia="仿宋"/>
          <w:color w:val="auto"/>
          <w:sz w:val="36"/>
          <w:szCs w:val="36"/>
          <w:highlight w:val="none"/>
          <w:u w:val="single"/>
        </w:rPr>
        <w:t xml:space="preserve">   </w:t>
      </w:r>
      <w:r>
        <w:rPr>
          <w:rFonts w:eastAsia="仿宋"/>
          <w:color w:val="auto"/>
          <w:sz w:val="36"/>
          <w:szCs w:val="36"/>
          <w:highlight w:val="none"/>
          <w:u w:val="single"/>
        </w:rPr>
        <w:t>宣汉县南坝镇城市生活污水处理厂</w:t>
      </w:r>
      <w:r>
        <w:rPr>
          <w:rFonts w:hint="eastAsia" w:eastAsia="仿宋"/>
          <w:color w:val="auto"/>
          <w:sz w:val="36"/>
          <w:szCs w:val="36"/>
          <w:highlight w:val="none"/>
          <w:u w:val="single"/>
        </w:rPr>
        <w:t xml:space="preserve">   </w:t>
      </w:r>
    </w:p>
    <w:p>
      <w:pPr>
        <w:pageBreakBefore w:val="0"/>
        <w:kinsoku/>
        <w:wordWrap/>
        <w:topLinePunct w:val="0"/>
        <w:bidi w:val="0"/>
        <w:spacing w:line="360" w:lineRule="auto"/>
        <w:ind w:left="0" w:leftChars="0" w:right="0" w:rightChars="0"/>
        <w:jc w:val="center"/>
        <w:rPr>
          <w:rFonts w:eastAsia="仿宋"/>
          <w:color w:val="auto"/>
          <w:sz w:val="36"/>
          <w:szCs w:val="36"/>
          <w:highlight w:val="none"/>
          <w:u w:val="single"/>
        </w:rPr>
      </w:pPr>
      <w:r>
        <w:rPr>
          <w:rFonts w:hint="eastAsia" w:eastAsia="仿宋"/>
          <w:color w:val="auto"/>
          <w:sz w:val="36"/>
          <w:szCs w:val="36"/>
          <w:highlight w:val="none"/>
          <w:u w:val="single"/>
        </w:rPr>
        <w:t xml:space="preserve">          </w:t>
      </w:r>
      <w:r>
        <w:rPr>
          <w:rFonts w:eastAsia="仿宋"/>
          <w:color w:val="auto"/>
          <w:sz w:val="36"/>
          <w:szCs w:val="36"/>
          <w:highlight w:val="none"/>
          <w:u w:val="single"/>
        </w:rPr>
        <w:t>提标改造及二期工程</w:t>
      </w:r>
      <w:r>
        <w:rPr>
          <w:rFonts w:hint="eastAsia" w:eastAsia="仿宋"/>
          <w:color w:val="auto"/>
          <w:sz w:val="36"/>
          <w:szCs w:val="36"/>
          <w:highlight w:val="none"/>
          <w:u w:val="single"/>
        </w:rPr>
        <w:t xml:space="preserve">         </w:t>
      </w:r>
    </w:p>
    <w:p>
      <w:pPr>
        <w:pageBreakBefore w:val="0"/>
        <w:kinsoku/>
        <w:wordWrap/>
        <w:topLinePunct w:val="0"/>
        <w:bidi w:val="0"/>
        <w:spacing w:line="360" w:lineRule="auto"/>
        <w:ind w:left="0" w:leftChars="0" w:right="0" w:rightChars="0"/>
        <w:rPr>
          <w:rFonts w:eastAsia="仿宋"/>
          <w:color w:val="auto"/>
          <w:sz w:val="36"/>
          <w:szCs w:val="36"/>
          <w:highlight w:val="none"/>
          <w:u w:val="single"/>
        </w:rPr>
      </w:pPr>
      <w:r>
        <w:rPr>
          <w:rFonts w:eastAsia="仿宋"/>
          <w:color w:val="auto"/>
          <w:sz w:val="36"/>
          <w:szCs w:val="36"/>
          <w:highlight w:val="none"/>
        </w:rPr>
        <w:t>建设单位（盖章）：</w:t>
      </w:r>
      <w:r>
        <w:rPr>
          <w:rFonts w:hint="eastAsia" w:eastAsia="仿宋"/>
          <w:color w:val="auto"/>
          <w:sz w:val="36"/>
          <w:szCs w:val="36"/>
          <w:highlight w:val="none"/>
          <w:u w:val="single"/>
        </w:rPr>
        <w:t xml:space="preserve">  </w:t>
      </w:r>
      <w:r>
        <w:rPr>
          <w:rFonts w:eastAsia="仿宋"/>
          <w:color w:val="auto"/>
          <w:sz w:val="36"/>
          <w:szCs w:val="36"/>
          <w:highlight w:val="none"/>
          <w:u w:val="single"/>
        </w:rPr>
        <w:t>四川汉润水务集团有限公司</w:t>
      </w:r>
      <w:r>
        <w:rPr>
          <w:rFonts w:hint="eastAsia" w:eastAsia="仿宋"/>
          <w:color w:val="auto"/>
          <w:sz w:val="36"/>
          <w:szCs w:val="36"/>
          <w:highlight w:val="none"/>
          <w:u w:val="single"/>
        </w:rPr>
        <w:t xml:space="preserve">  </w:t>
      </w:r>
    </w:p>
    <w:p>
      <w:pPr>
        <w:pStyle w:val="22"/>
        <w:pageBreakBefore w:val="0"/>
        <w:kinsoku/>
        <w:wordWrap/>
        <w:topLinePunct w:val="0"/>
        <w:bidi w:val="0"/>
        <w:spacing w:after="0" w:line="360" w:lineRule="auto"/>
        <w:ind w:left="0" w:leftChars="0" w:right="0" w:rightChars="0" w:firstLine="0"/>
        <w:rPr>
          <w:rFonts w:eastAsia="仿宋"/>
          <w:color w:val="auto"/>
          <w:sz w:val="36"/>
          <w:szCs w:val="36"/>
          <w:highlight w:val="none"/>
          <w:u w:val="single"/>
        </w:rPr>
      </w:pPr>
      <w:r>
        <w:rPr>
          <w:rFonts w:eastAsia="仿宋"/>
          <w:color w:val="auto"/>
          <w:sz w:val="36"/>
          <w:szCs w:val="36"/>
          <w:highlight w:val="none"/>
        </w:rPr>
        <w:t>编制日期：</w:t>
      </w:r>
      <w:r>
        <w:rPr>
          <w:rFonts w:hint="eastAsia" w:eastAsia="仿宋"/>
          <w:color w:val="auto"/>
          <w:sz w:val="36"/>
          <w:szCs w:val="36"/>
          <w:highlight w:val="none"/>
          <w:u w:val="single"/>
        </w:rPr>
        <w:t xml:space="preserve">             </w:t>
      </w:r>
      <w:r>
        <w:rPr>
          <w:rFonts w:eastAsia="仿宋"/>
          <w:color w:val="auto"/>
          <w:sz w:val="36"/>
          <w:szCs w:val="36"/>
          <w:highlight w:val="none"/>
          <w:u w:val="single"/>
        </w:rPr>
        <w:t>2023年7月</w:t>
      </w:r>
      <w:r>
        <w:rPr>
          <w:rFonts w:hint="eastAsia" w:eastAsia="仿宋"/>
          <w:color w:val="auto"/>
          <w:sz w:val="36"/>
          <w:szCs w:val="36"/>
          <w:highlight w:val="none"/>
          <w:u w:val="single"/>
        </w:rPr>
        <w:t xml:space="preserve">             </w:t>
      </w:r>
    </w:p>
    <w:p>
      <w:pPr>
        <w:pStyle w:val="22"/>
        <w:pageBreakBefore w:val="0"/>
        <w:kinsoku/>
        <w:wordWrap/>
        <w:topLinePunct w:val="0"/>
        <w:bidi w:val="0"/>
        <w:spacing w:after="0" w:line="360" w:lineRule="auto"/>
        <w:ind w:left="0" w:leftChars="0" w:right="0" w:rightChars="0" w:firstLine="0"/>
        <w:jc w:val="center"/>
        <w:rPr>
          <w:rFonts w:eastAsia="楷体"/>
          <w:color w:val="auto"/>
          <w:sz w:val="36"/>
          <w:szCs w:val="36"/>
          <w:highlight w:val="none"/>
        </w:rPr>
      </w:pPr>
    </w:p>
    <w:p>
      <w:pPr>
        <w:pageBreakBefore w:val="0"/>
        <w:kinsoku/>
        <w:wordWrap/>
        <w:topLinePunct w:val="0"/>
        <w:bidi w:val="0"/>
        <w:spacing w:line="360" w:lineRule="auto"/>
        <w:ind w:left="0" w:leftChars="0" w:right="0" w:rightChars="0"/>
        <w:rPr>
          <w:rFonts w:eastAsia="楷体"/>
          <w:color w:val="auto"/>
          <w:sz w:val="36"/>
          <w:szCs w:val="36"/>
          <w:highlight w:val="none"/>
        </w:rPr>
      </w:pPr>
    </w:p>
    <w:p>
      <w:pPr>
        <w:pStyle w:val="22"/>
        <w:pageBreakBefore w:val="0"/>
        <w:kinsoku/>
        <w:wordWrap/>
        <w:topLinePunct w:val="0"/>
        <w:bidi w:val="0"/>
        <w:spacing w:after="0" w:line="360" w:lineRule="auto"/>
        <w:ind w:left="0" w:leftChars="0" w:right="0" w:rightChars="0"/>
        <w:rPr>
          <w:color w:val="auto"/>
          <w:highlight w:val="none"/>
        </w:rPr>
      </w:pPr>
    </w:p>
    <w:p>
      <w:pPr>
        <w:pStyle w:val="22"/>
        <w:pageBreakBefore w:val="0"/>
        <w:kinsoku/>
        <w:wordWrap/>
        <w:topLinePunct w:val="0"/>
        <w:bidi w:val="0"/>
        <w:spacing w:after="0" w:line="360" w:lineRule="auto"/>
        <w:ind w:left="0" w:leftChars="0" w:right="0" w:rightChars="0" w:firstLine="0"/>
        <w:jc w:val="center"/>
        <w:rPr>
          <w:rFonts w:eastAsia="楷体"/>
          <w:color w:val="auto"/>
          <w:sz w:val="36"/>
          <w:szCs w:val="36"/>
          <w:highlight w:val="none"/>
        </w:rPr>
        <w:sectPr>
          <w:pgSz w:w="11906" w:h="16838"/>
          <w:pgMar w:top="1440" w:right="1800" w:bottom="1440" w:left="1800" w:header="851" w:footer="992" w:gutter="0"/>
          <w:cols w:space="0" w:num="1"/>
          <w:docGrid w:type="lines" w:linePitch="312" w:charSpace="0"/>
        </w:sectPr>
      </w:pPr>
      <w:r>
        <w:rPr>
          <w:rFonts w:eastAsia="楷体"/>
          <w:color w:val="auto"/>
          <w:sz w:val="36"/>
          <w:szCs w:val="36"/>
          <w:highlight w:val="none"/>
        </w:rPr>
        <w:t>中华人民共和国生态环境部</w:t>
      </w:r>
    </w:p>
    <w:p>
      <w:pPr>
        <w:pStyle w:val="34"/>
        <w:pageBreakBefore w:val="0"/>
        <w:kinsoku/>
        <w:wordWrap/>
        <w:topLinePunct w:val="0"/>
        <w:bidi w:val="0"/>
        <w:ind w:left="0" w:leftChars="0" w:right="0" w:rightChars="0"/>
        <w:jc w:val="center"/>
        <w:rPr>
          <w:color w:val="auto"/>
          <w:szCs w:val="24"/>
          <w:highlight w:val="none"/>
        </w:rPr>
      </w:pPr>
      <w:r>
        <w:rPr>
          <w:rFonts w:eastAsia="黑体"/>
          <w:b w:val="0"/>
          <w:color w:val="auto"/>
          <w:sz w:val="30"/>
          <w:szCs w:val="30"/>
          <w:highlight w:val="none"/>
        </w:rPr>
        <w:t>一、建设项目基本情况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841"/>
        <w:gridCol w:w="2028"/>
        <w:gridCol w:w="2216"/>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建设项目名称</w:t>
            </w:r>
          </w:p>
        </w:tc>
        <w:tc>
          <w:tcPr>
            <w:tcW w:w="3822" w:type="pct"/>
            <w:gridSpan w:val="3"/>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宣汉县南坝镇城市生活污水处理厂提标改造及二期工程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项目代码</w:t>
            </w:r>
          </w:p>
        </w:tc>
        <w:tc>
          <w:tcPr>
            <w:tcW w:w="3822" w:type="pct"/>
            <w:gridSpan w:val="3"/>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2304-511722-04-01-543632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建设单位联系人</w:t>
            </w:r>
          </w:p>
        </w:tc>
        <w:tc>
          <w:tcPr>
            <w:tcW w:w="1029" w:type="pct"/>
            <w:vAlign w:val="center"/>
          </w:tcPr>
          <w:p>
            <w:pPr>
              <w:pageBreakBefore w:val="0"/>
              <w:kinsoku/>
              <w:wordWrap/>
              <w:topLinePunct w:val="0"/>
              <w:bidi w:val="0"/>
              <w:spacing w:line="360" w:lineRule="auto"/>
              <w:ind w:left="0" w:leftChars="0" w:right="0" w:rightChars="0"/>
              <w:jc w:val="center"/>
              <w:rPr>
                <w:rFonts w:hint="eastAsia" w:eastAsia="宋体"/>
                <w:color w:val="auto"/>
                <w:sz w:val="24"/>
                <w:szCs w:val="24"/>
                <w:highlight w:val="none"/>
                <w:lang w:eastAsia="zh-CN" w:bidi="ar"/>
              </w:rPr>
            </w:pPr>
            <w:r>
              <w:rPr>
                <w:rFonts w:hint="eastAsia"/>
                <w:color w:val="auto"/>
                <w:sz w:val="24"/>
                <w:szCs w:val="24"/>
                <w:highlight w:val="none"/>
                <w:lang w:val="en-US" w:eastAsia="zh-CN" w:bidi="ar"/>
              </w:rPr>
              <w:t>邓光辉</w:t>
            </w:r>
          </w:p>
        </w:tc>
        <w:tc>
          <w:tcPr>
            <w:tcW w:w="1124"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联系方式</w:t>
            </w:r>
          </w:p>
        </w:tc>
        <w:tc>
          <w:tcPr>
            <w:tcW w:w="1669" w:type="pct"/>
            <w:vAlign w:val="center"/>
          </w:tcPr>
          <w:p>
            <w:pPr>
              <w:pageBreakBefore w:val="0"/>
              <w:kinsoku/>
              <w:wordWrap/>
              <w:topLinePunct w:val="0"/>
              <w:bidi w:val="0"/>
              <w:spacing w:line="360" w:lineRule="auto"/>
              <w:ind w:left="0" w:leftChars="0" w:right="0" w:rightChars="0"/>
              <w:jc w:val="center"/>
              <w:rPr>
                <w:rFonts w:hint="default" w:eastAsia="宋体"/>
                <w:color w:val="auto"/>
                <w:sz w:val="24"/>
                <w:szCs w:val="24"/>
                <w:highlight w:val="none"/>
                <w:lang w:val="en-US" w:eastAsia="zh-CN" w:bidi="ar"/>
              </w:rPr>
            </w:pPr>
            <w:r>
              <w:rPr>
                <w:rFonts w:hint="eastAsia"/>
                <w:color w:val="auto"/>
                <w:sz w:val="24"/>
                <w:szCs w:val="24"/>
                <w:highlight w:val="none"/>
                <w:lang w:val="en-US" w:eastAsia="zh-CN" w:bidi="ar"/>
              </w:rPr>
              <w:t>13981465688</w:t>
            </w:r>
            <w:bookmarkStart w:id="15" w:name="_GoBack"/>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建设地点</w:t>
            </w:r>
          </w:p>
        </w:tc>
        <w:tc>
          <w:tcPr>
            <w:tcW w:w="3822" w:type="pct"/>
            <w:gridSpan w:val="3"/>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四川省达州市宣汉县南坝镇龙驹坝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地理坐标</w:t>
            </w:r>
          </w:p>
        </w:tc>
        <w:tc>
          <w:tcPr>
            <w:tcW w:w="3822" w:type="pct"/>
            <w:gridSpan w:val="3"/>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东经107°58′46.38″，北纬31°22′28.88″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国民经济行业类别</w:t>
            </w:r>
          </w:p>
        </w:tc>
        <w:tc>
          <w:tcPr>
            <w:tcW w:w="102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污水处理及其再生利用（D4620）</w:t>
            </w:r>
          </w:p>
        </w:tc>
        <w:tc>
          <w:tcPr>
            <w:tcW w:w="1124"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建设项目</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行业类别</w:t>
            </w:r>
          </w:p>
        </w:tc>
        <w:tc>
          <w:tcPr>
            <w:tcW w:w="166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四十三、水的生产和供应业</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95.污水处理及其再生利用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建设性质</w:t>
            </w:r>
          </w:p>
        </w:tc>
        <w:tc>
          <w:tcPr>
            <w:tcW w:w="2028" w:type="dxa"/>
            <w:vAlign w:val="center"/>
          </w:tcPr>
          <w:p>
            <w:pPr>
              <w:pageBreakBefore w:val="0"/>
              <w:kinsoku/>
              <w:wordWrap/>
              <w:topLinePunct w:val="0"/>
              <w:bidi w:val="0"/>
              <w:spacing w:line="360" w:lineRule="auto"/>
              <w:ind w:left="0" w:leftChars="0" w:right="0" w:rightChars="0"/>
              <w:rPr>
                <w:color w:val="auto"/>
                <w:sz w:val="24"/>
                <w:szCs w:val="24"/>
                <w:highlight w:val="none"/>
              </w:rPr>
            </w:pPr>
            <w:r>
              <w:rPr>
                <w:color w:val="auto"/>
                <w:sz w:val="24"/>
                <w:szCs w:val="24"/>
                <w:highlight w:val="none"/>
              </w:rPr>
              <w:sym w:font="Wingdings 2" w:char="00A3"/>
            </w:r>
            <w:r>
              <w:rPr>
                <w:color w:val="auto"/>
                <w:sz w:val="24"/>
                <w:szCs w:val="24"/>
                <w:highlight w:val="none"/>
              </w:rPr>
              <w:t>新建（迁建）</w:t>
            </w:r>
          </w:p>
          <w:p>
            <w:pPr>
              <w:pageBreakBefore w:val="0"/>
              <w:kinsoku/>
              <w:wordWrap/>
              <w:topLinePunct w:val="0"/>
              <w:bidi w:val="0"/>
              <w:spacing w:line="360" w:lineRule="auto"/>
              <w:ind w:left="0" w:leftChars="0" w:right="0" w:rightChars="0"/>
              <w:rPr>
                <w:color w:val="auto"/>
                <w:sz w:val="24"/>
                <w:szCs w:val="24"/>
                <w:highlight w:val="none"/>
              </w:rPr>
            </w:pPr>
            <w:r>
              <w:rPr>
                <w:color w:val="auto"/>
                <w:sz w:val="24"/>
                <w:szCs w:val="24"/>
                <w:highlight w:val="none"/>
              </w:rPr>
              <w:sym w:font="Wingdings 2" w:char="00A3"/>
            </w:r>
            <w:r>
              <w:rPr>
                <w:color w:val="auto"/>
                <w:sz w:val="24"/>
                <w:szCs w:val="24"/>
                <w:highlight w:val="none"/>
              </w:rPr>
              <w:t>改建</w:t>
            </w:r>
          </w:p>
          <w:p>
            <w:pPr>
              <w:pageBreakBefore w:val="0"/>
              <w:kinsoku/>
              <w:wordWrap/>
              <w:topLinePunct w:val="0"/>
              <w:bidi w:val="0"/>
              <w:spacing w:line="360" w:lineRule="auto"/>
              <w:ind w:left="0" w:leftChars="0" w:right="0" w:rightChars="0"/>
              <w:rPr>
                <w:color w:val="auto"/>
                <w:sz w:val="24"/>
                <w:szCs w:val="24"/>
                <w:highlight w:val="none"/>
              </w:rPr>
            </w:pPr>
            <w:r>
              <w:rPr>
                <w:color w:val="auto"/>
                <w:sz w:val="24"/>
                <w:szCs w:val="24"/>
                <w:highlight w:val="none"/>
              </w:rPr>
              <w:sym w:font="Wingdings 2" w:char="0052"/>
            </w:r>
            <w:r>
              <w:rPr>
                <w:color w:val="auto"/>
                <w:sz w:val="24"/>
                <w:szCs w:val="24"/>
                <w:highlight w:val="none"/>
              </w:rPr>
              <w:t>扩建</w:t>
            </w:r>
          </w:p>
          <w:p>
            <w:pPr>
              <w:pageBreakBefore w:val="0"/>
              <w:kinsoku/>
              <w:wordWrap/>
              <w:topLinePunct w:val="0"/>
              <w:bidi w:val="0"/>
              <w:spacing w:line="360" w:lineRule="auto"/>
              <w:ind w:left="0" w:leftChars="0" w:right="0" w:rightChars="0"/>
              <w:rPr>
                <w:color w:val="auto"/>
                <w:sz w:val="24"/>
                <w:szCs w:val="24"/>
                <w:highlight w:val="none"/>
                <w:lang w:bidi="ar"/>
              </w:rPr>
            </w:pPr>
            <w:r>
              <w:rPr>
                <w:color w:val="auto"/>
                <w:sz w:val="24"/>
                <w:szCs w:val="24"/>
                <w:highlight w:val="none"/>
              </w:rPr>
              <w:sym w:font="Wingdings 2" w:char="0052"/>
            </w:r>
            <w:r>
              <w:rPr>
                <w:color w:val="auto"/>
                <w:sz w:val="24"/>
                <w:szCs w:val="24"/>
                <w:highlight w:val="none"/>
              </w:rPr>
              <w:t>技术改造</w:t>
            </w:r>
          </w:p>
        </w:tc>
        <w:tc>
          <w:tcPr>
            <w:tcW w:w="2216" w:type="dxa"/>
            <w:vAlign w:val="center"/>
          </w:tcPr>
          <w:p>
            <w:pPr>
              <w:pageBreakBefore w:val="0"/>
              <w:kinsoku/>
              <w:wordWrap/>
              <w:topLinePunct w:val="0"/>
              <w:bidi w:val="0"/>
              <w:spacing w:line="360" w:lineRule="auto"/>
              <w:ind w:left="0" w:leftChars="0" w:right="0" w:rightChars="0"/>
              <w:jc w:val="center"/>
              <w:rPr>
                <w:color w:val="auto"/>
                <w:sz w:val="24"/>
                <w:szCs w:val="24"/>
                <w:highlight w:val="none"/>
              </w:rPr>
            </w:pPr>
            <w:r>
              <w:rPr>
                <w:color w:val="auto"/>
                <w:sz w:val="24"/>
                <w:szCs w:val="24"/>
                <w:highlight w:val="none"/>
              </w:rPr>
              <w:t>建设项目</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rPr>
              <w:t>申报情形</w:t>
            </w:r>
          </w:p>
        </w:tc>
        <w:tc>
          <w:tcPr>
            <w:tcW w:w="3290" w:type="dxa"/>
            <w:vAlign w:val="center"/>
          </w:tcPr>
          <w:p>
            <w:pPr>
              <w:pageBreakBefore w:val="0"/>
              <w:kinsoku/>
              <w:wordWrap/>
              <w:topLinePunct w:val="0"/>
              <w:bidi w:val="0"/>
              <w:spacing w:line="360" w:lineRule="auto"/>
              <w:ind w:left="0" w:leftChars="0" w:right="0" w:rightChars="0"/>
              <w:rPr>
                <w:color w:val="auto"/>
                <w:sz w:val="24"/>
                <w:szCs w:val="24"/>
                <w:highlight w:val="none"/>
              </w:rPr>
            </w:pPr>
            <w:r>
              <w:rPr>
                <w:color w:val="auto"/>
                <w:sz w:val="24"/>
                <w:szCs w:val="24"/>
                <w:highlight w:val="none"/>
              </w:rPr>
              <w:sym w:font="Wingdings 2" w:char="0052"/>
            </w:r>
            <w:r>
              <w:rPr>
                <w:color w:val="auto"/>
                <w:sz w:val="24"/>
                <w:szCs w:val="24"/>
                <w:highlight w:val="none"/>
              </w:rPr>
              <w:t>首次申报项目</w:t>
            </w:r>
          </w:p>
          <w:p>
            <w:pPr>
              <w:pageBreakBefore w:val="0"/>
              <w:kinsoku/>
              <w:wordWrap/>
              <w:topLinePunct w:val="0"/>
              <w:bidi w:val="0"/>
              <w:spacing w:line="360" w:lineRule="auto"/>
              <w:ind w:left="0" w:leftChars="0" w:right="0" w:rightChars="0"/>
              <w:rPr>
                <w:color w:val="auto"/>
                <w:sz w:val="24"/>
                <w:szCs w:val="24"/>
                <w:highlight w:val="none"/>
              </w:rPr>
            </w:pPr>
            <w:r>
              <w:rPr>
                <w:color w:val="auto"/>
                <w:sz w:val="24"/>
                <w:szCs w:val="24"/>
                <w:highlight w:val="none"/>
              </w:rPr>
              <w:sym w:font="Wingdings 2" w:char="00A3"/>
            </w:r>
            <w:r>
              <w:rPr>
                <w:color w:val="auto"/>
                <w:sz w:val="24"/>
                <w:szCs w:val="24"/>
                <w:highlight w:val="none"/>
              </w:rPr>
              <w:t>不予批准后再次申报项目</w:t>
            </w:r>
          </w:p>
          <w:p>
            <w:pPr>
              <w:pageBreakBefore w:val="0"/>
              <w:kinsoku/>
              <w:wordWrap/>
              <w:topLinePunct w:val="0"/>
              <w:bidi w:val="0"/>
              <w:spacing w:line="360" w:lineRule="auto"/>
              <w:ind w:left="0" w:leftChars="0" w:right="0" w:rightChars="0"/>
              <w:rPr>
                <w:color w:val="auto"/>
                <w:sz w:val="24"/>
                <w:szCs w:val="24"/>
                <w:highlight w:val="none"/>
              </w:rPr>
            </w:pPr>
            <w:r>
              <w:rPr>
                <w:color w:val="auto"/>
                <w:sz w:val="24"/>
                <w:szCs w:val="24"/>
                <w:highlight w:val="none"/>
              </w:rPr>
              <w:sym w:font="Wingdings 2" w:char="00A3"/>
            </w:r>
            <w:r>
              <w:rPr>
                <w:color w:val="auto"/>
                <w:sz w:val="24"/>
                <w:szCs w:val="24"/>
                <w:highlight w:val="none"/>
              </w:rPr>
              <w:t>超五年重新审核项目</w:t>
            </w:r>
          </w:p>
          <w:p>
            <w:pPr>
              <w:pageBreakBefore w:val="0"/>
              <w:kinsoku/>
              <w:wordWrap/>
              <w:topLinePunct w:val="0"/>
              <w:bidi w:val="0"/>
              <w:spacing w:line="360" w:lineRule="auto"/>
              <w:ind w:left="0" w:leftChars="0" w:right="0" w:rightChars="0"/>
              <w:rPr>
                <w:color w:val="auto"/>
                <w:sz w:val="24"/>
                <w:szCs w:val="24"/>
                <w:highlight w:val="none"/>
                <w:lang w:bidi="ar"/>
              </w:rPr>
            </w:pPr>
            <w:r>
              <w:rPr>
                <w:color w:val="auto"/>
                <w:sz w:val="24"/>
                <w:szCs w:val="24"/>
                <w:highlight w:val="none"/>
              </w:rPr>
              <w:sym w:font="Wingdings 2" w:char="00A3"/>
            </w:r>
            <w:r>
              <w:rPr>
                <w:color w:val="auto"/>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项目审批（核准/备案）部门（选填）</w:t>
            </w:r>
          </w:p>
        </w:tc>
        <w:tc>
          <w:tcPr>
            <w:tcW w:w="102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宣汉县发展和改革局</w:t>
            </w:r>
          </w:p>
        </w:tc>
        <w:tc>
          <w:tcPr>
            <w:tcW w:w="1124"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项目审批（核准/备案）文号（选填）</w:t>
            </w:r>
          </w:p>
        </w:tc>
        <w:tc>
          <w:tcPr>
            <w:tcW w:w="166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宣发改审〔2023〕122号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总投资（万元）</w:t>
            </w:r>
          </w:p>
        </w:tc>
        <w:tc>
          <w:tcPr>
            <w:tcW w:w="102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7402.21</w:t>
            </w:r>
          </w:p>
        </w:tc>
        <w:tc>
          <w:tcPr>
            <w:tcW w:w="1124"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环保投资（万元）</w:t>
            </w:r>
          </w:p>
        </w:tc>
        <w:tc>
          <w:tcPr>
            <w:tcW w:w="166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kern w:val="2"/>
                <w:sz w:val="24"/>
                <w:szCs w:val="32"/>
                <w:highlight w:val="none"/>
                <w:lang w:bidi="ar"/>
              </w:rPr>
              <w:t>13</w:t>
            </w:r>
            <w:r>
              <w:rPr>
                <w:rFonts w:hint="eastAsia"/>
                <w:color w:val="auto"/>
                <w:kern w:val="2"/>
                <w:sz w:val="24"/>
                <w:szCs w:val="32"/>
                <w:highlight w:val="none"/>
                <w:lang w:val="en-US" w:eastAsia="zh-CN" w:bidi="ar"/>
              </w:rPr>
              <w:t>7</w:t>
            </w:r>
            <w:r>
              <w:rPr>
                <w:color w:val="auto"/>
                <w:kern w:val="2"/>
                <w:sz w:val="24"/>
                <w:szCs w:val="32"/>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环保投资占比（%）</w:t>
            </w:r>
          </w:p>
        </w:tc>
        <w:tc>
          <w:tcPr>
            <w:tcW w:w="1029" w:type="pct"/>
            <w:vAlign w:val="center"/>
          </w:tcPr>
          <w:p>
            <w:pPr>
              <w:pageBreakBefore w:val="0"/>
              <w:kinsoku/>
              <w:wordWrap/>
              <w:topLinePunct w:val="0"/>
              <w:bidi w:val="0"/>
              <w:spacing w:line="360" w:lineRule="auto"/>
              <w:ind w:left="0" w:leftChars="0" w:right="0" w:rightChars="0"/>
              <w:jc w:val="center"/>
              <w:rPr>
                <w:rFonts w:hint="default" w:eastAsia="宋体"/>
                <w:color w:val="auto"/>
                <w:sz w:val="24"/>
                <w:szCs w:val="24"/>
                <w:highlight w:val="none"/>
                <w:lang w:val="en-US" w:eastAsia="zh-CN" w:bidi="ar"/>
              </w:rPr>
            </w:pPr>
            <w:r>
              <w:rPr>
                <w:color w:val="auto"/>
                <w:sz w:val="24"/>
                <w:szCs w:val="24"/>
                <w:highlight w:val="none"/>
                <w:lang w:bidi="ar"/>
              </w:rPr>
              <w:t>1.</w:t>
            </w:r>
            <w:r>
              <w:rPr>
                <w:rFonts w:hint="eastAsia"/>
                <w:color w:val="auto"/>
                <w:sz w:val="24"/>
                <w:szCs w:val="24"/>
                <w:highlight w:val="none"/>
                <w:lang w:val="en-US" w:eastAsia="zh-CN" w:bidi="ar"/>
              </w:rPr>
              <w:t>85</w:t>
            </w:r>
          </w:p>
        </w:tc>
        <w:tc>
          <w:tcPr>
            <w:tcW w:w="1124"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施工工期</w:t>
            </w:r>
          </w:p>
        </w:tc>
        <w:tc>
          <w:tcPr>
            <w:tcW w:w="1669"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dxa"/>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是否开工建设</w:t>
            </w:r>
          </w:p>
        </w:tc>
        <w:tc>
          <w:tcPr>
            <w:tcW w:w="2028" w:type="dxa"/>
            <w:vAlign w:val="center"/>
          </w:tcPr>
          <w:p>
            <w:pPr>
              <w:pageBreakBefore w:val="0"/>
              <w:kinsoku/>
              <w:wordWrap/>
              <w:topLinePunct w:val="0"/>
              <w:bidi w:val="0"/>
              <w:spacing w:line="360" w:lineRule="auto"/>
              <w:ind w:left="0" w:leftChars="0" w:right="0" w:rightChars="0"/>
              <w:jc w:val="left"/>
              <w:rPr>
                <w:color w:val="auto"/>
                <w:sz w:val="24"/>
                <w:szCs w:val="24"/>
                <w:highlight w:val="none"/>
                <w:lang w:bidi="ar"/>
              </w:rPr>
            </w:pPr>
            <w:r>
              <w:rPr>
                <w:color w:val="auto"/>
                <w:sz w:val="24"/>
                <w:szCs w:val="24"/>
                <w:highlight w:val="none"/>
              </w:rPr>
              <w:sym w:font="Wingdings 2" w:char="0052"/>
            </w:r>
            <w:r>
              <w:rPr>
                <w:color w:val="auto"/>
                <w:sz w:val="24"/>
                <w:szCs w:val="24"/>
                <w:highlight w:val="none"/>
                <w:lang w:bidi="ar"/>
              </w:rPr>
              <w:t>否</w:t>
            </w:r>
          </w:p>
          <w:p>
            <w:pPr>
              <w:pageBreakBefore w:val="0"/>
              <w:kinsoku/>
              <w:wordWrap/>
              <w:topLinePunct w:val="0"/>
              <w:bidi w:val="0"/>
              <w:spacing w:line="360" w:lineRule="auto"/>
              <w:ind w:left="0" w:leftChars="0" w:right="0" w:rightChars="0"/>
              <w:jc w:val="left"/>
              <w:rPr>
                <w:color w:val="auto"/>
                <w:sz w:val="24"/>
                <w:szCs w:val="24"/>
                <w:highlight w:val="none"/>
                <w:lang w:bidi="ar"/>
              </w:rPr>
            </w:pPr>
            <w:r>
              <w:rPr>
                <w:color w:val="auto"/>
                <w:sz w:val="24"/>
                <w:szCs w:val="24"/>
                <w:highlight w:val="none"/>
              </w:rPr>
              <w:sym w:font="Wingdings 2" w:char="00A3"/>
            </w:r>
            <w:r>
              <w:rPr>
                <w:color w:val="auto"/>
                <w:sz w:val="24"/>
                <w:szCs w:val="24"/>
                <w:highlight w:val="none"/>
                <w:lang w:bidi="ar"/>
              </w:rPr>
              <w:t>是：</w:t>
            </w:r>
            <w:r>
              <w:rPr>
                <w:color w:val="auto"/>
                <w:sz w:val="24"/>
                <w:szCs w:val="24"/>
                <w:highlight w:val="none"/>
                <w:u w:val="single"/>
                <w:lang w:bidi="ar"/>
              </w:rPr>
              <w:t xml:space="preserve">       </w:t>
            </w:r>
          </w:p>
        </w:tc>
        <w:tc>
          <w:tcPr>
            <w:tcW w:w="1124"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用地（用海）面积（m</w:t>
            </w:r>
            <w:r>
              <w:rPr>
                <w:color w:val="auto"/>
                <w:sz w:val="24"/>
                <w:szCs w:val="24"/>
                <w:highlight w:val="none"/>
                <w:vertAlign w:val="superscript"/>
                <w:lang w:bidi="ar"/>
              </w:rPr>
              <w:t>2</w:t>
            </w:r>
            <w:r>
              <w:rPr>
                <w:color w:val="auto"/>
                <w:sz w:val="24"/>
                <w:szCs w:val="24"/>
                <w:highlight w:val="none"/>
                <w:lang w:bidi="ar"/>
              </w:rPr>
              <w:t>）</w:t>
            </w:r>
          </w:p>
        </w:tc>
        <w:tc>
          <w:tcPr>
            <w:tcW w:w="1669" w:type="pct"/>
            <w:vAlign w:val="center"/>
          </w:tcPr>
          <w:p>
            <w:pPr>
              <w:pageBreakBefore w:val="0"/>
              <w:kinsoku/>
              <w:wordWrap/>
              <w:topLinePunct w:val="0"/>
              <w:bidi w:val="0"/>
              <w:spacing w:line="360" w:lineRule="auto"/>
              <w:ind w:left="0" w:leftChars="0" w:right="0" w:rightChars="0"/>
              <w:jc w:val="center"/>
              <w:rPr>
                <w:rFonts w:hint="eastAsia" w:eastAsia="宋体"/>
                <w:color w:val="auto"/>
                <w:sz w:val="24"/>
                <w:szCs w:val="24"/>
                <w:highlight w:val="none"/>
                <w:lang w:eastAsia="zh-CN" w:bidi="ar"/>
              </w:rPr>
            </w:pPr>
            <w:r>
              <w:rPr>
                <w:rFonts w:hint="eastAsia"/>
                <w:color w:val="auto"/>
                <w:sz w:val="24"/>
                <w:szCs w:val="24"/>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专项评价设置情况</w:t>
            </w:r>
          </w:p>
        </w:tc>
        <w:tc>
          <w:tcPr>
            <w:tcW w:w="3822" w:type="pct"/>
            <w:gridSpan w:val="3"/>
            <w:vAlign w:val="center"/>
          </w:tcPr>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lang w:bidi="ar"/>
              </w:rPr>
              <w:t>根据《建设项目环境影响报告表编制技术指南污染影响类（试行）》，本项目专项评价设置情况见下表：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lang w:bidi="ar"/>
              </w:rPr>
              <w:t>表1-1</w:t>
            </w:r>
            <w:r>
              <w:rPr>
                <w:rFonts w:hint="eastAsia" w:eastAsia="黑体"/>
                <w:color w:val="auto"/>
                <w:highlight w:val="none"/>
                <w:lang w:bidi="ar"/>
              </w:rPr>
              <w:t xml:space="preserve"> </w:t>
            </w:r>
            <w:r>
              <w:rPr>
                <w:rFonts w:eastAsia="黑体"/>
                <w:color w:val="auto"/>
                <w:highlight w:val="none"/>
                <w:lang w:bidi="ar"/>
              </w:rPr>
              <w:t>专项评价设置表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3235"/>
              <w:gridCol w:w="2581"/>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专项评价类别</w:t>
                  </w: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设置原则</w:t>
                  </w:r>
                </w:p>
              </w:tc>
              <w:tc>
                <w:tcPr>
                  <w:tcW w:w="17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本项目情况</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是否专项评价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大气</w:t>
                  </w: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排放废气含有有毒有害物、二噁英、苯并[a]芘、氰化物、氯气且厂界外500米范围内有环境空气保护目标的建设项目</w:t>
                  </w:r>
                </w:p>
              </w:tc>
              <w:tc>
                <w:tcPr>
                  <w:tcW w:w="17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排放废气不涉及列入《有毒有害大气污染物名录（2018年）》中的有毒有害物质。</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地表水</w:t>
                  </w: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lang w:bidi="ar"/>
                    </w:rPr>
                  </w:pPr>
                  <w:r>
                    <w:rPr>
                      <w:color w:val="auto"/>
                      <w:highlight w:val="none"/>
                      <w:lang w:bidi="ar"/>
                    </w:rPr>
                    <w:t>新增工业废水直排建设项目（槽罐车外送污水处理厂的除外）</w:t>
                  </w:r>
                </w:p>
              </w:tc>
              <w:tc>
                <w:tcPr>
                  <w:tcW w:w="17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lang w:bidi="ar"/>
                    </w:rPr>
                  </w:pPr>
                  <w:r>
                    <w:rPr>
                      <w:color w:val="auto"/>
                      <w:highlight w:val="none"/>
                      <w:lang w:bidi="ar"/>
                    </w:rPr>
                    <w:t>本项目属于新增废水直接排放的污水集中处理厂。</w:t>
                  </w:r>
                </w:p>
              </w:tc>
              <w:tc>
                <w:tcPr>
                  <w:tcW w:w="5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b/>
                      <w:bCs/>
                      <w:color w:val="auto"/>
                      <w:highlight w:val="none"/>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sz w:val="20"/>
                      <w:szCs w:val="20"/>
                      <w:highlight w:val="none"/>
                    </w:rPr>
                  </w:pP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新增废水直接排放的污水集中处理厂</w:t>
                  </w:r>
                </w:p>
              </w:tc>
              <w:tc>
                <w:tcPr>
                  <w:tcW w:w="176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sz w:val="20"/>
                      <w:szCs w:val="20"/>
                      <w:highlight w:val="none"/>
                    </w:rPr>
                  </w:pPr>
                </w:p>
              </w:tc>
              <w:tc>
                <w:tcPr>
                  <w:tcW w:w="5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环境风险</w:t>
                  </w: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有毒有害和易燃易爆危险物质存储量超过临界量的建设项目</w:t>
                  </w:r>
                </w:p>
              </w:tc>
              <w:tc>
                <w:tcPr>
                  <w:tcW w:w="17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本项目Q=0.001515＜1，环境风险潜势为I。</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生态</w:t>
                  </w: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取水口下游500米范围内有重要水生生物的自然产卵场、索饵场、越冬场和洄游通道的新增河道取水的污染类建设项目</w:t>
                  </w:r>
                </w:p>
              </w:tc>
              <w:tc>
                <w:tcPr>
                  <w:tcW w:w="17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本项目取水口下游500米范围内无重要水生生物的自然产卵场、索饵场、越冬场和洄游通道。</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海洋</w:t>
                  </w:r>
                </w:p>
              </w:tc>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直接向海排放污染物的海洋工程建设项目</w:t>
                  </w:r>
                </w:p>
              </w:tc>
              <w:tc>
                <w:tcPr>
                  <w:tcW w:w="176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lang w:bidi="ar"/>
                    </w:rPr>
                    <w:t>不涉及。</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否</w:t>
                  </w:r>
                </w:p>
              </w:tc>
            </w:tr>
          </w:tbl>
          <w:p>
            <w:pPr>
              <w:pageBreakBefore w:val="0"/>
              <w:widowControl/>
              <w:kinsoku/>
              <w:wordWrap/>
              <w:topLinePunct w:val="0"/>
              <w:bidi w:val="0"/>
              <w:spacing w:line="360" w:lineRule="auto"/>
              <w:ind w:left="0" w:leftChars="0" w:right="0" w:rightChars="0" w:firstLine="482" w:firstLineChars="200"/>
              <w:jc w:val="left"/>
              <w:rPr>
                <w:color w:val="auto"/>
                <w:sz w:val="24"/>
                <w:szCs w:val="24"/>
                <w:highlight w:val="none"/>
                <w:lang w:bidi="ar"/>
              </w:rPr>
            </w:pPr>
            <w:r>
              <w:rPr>
                <w:b/>
                <w:bCs/>
                <w:color w:val="auto"/>
                <w:sz w:val="24"/>
                <w:szCs w:val="24"/>
                <w:highlight w:val="none"/>
                <w:lang w:bidi="ar"/>
              </w:rPr>
              <w:t>因此，本项目需开展地表水专项评价工作。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规划情况</w:t>
            </w:r>
          </w:p>
        </w:tc>
        <w:tc>
          <w:tcPr>
            <w:tcW w:w="3822" w:type="pct"/>
            <w:gridSpan w:val="3"/>
            <w:vAlign w:val="center"/>
          </w:tcPr>
          <w:p>
            <w:pPr>
              <w:pageBreakBefore w:val="0"/>
              <w:tabs>
                <w:tab w:val="left" w:pos="417"/>
              </w:tabs>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规划环境影响评价情况</w:t>
            </w:r>
          </w:p>
        </w:tc>
        <w:tc>
          <w:tcPr>
            <w:tcW w:w="3822" w:type="pct"/>
            <w:gridSpan w:val="3"/>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7" w:type="pct"/>
            <w:gridSpan w:val="2"/>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规划及规划环境影响评价符合性分析</w:t>
            </w:r>
          </w:p>
        </w:tc>
        <w:tc>
          <w:tcPr>
            <w:tcW w:w="3822" w:type="pct"/>
            <w:gridSpan w:val="3"/>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其他符合性分析</w:t>
            </w:r>
          </w:p>
        </w:tc>
        <w:tc>
          <w:tcPr>
            <w:tcW w:w="4756" w:type="pct"/>
            <w:gridSpan w:val="4"/>
            <w:vAlign w:val="center"/>
          </w:tcPr>
          <w:p>
            <w:pPr>
              <w:pageBreakBefore w:val="0"/>
              <w:kinsoku/>
              <w:wordWrap/>
              <w:topLinePunct w:val="0"/>
              <w:bidi w:val="0"/>
              <w:spacing w:line="360" w:lineRule="auto"/>
              <w:ind w:left="0" w:leftChars="0" w:right="0" w:rightChars="0" w:firstLine="482" w:firstLineChars="200"/>
              <w:jc w:val="left"/>
              <w:rPr>
                <w:b/>
                <w:bCs/>
                <w:color w:val="auto"/>
                <w:sz w:val="24"/>
                <w:szCs w:val="32"/>
                <w:highlight w:val="none"/>
                <w:lang w:bidi="ar"/>
              </w:rPr>
            </w:pPr>
            <w:r>
              <w:rPr>
                <w:b/>
                <w:bCs/>
                <w:color w:val="auto"/>
                <w:sz w:val="24"/>
                <w:szCs w:val="32"/>
                <w:highlight w:val="none"/>
                <w:lang w:bidi="ar"/>
              </w:rPr>
              <w:t>一、与南坝镇总体规划的符合性分析</w:t>
            </w:r>
          </w:p>
          <w:p>
            <w:pPr>
              <w:pageBreakBefore w:val="0"/>
              <w:kinsoku/>
              <w:wordWrap/>
              <w:topLinePunct w:val="0"/>
              <w:bidi w:val="0"/>
              <w:spacing w:line="360" w:lineRule="auto"/>
              <w:ind w:left="0" w:leftChars="0" w:right="0" w:rightChars="0" w:firstLine="480" w:firstLineChars="200"/>
              <w:jc w:val="left"/>
              <w:rPr>
                <w:color w:val="auto"/>
                <w:sz w:val="24"/>
                <w:szCs w:val="32"/>
                <w:highlight w:val="none"/>
                <w:lang w:bidi="ar"/>
              </w:rPr>
            </w:pPr>
            <w:r>
              <w:rPr>
                <w:color w:val="auto"/>
                <w:sz w:val="24"/>
                <w:szCs w:val="32"/>
                <w:highlight w:val="none"/>
                <w:lang w:bidi="ar"/>
              </w:rPr>
              <w:t>根据《南坝镇城市总体规划》（2010—2030年）中的污水工程规划目标：镇区内生活污水、生活废水均要求达标排放。在污水处理厂建成前，居民生活污水可作无害化处理，达标排放；工业生产废水需自行处理达国家相应排放标准后排入前河。待规划的污水处理厂建成投产后，生活污水、生产废水全部纳入污水处理厂，经二级生化处理达《城镇污水处理厂污染物排放标准》（GB18918-2002）一级B标准后，排入前河。工业生产污水须自行处理达到国家《污水排入城市下水道水质标准》（CJ3082-1999）后方可排入市政污水管网系统。</w:t>
            </w:r>
          </w:p>
          <w:p>
            <w:pPr>
              <w:pageBreakBefore w:val="0"/>
              <w:kinsoku/>
              <w:wordWrap/>
              <w:topLinePunct w:val="0"/>
              <w:bidi w:val="0"/>
              <w:spacing w:line="360" w:lineRule="auto"/>
              <w:ind w:left="0" w:leftChars="0" w:right="0" w:rightChars="0" w:firstLine="480" w:firstLineChars="200"/>
              <w:jc w:val="left"/>
              <w:rPr>
                <w:color w:val="auto"/>
                <w:sz w:val="24"/>
                <w:szCs w:val="32"/>
                <w:highlight w:val="none"/>
                <w:lang w:bidi="ar"/>
              </w:rPr>
            </w:pPr>
            <w:r>
              <w:rPr>
                <w:color w:val="auto"/>
                <w:sz w:val="24"/>
                <w:szCs w:val="32"/>
                <w:highlight w:val="none"/>
                <w:lang w:bidi="ar"/>
              </w:rPr>
              <w:t>按南坝镇自然地形，以前河为分界线，污水分为南、北两大排水区域。本项目已建一期工程主要收集南坝场镇南地区的生活污水，不涉及工业废水的处理，处理后的生活污水达《城镇污水处理厂污染物排放标准》（GB18918-2002）一级B标准后，排入前河；本次拟对一期工程进行提标改造，同时建设二期工程，改扩建完成后，将收集南坝场镇南、北两大排水区域的生活污水和南坝工业园区工业废水，经二级生化处理达《城镇污水处理厂污染物排放标准》（GB18918-2002）一级A标准后，排入前河。（注：项目改扩建完成前，工业废水自行处理达国家相应排放标准后排入前河。）</w:t>
            </w:r>
          </w:p>
          <w:p>
            <w:pPr>
              <w:pageBreakBefore w:val="0"/>
              <w:kinsoku/>
              <w:wordWrap/>
              <w:topLinePunct w:val="0"/>
              <w:bidi w:val="0"/>
              <w:spacing w:line="360" w:lineRule="auto"/>
              <w:ind w:left="0" w:leftChars="0" w:right="0" w:rightChars="0" w:firstLine="480" w:firstLineChars="200"/>
              <w:jc w:val="left"/>
              <w:rPr>
                <w:color w:val="auto"/>
                <w:sz w:val="24"/>
                <w:szCs w:val="32"/>
                <w:highlight w:val="none"/>
                <w:lang w:bidi="ar"/>
              </w:rPr>
            </w:pPr>
            <w:r>
              <w:rPr>
                <w:color w:val="auto"/>
                <w:sz w:val="24"/>
                <w:szCs w:val="32"/>
                <w:highlight w:val="none"/>
                <w:lang w:bidi="ar"/>
              </w:rPr>
              <w:t>因此，本项目的建设符合《南坝镇城市总体规划》。</w:t>
            </w:r>
          </w:p>
          <w:p>
            <w:pPr>
              <w:pageBreakBefore w:val="0"/>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lang w:bidi="ar"/>
              </w:rPr>
              <w:t>二、产业政策符合性分析</w:t>
            </w:r>
          </w:p>
          <w:p>
            <w:pPr>
              <w:pageBreakBefore w:val="0"/>
              <w:kinsoku/>
              <w:wordWrap/>
              <w:topLinePunct w:val="0"/>
              <w:bidi w:val="0"/>
              <w:spacing w:line="360" w:lineRule="auto"/>
              <w:ind w:left="0" w:leftChars="0" w:right="0" w:rightChars="0" w:firstLine="480" w:firstLineChars="200"/>
              <w:jc w:val="left"/>
              <w:rPr>
                <w:color w:val="auto"/>
                <w:sz w:val="24"/>
                <w:szCs w:val="32"/>
                <w:highlight w:val="none"/>
                <w:lang w:bidi="ar"/>
              </w:rPr>
            </w:pPr>
            <w:r>
              <w:rPr>
                <w:color w:val="auto"/>
                <w:sz w:val="24"/>
                <w:szCs w:val="32"/>
                <w:highlight w:val="none"/>
                <w:lang w:bidi="ar"/>
              </w:rPr>
              <w:t>根据《国民经济行业分类》（GB/T4754-2017）可知，本项目属于“污水处理及再生利用（D4620）”。根据中华人民共和国国家发展和改革委员会令第29号《产业结构调整指导目录（2019年本）》</w:t>
            </w:r>
            <w:r>
              <w:rPr>
                <w:rFonts w:hint="eastAsia"/>
                <w:color w:val="auto"/>
                <w:sz w:val="24"/>
                <w:szCs w:val="32"/>
                <w:highlight w:val="none"/>
                <w:lang w:eastAsia="zh-CN" w:bidi="ar"/>
              </w:rPr>
              <w:t>（</w:t>
            </w:r>
            <w:r>
              <w:rPr>
                <w:rFonts w:hint="eastAsia"/>
                <w:color w:val="auto"/>
                <w:sz w:val="24"/>
                <w:szCs w:val="32"/>
                <w:highlight w:val="none"/>
                <w:lang w:val="en-US" w:eastAsia="zh-CN" w:bidi="ar"/>
              </w:rPr>
              <w:t>2021年修订</w:t>
            </w:r>
            <w:r>
              <w:rPr>
                <w:rFonts w:hint="eastAsia"/>
                <w:color w:val="auto"/>
                <w:sz w:val="24"/>
                <w:szCs w:val="32"/>
                <w:highlight w:val="none"/>
                <w:lang w:eastAsia="zh-CN" w:bidi="ar"/>
              </w:rPr>
              <w:t>）</w:t>
            </w:r>
            <w:r>
              <w:rPr>
                <w:color w:val="auto"/>
                <w:sz w:val="24"/>
                <w:szCs w:val="32"/>
                <w:highlight w:val="none"/>
                <w:lang w:bidi="ar"/>
              </w:rPr>
              <w:t>，本项目属于第一类“鼓励类”第四十三条“环境保护与资源节约综合利用”第15款“三废”综合利用与治理技术、装备和工程，因此本项目为鼓励类。</w:t>
            </w:r>
          </w:p>
          <w:p>
            <w:pPr>
              <w:pageBreakBefore w:val="0"/>
              <w:kinsoku/>
              <w:wordWrap/>
              <w:topLinePunct w:val="0"/>
              <w:bidi w:val="0"/>
              <w:spacing w:line="360" w:lineRule="auto"/>
              <w:ind w:left="0" w:leftChars="0" w:right="0" w:rightChars="0" w:firstLine="480" w:firstLineChars="200"/>
              <w:jc w:val="left"/>
              <w:rPr>
                <w:color w:val="auto"/>
                <w:sz w:val="24"/>
                <w:szCs w:val="32"/>
                <w:highlight w:val="none"/>
                <w:lang w:bidi="ar"/>
              </w:rPr>
            </w:pPr>
            <w:r>
              <w:rPr>
                <w:color w:val="auto"/>
                <w:sz w:val="24"/>
                <w:szCs w:val="32"/>
                <w:highlight w:val="none"/>
                <w:lang w:bidi="ar"/>
              </w:rPr>
              <w:t>项目于2023年4月11日取得</w:t>
            </w:r>
            <w:r>
              <w:rPr>
                <w:color w:val="auto"/>
                <w:sz w:val="24"/>
                <w:szCs w:val="24"/>
                <w:highlight w:val="none"/>
                <w:lang w:bidi="ar"/>
              </w:rPr>
              <w:t>宣汉县发展和改革局《关于宣汉县南坝镇城市污水处理厂提标改造及二期工程可行性研究报告的批复》</w:t>
            </w:r>
            <w:r>
              <w:rPr>
                <w:color w:val="auto"/>
                <w:sz w:val="24"/>
                <w:szCs w:val="32"/>
                <w:highlight w:val="none"/>
                <w:lang w:bidi="ar"/>
              </w:rPr>
              <w:t>（</w:t>
            </w:r>
            <w:r>
              <w:rPr>
                <w:color w:val="auto"/>
                <w:sz w:val="24"/>
                <w:szCs w:val="24"/>
                <w:highlight w:val="none"/>
                <w:lang w:bidi="ar"/>
              </w:rPr>
              <w:t>宣发改审〔2023〕122号</w:t>
            </w:r>
            <w:r>
              <w:rPr>
                <w:color w:val="auto"/>
                <w:sz w:val="24"/>
                <w:szCs w:val="32"/>
                <w:highlight w:val="none"/>
                <w:lang w:bidi="ar"/>
              </w:rPr>
              <w:t>）。</w:t>
            </w:r>
          </w:p>
          <w:p>
            <w:pPr>
              <w:pageBreakBefore w:val="0"/>
              <w:kinsoku/>
              <w:wordWrap/>
              <w:topLinePunct w:val="0"/>
              <w:bidi w:val="0"/>
              <w:spacing w:line="360" w:lineRule="auto"/>
              <w:ind w:left="0" w:leftChars="0" w:right="0" w:rightChars="0" w:firstLine="480" w:firstLineChars="200"/>
              <w:jc w:val="left"/>
              <w:rPr>
                <w:color w:val="auto"/>
                <w:sz w:val="24"/>
                <w:szCs w:val="32"/>
                <w:highlight w:val="none"/>
                <w:lang w:bidi="ar"/>
              </w:rPr>
            </w:pPr>
            <w:r>
              <w:rPr>
                <w:color w:val="auto"/>
                <w:sz w:val="24"/>
                <w:szCs w:val="32"/>
                <w:highlight w:val="none"/>
                <w:lang w:bidi="ar"/>
              </w:rPr>
              <w:t>因此，本项目符合国家现行产业政策。</w:t>
            </w:r>
          </w:p>
          <w:p>
            <w:pPr>
              <w:pageBreakBefore w:val="0"/>
              <w:kinsoku/>
              <w:wordWrap/>
              <w:topLinePunct w:val="0"/>
              <w:bidi w:val="0"/>
              <w:spacing w:line="360" w:lineRule="auto"/>
              <w:ind w:left="0" w:leftChars="0" w:right="0" w:rightChars="0" w:firstLine="482" w:firstLineChars="200"/>
              <w:jc w:val="left"/>
              <w:rPr>
                <w:b/>
                <w:bCs/>
                <w:color w:val="auto"/>
                <w:sz w:val="24"/>
                <w:szCs w:val="32"/>
                <w:highlight w:val="none"/>
                <w:lang w:bidi="ar"/>
              </w:rPr>
            </w:pPr>
            <w:r>
              <w:rPr>
                <w:b/>
                <w:bCs/>
                <w:color w:val="auto"/>
                <w:sz w:val="24"/>
                <w:szCs w:val="32"/>
                <w:highlight w:val="none"/>
                <w:lang w:bidi="ar"/>
              </w:rPr>
              <w:t>三、其他符合性分析</w:t>
            </w:r>
          </w:p>
          <w:p>
            <w:pPr>
              <w:pageBreakBefore w:val="0"/>
              <w:kinsoku/>
              <w:wordWrap/>
              <w:topLinePunct w:val="0"/>
              <w:bidi w:val="0"/>
              <w:spacing w:line="360" w:lineRule="auto"/>
              <w:ind w:left="0" w:leftChars="0" w:right="0" w:rightChars="0" w:firstLine="482" w:firstLineChars="200"/>
              <w:jc w:val="left"/>
              <w:rPr>
                <w:b/>
                <w:bCs/>
                <w:color w:val="auto"/>
                <w:sz w:val="24"/>
                <w:szCs w:val="32"/>
                <w:highlight w:val="none"/>
                <w:lang w:bidi="ar"/>
              </w:rPr>
            </w:pPr>
            <w:r>
              <w:rPr>
                <w:b/>
                <w:bCs/>
                <w:color w:val="auto"/>
                <w:sz w:val="24"/>
                <w:szCs w:val="32"/>
                <w:highlight w:val="none"/>
                <w:lang w:bidi="ar"/>
              </w:rPr>
              <w:t>1、“三线一单”符合性分析</w:t>
            </w:r>
          </w:p>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（1）与《关于落实生态保护红线、环境质量底线、资源利用上线制定生态环境准入清单实施生态环境分区管控的通知》（川府发〔2020〕9号）符合性分析</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根据四川省人民政府《关于落实生态保护红线、环境质量底线、资源利用上线制定生态环境准入清单实施生态环境分区管控的通知》（川府发〔2020〕9号），本项目位于四川省达州市宣汉县南坝镇龙驹坝，所在区域属于川东北经济区，属于达州市宣汉县环境综合管控单元一般管控单元。</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本项目与四川省生态环境分区管控情况相符性分析见表1-2。</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表1-2</w:t>
            </w:r>
            <w:r>
              <w:rPr>
                <w:rFonts w:hint="eastAsia" w:eastAsia="黑体"/>
                <w:color w:val="auto"/>
                <w:highlight w:val="none"/>
              </w:rPr>
              <w:t xml:space="preserve"> </w:t>
            </w:r>
            <w:r>
              <w:rPr>
                <w:rFonts w:eastAsia="黑体"/>
                <w:color w:val="auto"/>
                <w:highlight w:val="none"/>
              </w:rPr>
              <w:t>项目与四川省生态环境分区管控情况相符性分析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4640"/>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环境管控单元类型</w:t>
                  </w:r>
                </w:p>
              </w:tc>
              <w:tc>
                <w:tcPr>
                  <w:tcW w:w="253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总体生态环境管控要求</w:t>
                  </w:r>
                </w:p>
              </w:tc>
              <w:tc>
                <w:tcPr>
                  <w:tcW w:w="1821"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优先保护单元</w:t>
                  </w:r>
                </w:p>
              </w:tc>
              <w:tc>
                <w:tcPr>
                  <w:tcW w:w="253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优先保护单元中，应以生态环境保护优先为原则，严格执行相关法律、法规要求，严守生态环境质量底线，确保生态环境功能不降低。</w:t>
                  </w:r>
                </w:p>
              </w:tc>
              <w:tc>
                <w:tcPr>
                  <w:tcW w:w="1821"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重点管控单元</w:t>
                  </w:r>
                </w:p>
              </w:tc>
              <w:tc>
                <w:tcPr>
                  <w:tcW w:w="253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p>
              </w:tc>
              <w:tc>
                <w:tcPr>
                  <w:tcW w:w="1821"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一般管控单元</w:t>
                  </w:r>
                </w:p>
              </w:tc>
              <w:tc>
                <w:tcPr>
                  <w:tcW w:w="253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一般管控单元中，执行区域生态环境保护的基本要求。重点加强农业、生活等领域污染治理。</w:t>
                  </w:r>
                </w:p>
              </w:tc>
              <w:tc>
                <w:tcPr>
                  <w:tcW w:w="1821"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本项目位于一般管控单元。项目为污水处理工程，属于重点加强生活污染治理，符合总体生态环境管控要求。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区域</w:t>
                  </w:r>
                </w:p>
              </w:tc>
              <w:tc>
                <w:tcPr>
                  <w:tcW w:w="253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总体生态环境管控要求</w:t>
                  </w:r>
                </w:p>
              </w:tc>
              <w:tc>
                <w:tcPr>
                  <w:tcW w:w="1821"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川东北经济区</w:t>
                  </w:r>
                </w:p>
              </w:tc>
              <w:tc>
                <w:tcPr>
                  <w:tcW w:w="2535" w:type="pct"/>
                  <w:vAlign w:val="center"/>
                </w:tcPr>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①控制农村面源污染，提高废水收集处理率，加快乡镇污水处理基础设施建设。</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②建设流域水环境风险联防联控体系。</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③提高大气污染治理水平。</w:t>
                  </w:r>
                </w:p>
              </w:tc>
              <w:tc>
                <w:tcPr>
                  <w:tcW w:w="1821"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本项目为污水处理工程，符合控制农村面源污染，提高废水收集处理率，加快乡镇污水处理基础设施建设的总体生态环境管控要求。</w:t>
                  </w:r>
                </w:p>
              </w:tc>
            </w:tr>
          </w:tbl>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综上，本项目符合川府发〔2020〕9号相关内容。</w:t>
            </w:r>
          </w:p>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（2）与《关于落实生态保护红线、环境质量底线、资源利用上线制定生态环境准入清单实施生态环境分区管控的通知》（达市府发〔2021〕17号）符合性分析</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根据达州市人民政府发布的《关于落实生态保护红线、环境质量底线、资源利用上线制定生态环境准入清单实施生态环境分区管控的通知》（达市府发〔2021〕17号），项目位于四川省达州市宣汉县南坝镇龙驹坝，属于达州市宣汉县环境综合管控单元一般管控单元。</w:t>
            </w:r>
          </w:p>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①达州市生态环境分区管控及其要求</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达州市行政区域从生态环境保护角度划分为优先保护、重点管控和一般管控三类环境管控单元。项目与达州市环境管控单元相符性分析如下表。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表1-3</w:t>
            </w:r>
            <w:r>
              <w:rPr>
                <w:rFonts w:hint="eastAsia" w:eastAsia="黑体"/>
                <w:color w:val="auto"/>
                <w:highlight w:val="none"/>
              </w:rPr>
              <w:t xml:space="preserve"> </w:t>
            </w:r>
            <w:r>
              <w:rPr>
                <w:rFonts w:eastAsia="黑体"/>
                <w:color w:val="auto"/>
                <w:highlight w:val="none"/>
              </w:rPr>
              <w:t>项目与达州市环境管控单元相符性分析表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182"/>
              <w:gridCol w:w="463"/>
              <w:gridCol w:w="4554"/>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序号</w:t>
                  </w:r>
                </w:p>
              </w:tc>
              <w:tc>
                <w:tcPr>
                  <w:tcW w:w="646"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环境管控单元分类</w:t>
                  </w:r>
                </w:p>
              </w:tc>
              <w:tc>
                <w:tcPr>
                  <w:tcW w:w="253"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数量</w:t>
                  </w:r>
                </w:p>
              </w:tc>
              <w:tc>
                <w:tcPr>
                  <w:tcW w:w="2489"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管控要求</w:t>
                  </w:r>
                </w:p>
              </w:tc>
              <w:tc>
                <w:tcPr>
                  <w:tcW w:w="1362"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1</w:t>
                  </w:r>
                </w:p>
              </w:tc>
              <w:tc>
                <w:tcPr>
                  <w:tcW w:w="646"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优先保护单元</w:t>
                  </w:r>
                </w:p>
              </w:tc>
              <w:tc>
                <w:tcPr>
                  <w:tcW w:w="253"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17个</w:t>
                  </w:r>
                </w:p>
              </w:tc>
              <w:tc>
                <w:tcPr>
                  <w:tcW w:w="2489"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tc>
              <w:tc>
                <w:tcPr>
                  <w:tcW w:w="1362"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2</w:t>
                  </w:r>
                </w:p>
              </w:tc>
              <w:tc>
                <w:tcPr>
                  <w:tcW w:w="646"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重点管控单元</w:t>
                  </w:r>
                </w:p>
              </w:tc>
              <w:tc>
                <w:tcPr>
                  <w:tcW w:w="253"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22个</w:t>
                  </w:r>
                </w:p>
              </w:tc>
              <w:tc>
                <w:tcPr>
                  <w:tcW w:w="2489"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362" w:type="pct"/>
                  <w:shd w:val="clear" w:color="auto" w:fill="auto"/>
                  <w:vAlign w:val="center"/>
                </w:tcPr>
                <w:p>
                  <w:pPr>
                    <w:pageBreakBefore w:val="0"/>
                    <w:kinsoku/>
                    <w:wordWrap/>
                    <w:topLinePunct w:val="0"/>
                    <w:bidi w:val="0"/>
                    <w:ind w:left="0" w:leftChars="0" w:right="0" w:rightChars="0"/>
                    <w:jc w:val="center"/>
                    <w:rPr>
                      <w:color w:val="auto"/>
                      <w:sz w:val="24"/>
                      <w:szCs w:val="24"/>
                      <w:highlight w:val="none"/>
                      <w:lang w:bidi="ar"/>
                    </w:rPr>
                  </w:pPr>
                  <w:r>
                    <w:rPr>
                      <w:color w:val="auto"/>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3</w:t>
                  </w:r>
                </w:p>
              </w:tc>
              <w:tc>
                <w:tcPr>
                  <w:tcW w:w="646"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一般管控单元</w:t>
                  </w:r>
                </w:p>
              </w:tc>
              <w:tc>
                <w:tcPr>
                  <w:tcW w:w="253"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7个</w:t>
                  </w:r>
                </w:p>
              </w:tc>
              <w:tc>
                <w:tcPr>
                  <w:tcW w:w="2489"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除优先保护单元和重点管控单元之外的其他区域，全市共划分一般管控单元7个。执行区域生态环境保护的基本要求，重点加强农业、生活等领域污染治理。</w:t>
                  </w:r>
                </w:p>
              </w:tc>
              <w:tc>
                <w:tcPr>
                  <w:tcW w:w="1362"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本项目位于一般管控单元。项目为污水处理工程，属于重点加强生活污染治理，符合总体生态环境管控要求。</w:t>
                  </w:r>
                </w:p>
              </w:tc>
            </w:tr>
          </w:tbl>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②达州市及宣汉县管控要求</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项目与达州市及宣汉县总体管控要求符合性分析，见下表。</w:t>
            </w:r>
          </w:p>
          <w:p>
            <w:pPr>
              <w:pageBreakBefore w:val="0"/>
              <w:kinsoku/>
              <w:wordWrap/>
              <w:topLinePunct w:val="0"/>
              <w:bidi w:val="0"/>
              <w:spacing w:line="360" w:lineRule="auto"/>
              <w:ind w:left="0" w:leftChars="0" w:right="0" w:rightChars="0"/>
              <w:jc w:val="center"/>
              <w:rPr>
                <w:rFonts w:eastAsia="黑体"/>
                <w:color w:val="auto"/>
                <w:highlight w:val="none"/>
              </w:rPr>
            </w:pP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表1-4</w:t>
            </w:r>
            <w:r>
              <w:rPr>
                <w:rFonts w:hint="eastAsia" w:eastAsia="黑体"/>
                <w:color w:val="auto"/>
                <w:highlight w:val="none"/>
              </w:rPr>
              <w:t xml:space="preserve"> </w:t>
            </w:r>
            <w:r>
              <w:rPr>
                <w:rFonts w:eastAsia="黑体"/>
                <w:color w:val="auto"/>
                <w:highlight w:val="none"/>
              </w:rPr>
              <w:t>项目与达州市及宣汉县总体管控要求符合性分析表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851"/>
              <w:gridCol w:w="2590"/>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市域</w:t>
                  </w:r>
                </w:p>
              </w:tc>
              <w:tc>
                <w:tcPr>
                  <w:tcW w:w="2650"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总体管控要求</w:t>
                  </w:r>
                </w:p>
              </w:tc>
              <w:tc>
                <w:tcPr>
                  <w:tcW w:w="1415"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本项目情况</w:t>
                  </w:r>
                </w:p>
              </w:tc>
              <w:tc>
                <w:tcPr>
                  <w:tcW w:w="532"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b/>
                      <w:bCs/>
                      <w:color w:val="auto"/>
                      <w:sz w:val="21"/>
                      <w:highlight w:val="none"/>
                    </w:rPr>
                  </w:pPr>
                  <w:r>
                    <w:rPr>
                      <w:rFonts w:eastAsia="宋体"/>
                      <w:b/>
                      <w:bCs/>
                      <w:color w:val="auto"/>
                      <w:sz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达州市</w:t>
                  </w:r>
                </w:p>
              </w:tc>
              <w:tc>
                <w:tcPr>
                  <w:tcW w:w="2650"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1．对钢铁行业提出严格资源环境绩效水平要求；</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2．高污染企业限期退城入园；</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3．普光气田开发污染防治和环境管理等方面要达到国内先进水平；</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4．引进项目应符合园区规划环评和区域产业准入清单要求；</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5．长江干支流岸线1km范围内，不得新建、扩建化工园区和化工项目；</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6．严控产业转移环境准入；</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7．造纸等产业污染治理和环境管理应达到国内先进水平。优化制浆造纸产业布局，提升行业清洁生产水平，推动制浆造纸工业向节能、环保、绿色方向发展。</w:t>
                  </w:r>
                </w:p>
              </w:tc>
              <w:tc>
                <w:tcPr>
                  <w:tcW w:w="1415"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1.项目不属于钢铁行业；</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2.项目不属于高污染企业；</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3.项目不属于普光气田开发项目；</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4.项目位于园区外，项目为污水处理工程，符合区域产业准入清单要求；</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5.项目不属于化工项目；</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6.项目为污水处理工程，不属于产业转移环境准入；</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7.项目不属于造纸产业。</w:t>
                  </w:r>
                </w:p>
              </w:tc>
              <w:tc>
                <w:tcPr>
                  <w:tcW w:w="532"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w:t>
                  </w:r>
                </w:p>
              </w:tc>
              <w:tc>
                <w:tcPr>
                  <w:tcW w:w="2650"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1．加强小流域水环境保护，推动农村环保基础设施建设，全面推进农村环境综合整治、生活污水处理项目。大力开展沿河畜禽养殖污染整治，大力推广生态种植，减少农药化肥使用量；</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2．打好升级版污染防治攻坚战。持续优化调整产业布局，以PM</w:t>
                  </w:r>
                  <w:r>
                    <w:rPr>
                      <w:rFonts w:eastAsia="宋体"/>
                      <w:color w:val="auto"/>
                      <w:sz w:val="21"/>
                      <w:highlight w:val="none"/>
                      <w:vertAlign w:val="subscript"/>
                    </w:rPr>
                    <w:t>2.5</w:t>
                  </w:r>
                  <w:r>
                    <w:rPr>
                      <w:rFonts w:eastAsia="宋体"/>
                      <w:color w:val="auto"/>
                      <w:sz w:val="21"/>
                      <w:highlight w:val="none"/>
                    </w:rPr>
                    <w:t>和臭氧污染协同控制为重点，全面开展VOCs治理，实施移动源整治，持续推进空气质量精细化管理；</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415"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1.项目为污水处理工程，不属于畜禽养殖；</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2.本项目不涉及VOCs污染物排放；</w:t>
                  </w:r>
                </w:p>
                <w:p>
                  <w:pPr>
                    <w:pStyle w:val="36"/>
                    <w:pageBreakBefore w:val="0"/>
                    <w:widowControl/>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3.本项目不属于天然气化工、硫化工、锂钾综合开发、冶金建材、新材料等产业。</w:t>
                  </w:r>
                </w:p>
              </w:tc>
              <w:tc>
                <w:tcPr>
                  <w:tcW w:w="532" w:type="pct"/>
                  <w:shd w:val="clear" w:color="auto" w:fill="auto"/>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bl>
          <w:p>
            <w:pPr>
              <w:pageBreakBefore w:val="0"/>
              <w:kinsoku/>
              <w:wordWrap/>
              <w:topLinePunct w:val="0"/>
              <w:bidi w:val="0"/>
              <w:spacing w:line="360" w:lineRule="auto"/>
              <w:ind w:left="0" w:leftChars="0" w:right="0" w:rightChars="0" w:firstLine="482" w:firstLineChars="200"/>
              <w:jc w:val="left"/>
              <w:rPr>
                <w:color w:val="auto"/>
                <w:sz w:val="24"/>
                <w:szCs w:val="24"/>
                <w:highlight w:val="none"/>
                <w:lang w:bidi="ar"/>
              </w:rPr>
            </w:pPr>
            <w:r>
              <w:rPr>
                <w:b/>
                <w:bCs/>
                <w:color w:val="auto"/>
                <w:sz w:val="24"/>
                <w:szCs w:val="24"/>
                <w:highlight w:val="none"/>
                <w:lang w:bidi="ar"/>
              </w:rPr>
              <w:t>（3）“三线一单”空间符合性分析</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根据《四川省生态环境厅办公室关于印发〈产业园区规划环评“三线一单”符合性分析技术要点（试行）〉和〈项目环评“三线一单”符合性分析技术要点（试行）〉的通知》（川环办函〔2021〕469号）可知，若建设项目位于产业园区外，需先对其进行空间符合性分析后再进行管控要求符合性分析。</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u w:val="single"/>
                <w:lang w:bidi="ar"/>
              </w:rPr>
            </w:pPr>
            <w:r>
              <w:rPr>
                <w:color w:val="auto"/>
                <w:sz w:val="24"/>
                <w:szCs w:val="24"/>
                <w:highlight w:val="none"/>
                <w:u w:val="single"/>
                <w:lang w:bidi="ar"/>
              </w:rPr>
              <w:t>本项目为污染类建设项目，位于园区外项目，因此，本项目需分析先对其进行空间符合性分析再对其进行环境管控单元及生态环境准入清单符合性分析。</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根据《长江经济带战略环境评价四川省达州市“三线一单”生态环境分区管控优化完善研究报告》，达州市生态保护红线面积1214.56km</w:t>
            </w:r>
            <w:r>
              <w:rPr>
                <w:color w:val="auto"/>
                <w:sz w:val="24"/>
                <w:szCs w:val="24"/>
                <w:highlight w:val="none"/>
                <w:vertAlign w:val="superscript"/>
                <w:lang w:bidi="ar"/>
              </w:rPr>
              <w:t>2</w:t>
            </w:r>
            <w:r>
              <w:rPr>
                <w:color w:val="auto"/>
                <w:sz w:val="24"/>
                <w:szCs w:val="24"/>
                <w:highlight w:val="none"/>
                <w:lang w:bidi="ar"/>
              </w:rPr>
              <w:t>，占达州市国土面积比例的7.33%，与原2018年相比，面积减少了42.40km</w:t>
            </w:r>
            <w:r>
              <w:rPr>
                <w:color w:val="auto"/>
                <w:sz w:val="24"/>
                <w:szCs w:val="24"/>
                <w:highlight w:val="none"/>
                <w:vertAlign w:val="superscript"/>
                <w:lang w:bidi="ar"/>
              </w:rPr>
              <w:t>2</w:t>
            </w:r>
            <w:r>
              <w:rPr>
                <w:color w:val="auto"/>
                <w:sz w:val="24"/>
                <w:szCs w:val="24"/>
                <w:highlight w:val="none"/>
                <w:lang w:bidi="ar"/>
              </w:rPr>
              <w:t>，其中调入红线287.98km</w:t>
            </w:r>
            <w:r>
              <w:rPr>
                <w:color w:val="auto"/>
                <w:sz w:val="24"/>
                <w:szCs w:val="24"/>
                <w:highlight w:val="none"/>
                <w:vertAlign w:val="superscript"/>
                <w:lang w:bidi="ar"/>
              </w:rPr>
              <w:t>2</w:t>
            </w:r>
            <w:r>
              <w:rPr>
                <w:color w:val="auto"/>
                <w:sz w:val="24"/>
                <w:szCs w:val="24"/>
                <w:highlight w:val="none"/>
                <w:lang w:bidi="ar"/>
              </w:rPr>
              <w:t>，调出红线330.38km</w:t>
            </w:r>
            <w:r>
              <w:rPr>
                <w:color w:val="auto"/>
                <w:sz w:val="24"/>
                <w:szCs w:val="24"/>
                <w:highlight w:val="none"/>
                <w:vertAlign w:val="superscript"/>
                <w:lang w:bidi="ar"/>
              </w:rPr>
              <w:t>2</w:t>
            </w:r>
            <w:r>
              <w:rPr>
                <w:color w:val="auto"/>
                <w:sz w:val="24"/>
                <w:szCs w:val="24"/>
                <w:highlight w:val="none"/>
                <w:lang w:bidi="ar"/>
              </w:rPr>
              <w:t>。达州市生态保护红线主要分布在大巴山和盆地区域，涉及大巴山生物多样性维护—水源涵养生态保护红线、盆中城市饮用水源—水土保持生态保护红线。达州市生态保护红线分布图见下图1-1，达州市生态空间分布图见下图1-2。</w:t>
            </w:r>
          </w:p>
          <w:p>
            <w:pPr>
              <w:pageBreakBefore w:val="0"/>
              <w:kinsoku/>
              <w:wordWrap/>
              <w:topLinePunct w:val="0"/>
              <w:bidi w:val="0"/>
              <w:spacing w:line="360" w:lineRule="auto"/>
              <w:ind w:left="0" w:leftChars="0" w:right="0" w:rightChars="0"/>
              <w:jc w:val="center"/>
              <w:rPr>
                <w:bCs/>
                <w:color w:val="auto"/>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2466975</wp:posOffset>
                      </wp:positionH>
                      <wp:positionV relativeFrom="paragraph">
                        <wp:posOffset>2787650</wp:posOffset>
                      </wp:positionV>
                      <wp:extent cx="981075" cy="317500"/>
                      <wp:effectExtent l="5080" t="819785" r="4445" b="5715"/>
                      <wp:wrapNone/>
                      <wp:docPr id="21" name="矩形标注 2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36472"/>
                                  <a:gd name="adj2" fmla="val -298200"/>
                                </a:avLst>
                              </a:prstGeom>
                              <a:solidFill>
                                <a:srgbClr val="FFFFFF"/>
                              </a:solidFill>
                              <a:ln w="9525">
                                <a:solidFill>
                                  <a:srgbClr val="FF0000"/>
                                </a:solidFill>
                                <a:miter lim="800000"/>
                              </a:ln>
                              <a:effectLst/>
                            </wps:spPr>
                            <wps:txbx>
                              <w:txbxContent>
                                <w:p>
                                  <w:pPr>
                                    <w:jc w:val="cente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94.25pt;margin-top:219.5pt;height:25pt;width:77.25pt;z-index:251660288;mso-width-relative:page;mso-height-relative:page;" fillcolor="#FFFFFF" filled="t" stroked="t" coordsize="21600,21600" o:gfxdata="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CAJkLZAAAACwEAAA8AAAAAAAAAAQAgAAAAIgAAAGRy&#10;cy9kb3ducmV2LnhtbFBLAQIUABQAAAAIAIdO4kCKd62XdgIAAO8EAAAOAAAAAAAAAAEAIAAAACgB&#10;AABkcnMvZTJvRG9jLnhtbFBLBQYAAAAABgAGAFkBAAAQBgAAAAA=&#10;" adj="2922,-53611">
                      <v:fill on="t" focussize="0,0"/>
                      <v:stroke color="#FF0000" miterlimit="8" joinstyle="miter"/>
                      <v:imagedata o:title=""/>
                      <o:lock v:ext="edit" aspectratio="f"/>
                      <v:textbox>
                        <w:txbxContent>
                          <w:p>
                            <w:pPr>
                              <w:jc w:val="center"/>
                              <w:rPr>
                                <w:color w:val="FF0000"/>
                              </w:rPr>
                            </w:pPr>
                            <w:r>
                              <w:rPr>
                                <w:rFonts w:hint="eastAsia"/>
                                <w:color w:val="FF0000"/>
                              </w:rPr>
                              <w:t>项目所在地</w:t>
                            </w:r>
                          </w:p>
                        </w:txbxContent>
                      </v:textbox>
                    </v:shape>
                  </w:pict>
                </mc:Fallback>
              </mc:AlternateContent>
            </w:r>
            <w:r>
              <w:rPr>
                <w:color w:val="auto"/>
                <w:sz w:val="28"/>
                <w:szCs w:val="28"/>
                <w:highlight w:val="none"/>
              </w:rPr>
              <w:drawing>
                <wp:inline distT="0" distB="0" distL="114300" distR="114300">
                  <wp:extent cx="5492750" cy="3587750"/>
                  <wp:effectExtent l="0" t="0" r="12700" b="12700"/>
                  <wp:docPr id="23" name="图片 5" descr="达州市生态保护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达州市生态保护红线分布图"/>
                          <pic:cNvPicPr>
                            <a:picLocks noChangeAspect="1"/>
                          </pic:cNvPicPr>
                        </pic:nvPicPr>
                        <pic:blipFill>
                          <a:blip r:embed="rId5"/>
                          <a:stretch>
                            <a:fillRect/>
                          </a:stretch>
                        </pic:blipFill>
                        <pic:spPr>
                          <a:xfrm>
                            <a:off x="0" y="0"/>
                            <a:ext cx="5492750" cy="358775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rFonts w:eastAsia="黑体"/>
                <w:b/>
                <w:color w:val="auto"/>
                <w:highlight w:val="none"/>
              </w:rPr>
            </w:pPr>
            <w:r>
              <w:rPr>
                <w:rFonts w:eastAsia="黑体"/>
                <w:color w:val="auto"/>
                <w:highlight w:val="none"/>
              </w:rPr>
              <w:t>图1-1</w:t>
            </w:r>
            <w:r>
              <w:rPr>
                <w:rFonts w:hint="eastAsia" w:eastAsia="黑体"/>
                <w:color w:val="auto"/>
                <w:highlight w:val="none"/>
              </w:rPr>
              <w:t xml:space="preserve"> </w:t>
            </w:r>
            <w:r>
              <w:rPr>
                <w:rFonts w:eastAsia="黑体"/>
                <w:color w:val="auto"/>
                <w:highlight w:val="none"/>
              </w:rPr>
              <w:t>项目与达州市生态保护红线位置关系图（调整后）</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2435225</wp:posOffset>
                      </wp:positionH>
                      <wp:positionV relativeFrom="paragraph">
                        <wp:posOffset>2700655</wp:posOffset>
                      </wp:positionV>
                      <wp:extent cx="981075" cy="317500"/>
                      <wp:effectExtent l="5080" t="819785" r="4445" b="5715"/>
                      <wp:wrapNone/>
                      <wp:docPr id="4" name="矩形标注 4"/>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36472"/>
                                  <a:gd name="adj2" fmla="val -298200"/>
                                </a:avLst>
                              </a:prstGeom>
                              <a:solidFill>
                                <a:srgbClr val="FFFFFF"/>
                              </a:solidFill>
                              <a:ln w="9525">
                                <a:solidFill>
                                  <a:srgbClr val="FF0000"/>
                                </a:solidFill>
                                <a:miter lim="800000"/>
                              </a:ln>
                              <a:effectLst/>
                            </wps:spPr>
                            <wps:txbx>
                              <w:txbxContent>
                                <w:p>
                                  <w:pPr>
                                    <w:jc w:val="cente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191.75pt;margin-top:212.65pt;height:25pt;width:77.25pt;z-index:251661312;mso-width-relative:page;mso-height-relative:page;" fillcolor="#FFFFFF" filled="t" stroked="t" coordsize="21600,21600" o:gfxdata="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vKPX7YAAAACwEAAA8AAAAAAAAAAQAgAAAAIgAAAGRycy9k&#10;b3ducmV2LnhtbFBLAQIUABQAAAAIAIdO4kAp3b45dAIAAO0EAAAOAAAAAAAAAAEAIAAAACcBAABk&#10;cnMvZTJvRG9jLnhtbFBLBQYAAAAABgAGAFkBAAANBgAAAAA=&#10;" adj="2922,-53611">
                      <v:fill on="t" focussize="0,0"/>
                      <v:stroke color="#FF0000" miterlimit="8" joinstyle="miter"/>
                      <v:imagedata o:title=""/>
                      <o:lock v:ext="edit" aspectratio="f"/>
                      <v:textbox>
                        <w:txbxContent>
                          <w:p>
                            <w:pPr>
                              <w:jc w:val="center"/>
                              <w:rPr>
                                <w:color w:val="FF0000"/>
                              </w:rPr>
                            </w:pPr>
                            <w:r>
                              <w:rPr>
                                <w:rFonts w:hint="eastAsia"/>
                                <w:color w:val="FF0000"/>
                              </w:rPr>
                              <w:t>项目所在地</w:t>
                            </w:r>
                          </w:p>
                        </w:txbxContent>
                      </v:textbox>
                    </v:shape>
                  </w:pict>
                </mc:Fallback>
              </mc:AlternateContent>
            </w:r>
            <w:r>
              <w:rPr>
                <w:color w:val="auto"/>
                <w:highlight w:val="none"/>
              </w:rPr>
              <w:drawing>
                <wp:inline distT="0" distB="0" distL="0" distR="0">
                  <wp:extent cx="5393055" cy="3554730"/>
                  <wp:effectExtent l="0" t="0" r="17145" b="7620"/>
                  <wp:docPr id="10333" name="图片 10333" descr="G:\1\达州成果\现阶段成果\达州5月出图\生态空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 name="图片 10333" descr="G:\1\达州成果\现阶段成果\达州5月出图\生态空间.jpg"/>
                          <pic:cNvPicPr>
                            <a:picLocks noChangeAspect="1" noChangeArrowheads="1"/>
                          </pic:cNvPicPr>
                        </pic:nvPicPr>
                        <pic:blipFill>
                          <a:blip r:embed="rId6" cstate="print">
                            <a:extLst>
                              <a:ext uri="{28A0092B-C50C-407E-A947-70E740481C1C}">
                                <a14:useLocalDpi xmlns:a14="http://schemas.microsoft.com/office/drawing/2010/main" val="0"/>
                              </a:ext>
                            </a:extLst>
                          </a:blip>
                          <a:srcRect t="3025" b="3704"/>
                          <a:stretch>
                            <a:fillRect/>
                          </a:stretch>
                        </pic:blipFill>
                        <pic:spPr>
                          <a:xfrm>
                            <a:off x="0" y="0"/>
                            <a:ext cx="5393055" cy="355473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图1-2</w:t>
            </w:r>
            <w:r>
              <w:rPr>
                <w:rFonts w:hint="eastAsia" w:eastAsia="黑体"/>
                <w:color w:val="auto"/>
                <w:highlight w:val="none"/>
              </w:rPr>
              <w:t xml:space="preserve"> </w:t>
            </w:r>
            <w:r>
              <w:rPr>
                <w:rFonts w:eastAsia="黑体"/>
                <w:color w:val="auto"/>
                <w:highlight w:val="none"/>
              </w:rPr>
              <w:t>项目与达州市生态空间的位置关系图</w:t>
            </w:r>
          </w:p>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由图1-1、图1-2可知，本项目不涉及达州市生态红线和一般生态空间。</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本项目为宣汉县南坝镇城市生活污水处理厂提标改造及二期工程，项目的建设不会突破水环境质量底线，项目生活污水经宣汉县南坝镇城市生活污水处理厂处后达《城镇污水处理厂污染物排放标准》（GB18918-2002）中一级A标准后排入前河；项目采取加强绿化，投加除臭剂等措施，降低恶臭对周边环境的影响，不会突破大气环境质量底线；项目用地为公共设施用地，不涉及农用地与土壤污染风险；本项目的建设不涉及高污染燃料的使用，给水由市政管网供给，用电由市政电网供给。</w:t>
            </w:r>
          </w:p>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综上，本项目的建设符合“三线一单”中“三线”的相关管理要求。</w:t>
            </w:r>
          </w:p>
          <w:p>
            <w:pPr>
              <w:pageBreakBefore w:val="0"/>
              <w:kinsoku/>
              <w:wordWrap/>
              <w:topLinePunct w:val="0"/>
              <w:bidi w:val="0"/>
              <w:spacing w:line="360" w:lineRule="auto"/>
              <w:ind w:left="0" w:leftChars="0" w:right="0" w:rightChars="0" w:firstLine="482" w:firstLineChars="200"/>
              <w:jc w:val="left"/>
              <w:rPr>
                <w:b/>
                <w:bCs/>
                <w:color w:val="auto"/>
                <w:sz w:val="24"/>
                <w:szCs w:val="24"/>
                <w:highlight w:val="none"/>
                <w:lang w:bidi="ar"/>
              </w:rPr>
            </w:pPr>
            <w:r>
              <w:rPr>
                <w:b/>
                <w:bCs/>
                <w:color w:val="auto"/>
                <w:sz w:val="24"/>
                <w:szCs w:val="24"/>
                <w:highlight w:val="none"/>
                <w:lang w:bidi="ar"/>
              </w:rPr>
              <w:t>（4）“三线一单”管控要求符合性分析</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本项目为宣汉县南坝镇城市生活污水处理厂提标改造及二期工程，根据四川省“三线一单”符合性分析系统，项目涉及4个管控单元，详见下表。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lang w:bidi="ar"/>
              </w:rPr>
              <w:t>表1-5</w:t>
            </w:r>
            <w:r>
              <w:rPr>
                <w:rFonts w:hint="eastAsia" w:eastAsia="黑体"/>
                <w:color w:val="auto"/>
                <w:highlight w:val="none"/>
                <w:lang w:bidi="ar"/>
              </w:rPr>
              <w:t xml:space="preserve"> </w:t>
            </w:r>
            <w:r>
              <w:rPr>
                <w:rFonts w:eastAsia="黑体"/>
                <w:color w:val="auto"/>
                <w:highlight w:val="none"/>
                <w:lang w:bidi="ar"/>
              </w:rPr>
              <w:t>项目涉及的管控单元</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1545"/>
              <w:gridCol w:w="1049"/>
              <w:gridCol w:w="1066"/>
              <w:gridCol w:w="1639"/>
              <w:gridCol w:w="1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8"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环境管控单元编码</w:t>
                  </w:r>
                </w:p>
              </w:tc>
              <w:tc>
                <w:tcPr>
                  <w:tcW w:w="844"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环境管控单元名称</w:t>
                  </w:r>
                </w:p>
              </w:tc>
              <w:tc>
                <w:tcPr>
                  <w:tcW w:w="573"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所属市（州）</w:t>
                  </w:r>
                </w:p>
              </w:tc>
              <w:tc>
                <w:tcPr>
                  <w:tcW w:w="582"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所属区县</w:t>
                  </w:r>
                </w:p>
              </w:tc>
              <w:tc>
                <w:tcPr>
                  <w:tcW w:w="895"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准入清单类型</w:t>
                  </w:r>
                </w:p>
              </w:tc>
              <w:tc>
                <w:tcPr>
                  <w:tcW w:w="1025"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8"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ZH51172230001</w:t>
                  </w:r>
                </w:p>
              </w:tc>
              <w:tc>
                <w:tcPr>
                  <w:tcW w:w="844"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宣汉县一般管控单元</w:t>
                  </w:r>
                </w:p>
              </w:tc>
              <w:tc>
                <w:tcPr>
                  <w:tcW w:w="57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达州市</w:t>
                  </w:r>
                </w:p>
              </w:tc>
              <w:tc>
                <w:tcPr>
                  <w:tcW w:w="582"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w:t>
                  </w:r>
                </w:p>
              </w:tc>
              <w:tc>
                <w:tcPr>
                  <w:tcW w:w="89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环境管控单元</w:t>
                  </w:r>
                </w:p>
              </w:tc>
              <w:tc>
                <w:tcPr>
                  <w:tcW w:w="102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8"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YS5117223210001</w:t>
                  </w:r>
                </w:p>
              </w:tc>
              <w:tc>
                <w:tcPr>
                  <w:tcW w:w="844"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州河宣汉县张鼓坪控制单元</w:t>
                  </w:r>
                </w:p>
              </w:tc>
              <w:tc>
                <w:tcPr>
                  <w:tcW w:w="57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达州市</w:t>
                  </w:r>
                </w:p>
              </w:tc>
              <w:tc>
                <w:tcPr>
                  <w:tcW w:w="582"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w:t>
                  </w:r>
                </w:p>
              </w:tc>
              <w:tc>
                <w:tcPr>
                  <w:tcW w:w="89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水环境管控分区</w:t>
                  </w:r>
                </w:p>
              </w:tc>
              <w:tc>
                <w:tcPr>
                  <w:tcW w:w="102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8"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YS5117223310001</w:t>
                  </w:r>
                </w:p>
              </w:tc>
              <w:tc>
                <w:tcPr>
                  <w:tcW w:w="844"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宣汉县大气环境一般管控区</w:t>
                  </w:r>
                </w:p>
              </w:tc>
              <w:tc>
                <w:tcPr>
                  <w:tcW w:w="57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达州市</w:t>
                  </w:r>
                </w:p>
              </w:tc>
              <w:tc>
                <w:tcPr>
                  <w:tcW w:w="582"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w:t>
                  </w:r>
                </w:p>
              </w:tc>
              <w:tc>
                <w:tcPr>
                  <w:tcW w:w="89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大气环境管控分区</w:t>
                  </w:r>
                </w:p>
              </w:tc>
              <w:tc>
                <w:tcPr>
                  <w:tcW w:w="102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大气环境一般管控区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078"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YS5117221410003</w:t>
                  </w:r>
                </w:p>
              </w:tc>
              <w:tc>
                <w:tcPr>
                  <w:tcW w:w="844"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宣汉县土壤优先保护区</w:t>
                  </w:r>
                </w:p>
              </w:tc>
              <w:tc>
                <w:tcPr>
                  <w:tcW w:w="573"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达州市</w:t>
                  </w:r>
                </w:p>
              </w:tc>
              <w:tc>
                <w:tcPr>
                  <w:tcW w:w="582"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w:t>
                  </w:r>
                </w:p>
              </w:tc>
              <w:tc>
                <w:tcPr>
                  <w:tcW w:w="89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土壤污染风险管控分区</w:t>
                  </w:r>
                </w:p>
              </w:tc>
              <w:tc>
                <w:tcPr>
                  <w:tcW w:w="1025" w:type="pct"/>
                  <w:vAlign w:val="center"/>
                </w:tcPr>
                <w:p>
                  <w:pPr>
                    <w:pStyle w:val="36"/>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农用地优先保护区</w:t>
                  </w:r>
                </w:p>
              </w:tc>
            </w:tr>
          </w:tbl>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highlight w:val="none"/>
              </w:rPr>
              <w:drawing>
                <wp:inline distT="0" distB="0" distL="114300" distR="114300">
                  <wp:extent cx="5170805" cy="4154805"/>
                  <wp:effectExtent l="0" t="0" r="1079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170805" cy="4154805"/>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color w:val="auto"/>
                <w:highlight w:val="none"/>
              </w:rPr>
            </w:pPr>
            <w:r>
              <w:rPr>
                <w:rFonts w:eastAsia="黑体"/>
                <w:color w:val="auto"/>
                <w:highlight w:val="none"/>
              </w:rPr>
              <w:t>图1-3</w:t>
            </w:r>
            <w:r>
              <w:rPr>
                <w:rFonts w:hint="eastAsia" w:eastAsia="黑体"/>
                <w:color w:val="auto"/>
                <w:highlight w:val="none"/>
              </w:rPr>
              <w:t xml:space="preserve"> </w:t>
            </w:r>
            <w:r>
              <w:rPr>
                <w:rFonts w:eastAsia="黑体"/>
                <w:color w:val="auto"/>
                <w:highlight w:val="none"/>
              </w:rPr>
              <w:t>项目“三线一单”符合性分析查询截图</w:t>
            </w:r>
          </w:p>
          <w:p>
            <w:pPr>
              <w:pageBreakBefore w:val="0"/>
              <w:kinsoku/>
              <w:wordWrap/>
              <w:topLinePunct w:val="0"/>
              <w:bidi w:val="0"/>
              <w:spacing w:line="360" w:lineRule="auto"/>
              <w:ind w:left="0" w:leftChars="0" w:right="0" w:rightChars="0" w:firstLine="480" w:firstLineChars="200"/>
              <w:jc w:val="left"/>
              <w:rPr>
                <w:color w:val="auto"/>
                <w:sz w:val="24"/>
                <w:szCs w:val="24"/>
                <w:highlight w:val="none"/>
                <w:lang w:bidi="ar"/>
              </w:rPr>
            </w:pPr>
            <w:r>
              <w:rPr>
                <w:color w:val="auto"/>
                <w:sz w:val="24"/>
                <w:szCs w:val="24"/>
                <w:highlight w:val="none"/>
                <w:lang w:bidi="ar"/>
              </w:rPr>
              <w:t>本项目位于达州市宣汉县环境综合管控单元一般管控单元（管控单元名称：宣汉县一般管控单元，管控单元编号：ZH51172230001），本项目与管控单元相对位置如下图：</w:t>
            </w:r>
          </w:p>
          <w:p>
            <w:pPr>
              <w:pageBreakBefore w:val="0"/>
              <w:kinsoku/>
              <w:wordWrap/>
              <w:topLinePunct w:val="0"/>
              <w:bidi w:val="0"/>
              <w:spacing w:line="360" w:lineRule="auto"/>
              <w:ind w:left="0" w:leftChars="0" w:right="0" w:rightChars="0"/>
              <w:jc w:val="center"/>
              <w:rPr>
                <w:rFonts w:eastAsia="Helvetica"/>
                <w:color w:val="auto"/>
                <w:sz w:val="28"/>
                <w:szCs w:val="24"/>
                <w:highlight w:val="none"/>
              </w:rPr>
            </w:pPr>
            <w:r>
              <w:rPr>
                <w:rFonts w:eastAsia="Helvetica"/>
                <w:color w:val="auto"/>
                <w:sz w:val="28"/>
                <w:szCs w:val="24"/>
                <w:highlight w:val="none"/>
              </w:rPr>
              <w:drawing>
                <wp:inline distT="0" distB="0" distL="114300" distR="114300">
                  <wp:extent cx="5175250" cy="3106420"/>
                  <wp:effectExtent l="0" t="0" r="6350"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175250" cy="310642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rFonts w:eastAsia="黑体"/>
                <w:color w:val="auto"/>
                <w:sz w:val="24"/>
                <w:szCs w:val="24"/>
                <w:highlight w:val="none"/>
                <w:lang w:bidi="ar"/>
              </w:rPr>
            </w:pPr>
            <w:r>
              <w:rPr>
                <w:rFonts w:eastAsia="黑体"/>
                <w:color w:val="auto"/>
                <w:highlight w:val="none"/>
              </w:rPr>
              <w:t>图1-4</w:t>
            </w:r>
            <w:r>
              <w:rPr>
                <w:rFonts w:hint="eastAsia" w:eastAsia="黑体"/>
                <w:color w:val="auto"/>
                <w:highlight w:val="none"/>
              </w:rPr>
              <w:t xml:space="preserve"> </w:t>
            </w:r>
            <w:r>
              <w:rPr>
                <w:rFonts w:eastAsia="黑体"/>
                <w:color w:val="auto"/>
                <w:highlight w:val="none"/>
              </w:rPr>
              <w:t>项目与管控单元相对位置图</w:t>
            </w:r>
          </w:p>
        </w:tc>
      </w:tr>
    </w:tbl>
    <w:p>
      <w:pPr>
        <w:pStyle w:val="22"/>
        <w:pageBreakBefore w:val="0"/>
        <w:kinsoku/>
        <w:wordWrap/>
        <w:topLinePunct w:val="0"/>
        <w:bidi w:val="0"/>
        <w:spacing w:after="0" w:line="360" w:lineRule="auto"/>
        <w:ind w:left="0" w:leftChars="0" w:right="0" w:rightChars="0" w:firstLine="0"/>
        <w:jc w:val="center"/>
        <w:rPr>
          <w:color w:val="auto"/>
          <w:highlight w:val="none"/>
        </w:rPr>
        <w:sectPr>
          <w:footerReference r:id="rId3" w:type="default"/>
          <w:pgSz w:w="11906" w:h="16838"/>
          <w:pgMar w:top="1440" w:right="1134" w:bottom="1440" w:left="1134" w:header="851" w:footer="992" w:gutter="0"/>
          <w:pgNumType w:start="1"/>
          <w:cols w:space="0" w:num="1"/>
          <w:docGrid w:type="lines" w:linePitch="312" w:charSpace="0"/>
        </w:sectPr>
      </w:pPr>
    </w:p>
    <w:p>
      <w:pPr>
        <w:pageBreakBefore w:val="0"/>
        <w:kinsoku/>
        <w:wordWrap/>
        <w:topLinePunct w:val="0"/>
        <w:bidi w:val="0"/>
        <w:spacing w:line="360" w:lineRule="auto"/>
        <w:ind w:left="0" w:leftChars="0" w:right="0" w:rightChars="0"/>
        <w:rPr>
          <w:color w:val="auto"/>
          <w:highlight w:val="none"/>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3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dxa"/>
            <w:vAlign w:val="center"/>
          </w:tcPr>
          <w:p>
            <w:pPr>
              <w:pStyle w:val="22"/>
              <w:pageBreakBefore w:val="0"/>
              <w:kinsoku/>
              <w:wordWrap/>
              <w:topLinePunct w:val="0"/>
              <w:bidi w:val="0"/>
              <w:spacing w:after="0" w:line="360" w:lineRule="auto"/>
              <w:ind w:left="0" w:leftChars="0" w:right="0" w:rightChars="0" w:firstLine="0"/>
              <w:jc w:val="center"/>
              <w:rPr>
                <w:color w:val="auto"/>
                <w:highlight w:val="none"/>
              </w:rPr>
            </w:pPr>
            <w:r>
              <w:rPr>
                <w:color w:val="auto"/>
                <w:kern w:val="2"/>
                <w:sz w:val="24"/>
                <w:szCs w:val="24"/>
                <w:highlight w:val="none"/>
                <w:lang w:bidi="ar"/>
              </w:rPr>
              <w:t>其他符合性分析</w:t>
            </w:r>
          </w:p>
        </w:tc>
        <w:tc>
          <w:tcPr>
            <w:tcW w:w="13641" w:type="dxa"/>
            <w:vAlign w:val="center"/>
          </w:tcPr>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本次评价参照四川省“三线一单”符合性分析系统分析结果，分别从空间布局约束、污染物排放管控、环境风险防控、资源开发效率等四个维度进行单元级清单管控要求符合性分析。具体如下表。</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表1-6</w:t>
            </w:r>
            <w:r>
              <w:rPr>
                <w:rFonts w:hint="eastAsia" w:eastAsia="黑体"/>
                <w:color w:val="auto"/>
                <w:highlight w:val="none"/>
                <w:lang w:bidi="ar"/>
              </w:rPr>
              <w:t xml:space="preserve"> </w:t>
            </w:r>
            <w:r>
              <w:rPr>
                <w:rFonts w:eastAsia="黑体"/>
                <w:color w:val="auto"/>
                <w:highlight w:val="none"/>
                <w:lang w:bidi="ar"/>
              </w:rPr>
              <w:t>本项目与生态环境准入清单符合性分析一览表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66"/>
              <w:gridCol w:w="3824"/>
              <w:gridCol w:w="1077"/>
              <w:gridCol w:w="3655"/>
              <w:gridCol w:w="2631"/>
              <w:gridCol w:w="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pPr>
                    <w:pageBreakBefore w:val="0"/>
                    <w:widowControl/>
                    <w:kinsoku/>
                    <w:wordWrap/>
                    <w:topLinePunct w:val="0"/>
                    <w:bidi w:val="0"/>
                    <w:ind w:left="0" w:leftChars="0" w:right="0" w:right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highlight w:val="none"/>
                    </w:rPr>
                    <w:t>环境管控单元编码</w:t>
                  </w:r>
                </w:p>
              </w:tc>
              <w:tc>
                <w:tcPr>
                  <w:tcW w:w="322" w:type="pct"/>
                  <w:vAlign w:val="center"/>
                </w:tcPr>
                <w:p>
                  <w:pPr>
                    <w:pageBreakBefore w:val="0"/>
                    <w:widowControl/>
                    <w:kinsoku/>
                    <w:wordWrap/>
                    <w:topLinePunct w:val="0"/>
                    <w:bidi w:val="0"/>
                    <w:ind w:left="0" w:leftChars="0" w:right="0" w:right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highlight w:val="none"/>
                    </w:rPr>
                    <w:t>环境管控单元名称</w:t>
                  </w:r>
                </w:p>
              </w:tc>
              <w:tc>
                <w:tcPr>
                  <w:tcW w:w="1425"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达州市普适性清单</w:t>
                  </w:r>
                </w:p>
              </w:tc>
              <w:tc>
                <w:tcPr>
                  <w:tcW w:w="401" w:type="pct"/>
                  <w:vAlign w:val="center"/>
                </w:tcPr>
                <w:p>
                  <w:pPr>
                    <w:pageBreakBefore w:val="0"/>
                    <w:widowControl/>
                    <w:kinsoku/>
                    <w:wordWrap/>
                    <w:topLinePunct w:val="0"/>
                    <w:bidi w:val="0"/>
                    <w:ind w:left="0" w:leftChars="0" w:right="0" w:right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highlight w:val="none"/>
                    </w:rPr>
                    <w:t>管控类别</w:t>
                  </w:r>
                </w:p>
              </w:tc>
              <w:tc>
                <w:tcPr>
                  <w:tcW w:w="1362" w:type="pct"/>
                  <w:vAlign w:val="center"/>
                </w:tcPr>
                <w:p>
                  <w:pPr>
                    <w:pageBreakBefore w:val="0"/>
                    <w:widowControl/>
                    <w:kinsoku/>
                    <w:wordWrap/>
                    <w:topLinePunct w:val="0"/>
                    <w:bidi w:val="0"/>
                    <w:ind w:left="0" w:leftChars="0" w:right="0" w:right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highlight w:val="none"/>
                    </w:rPr>
                    <w:t>单元特性管控要求</w:t>
                  </w:r>
                </w:p>
              </w:tc>
              <w:tc>
                <w:tcPr>
                  <w:tcW w:w="980" w:type="pct"/>
                  <w:vAlign w:val="center"/>
                </w:tcPr>
                <w:p>
                  <w:pPr>
                    <w:pageBreakBefore w:val="0"/>
                    <w:widowControl/>
                    <w:kinsoku/>
                    <w:wordWrap/>
                    <w:topLinePunct w:val="0"/>
                    <w:bidi w:val="0"/>
                    <w:ind w:left="0" w:leftChars="0" w:right="0" w:rightChars="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项目对应情况介绍</w:t>
                  </w:r>
                </w:p>
              </w:tc>
              <w:tc>
                <w:tcPr>
                  <w:tcW w:w="176" w:type="pct"/>
                  <w:vAlign w:val="center"/>
                </w:tcPr>
                <w:p>
                  <w:pPr>
                    <w:pageBreakBefore w:val="0"/>
                    <w:widowControl/>
                    <w:kinsoku/>
                    <w:wordWrap/>
                    <w:topLinePunct w:val="0"/>
                    <w:bidi w:val="0"/>
                    <w:ind w:left="0" w:leftChars="0" w:right="0" w:rightChars="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ZH51172230001</w:t>
                  </w:r>
                </w:p>
              </w:tc>
              <w:tc>
                <w:tcPr>
                  <w:tcW w:w="322"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宣汉县一般管控单元</w:t>
                  </w:r>
                </w:p>
              </w:tc>
              <w:tc>
                <w:tcPr>
                  <w:tcW w:w="1425" w:type="pct"/>
                  <w:vMerge w:val="restart"/>
                </w:tcPr>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－禁止在长江干支流1公里范围内新建、扩建化工园区和化工项目。</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－禁止在法律法规规定的禁采区内新建矿山；禁止土法采、选、冶严重污染环境的矿产资源。</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－涉及永久基本农田的区域，除法律规定的重点建设项目选址确实无法避让外，其他任何建设不得占用。</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－禁止在长江流域河湖管理范围内倾倒、填埋、堆放、弃置、处理固体废物。</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涉及法定保护地，严格按照国家及地方法律法规、管理办法等相关要求进行控制。配套旅游、基础设施等建设项目，在符合规划和相关保护要求的前提下，应实施生态避让、减缓影响及生态恢复措施。</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禁止在长江干流岸线三公里范围内和重要支流岸线一公里范围内新建、改建、扩建尾矿库；但是以提升安全、生态环境保护水平为目的的改建除外。</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针对现有水泥企业，强化污染治理和污染物减排，依法依规整治或搬迁。</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全面取缔禁养区内规模化畜禽养殖场。</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2025年基本完成全域内“散乱污”企业整治工作。</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在全市范围深入开展集中整治“散乱污”工业企业，对不符合产业政策和规划布局的，一律责令停产、限期搬迁或关停；</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加快现有乡镇污水处理设施升级改造，按要求达《城镇污水处理厂污染物排放标准》一级A标后排放。</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在矿产资源开发活动集中区域，废水执行重金属污染物排放特别限值。</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火电、水泥等行业按相关要求推进大气污染物超低排放和深度治理。</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砖瓦行业实施脱硫、除尘升级改造，污染物排放达到《砖瓦工业大气污染物排放标准》相关要求。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－到2023年底，力争全市生活垃圾焚烧处理能力占比达60%以上，各县（市）生活垃圾无害化处理率保持95%以上，乡镇及行政村生活垃圾收转运处置体系基本实现全覆盖。</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－到2025年，农药包装废弃物回收率达80%；粮油绿色高质高效示范区、茶叶主产区和现代农业园区农药包装废弃物回收率100%。</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－到2025年，全国主要农作物化肥、农药利用率达43%，测土配方施肥技术推广覆盖率保持在90%以上，控制农村面源污染，采取灌排分离等措施控制农田氮磷流失。</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－到2025年，废旧农膜回收利用率达到85%以上。</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企业环境风险防控要求：工业企业退出用地，须经评估、修复满足相应用地功能后，方可改变用途。</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定期对单元内尾矿库进行风险巡查，建立监测系统和环境风险应急预案；完善各尾矿库渗滤液收集、处理、回用系统，杜绝事故排放；尾矿库闭矿后因地制宜进行植被恢复和综合利用。</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规范排土场、渣场等整治。禁止处理不达标的污泥进入耕地。</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严格控制林地、草地、园地的农药使用量，禁止使用高毒、高残留农药。</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到2030年，全市受污染耕地安全利用率达到95%以上，污染地块安全利用率达到95%以上。</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－到2025年，农田灌溉水有效利用系数达到0.57以上。</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以省市下发指标为准</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推进清洁能源的推广使用，全面推进散煤清洁化整治；禁止新建每小时10蒸吨以下的燃煤锅炉及其他燃煤设施。</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禁止焚烧秸秆和垃圾，到2025年底，秸秆综合利用率达到86%以上。</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－禁燃区内禁止销售、燃用高污染燃料；禁止新建、改建、扩建燃用高污染燃料的设施和设备。</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－禁燃区内已建成的高污染燃料燃用设施由辖区人民政府制定限期改造计划，改用天然气、页岩气、液化石油气、电或其他清洁能源。</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空间布局约束</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禁止开发建设活动的要求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限制开发建设活动的要求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允许开发建设活动的要求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不符合空间布局要求活动的退出要求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其他空间布局约束要求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项目为宣汉县南坝镇城市生活污水处理厂提标改造及二期工程，不属于禁止、限制、退出的开发建设项目。</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ZH51172230001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宣汉县一般管控单元</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－禁止在长江干支流1公里范围内新建、扩建化工园区和化工项目。</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－禁止在法律法规规定的禁采区内新建矿山；禁止土法采、选、冶严重污染环境的矿产资源。</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－涉及永久基本农田的区域，除法律规定的重点建设项目选址确实无法避让外，其他任何建设不得占用。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－禁止在长江流域河湖管理范围内倾倒、填埋、堆放、弃置、处理固体废物。</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涉及法定保护地，严格按照国家及地方法律法规、管理办法等相关要求进行控制。配套旅游、基础设施等建设项目，在符合规划和相关保护要求的前提下，应实施生态避让、减缓影响及生态恢复措施。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禁止在长江干流岸线三公里范围内和重要支流岸线一公里范围内新建、改建、扩建尾矿库；但是以提升安全、生态环境保护水平为目的的改建除外。</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针对现有水泥企业，强化污染治理和污染物减排，依法依规整治或搬迁。</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全面取缔禁养区内规模化畜禽养殖场。</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2025年基本完成全域内“散乱污”企业整治工作。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在全市范围深入开展集中整治“散乱污”工业企业，对不符合产业政策和规划布局的，一律责令停产、限期搬迁或关停；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加快现有乡镇污水处理设施升级改造，按要求达《城镇污水处理厂污染物排放标准》一级A标后排放。</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在矿产资源开发活动集中区域，废水执行重金属污染物排放特别限值。</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火电、水泥等行业按相关要求推进大气污染物超低排放和深度治理。</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砖瓦行业实施脱硫、除尘升级改造，污染物排放达到《砖瓦工业大气污染物排放标准》相关要求。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－到2023年底，力争全市生活垃圾焚烧处理能力占比达60%以上，各县（市）生活垃圾无害化处理率保持95%以上，乡镇及行政村生活垃圾收转运处置体系基本实现全覆盖。</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－到2025年，农药包装废弃物回收率达80%；粮油绿色高质高效示范区、茶叶主产区和现代农业园区农药包装废弃物回收率100%。</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－到2025年，全国主要农作物化肥、农药利用率达43%，测土配方施肥技术推广覆盖率保持在90%以上，控制农村面源污染，采取灌排分离等措施控制农田氮磷流失。</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-到2025年，废旧农膜回收利用率达到85%以上。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企业环境风险防控要求：工业企业退出用地，须经评估、修复满足相应用地功能后，方可改变用途。</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定期对单元内尾矿库进行风险巡查，建立监测系统和环境风险应急预案；完善各尾矿库渗滤液收集、处理、回用系统，杜绝事故排放；尾矿库闭矿后因地制宜进行植被恢复和综合利用。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规范排土场、渣场等整治。禁止处理不达标的污泥进入耕地。</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严格控制林地、草地、园地的农药使用量，禁止使用高毒、高残留农药。</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到2030年，全市受污染耕地安全利用率达到95%以上，污染地块安全利用率达到95%以上。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-到2025年，农田灌溉水有效利用系数达到0.57以上。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以省市下发指标为准</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推进清洁能源的推广使用，全面推进散煤清洁化整治；禁止新建每小时10蒸吨以下的燃煤锅炉及其他燃煤设施。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禁止焚烧秸秆和垃圾，到2025年底，秸秆综合利用率达到86%以上。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-禁燃区内禁止销售、燃用高污染燃料；禁止新建、改建、扩建燃用高污染燃料的设施和设备。</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-禁燃区内已建成的高污染燃料燃用设施由辖区人民政府制定限期改造计划，改用天然气、页岩气、液化石油气、电或其他清洁能源。</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污染物排放管控</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现有源提标升级改造</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新增源等量或倍量替代</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新增源排放标准限值</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污染物排放绩效水平准入要求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-大气环境布局敏感和弱扩散重点管控区内，现有大气污染重点企业，限期进行深度治理或关停并转。-其它同达州市一般管控单元总体准入要求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其他污染物排放管控要求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本项目为宣汉县南坝镇城市生活污水处理厂提标改造及二期工程，即对一期工程进行提标改造（一级B提升至一级A），同时建设项目二期工程，其余不涉及</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ZH51172230001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宣汉县一般管控单元</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-禁止在长江干支流1公里范围内新建、扩建化工园区和化工项目。</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-禁止在法律法规规定的禁采区内新建矿山；禁止土法采、选、冶严重污染环境的矿产资源。</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-涉及永久基本农田的区域，除法律规定的重点建设项目选址确实无法避让外，其他任何建设不得占用。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-禁止在长江流域河湖管理范围内倾倒、填埋、堆放、弃置、处理固体废物。</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涉及法定保护地，严格按照国家及地方法律法规、管理办法等相关要求进行控制。配套旅游、基础设施等建设项目，在符合规划和相关保护要求的前提下，应实施生态避让、减缓影响及生态恢复措施。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禁止在长江干流岸线三公里范围内和重要支流岸线一公里范围内新建、改建、扩建尾矿库；但是以提升安全、生态环境保护水平为目的的改建除外。</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针对现有水泥企业，强化污染治理和污染物减排，依法依规整治或搬迁。</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全面取缔禁养区内规模化畜禽养殖场。</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2025年基本完成全域内“散乱污”企业整治工作。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在全市范围深入开展集中整治“散乱污”工业企业，对不符合产业政策和规划布局的，一律责令停产、限期搬迁或关停；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加快现有乡镇污水处理设施升级改造，按要求达《城镇污水处理厂污染物排放标准》一级A标后排放。</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在矿产资源开发活动集中区域，废水执行重金属污染物排放特别限值。</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火电、水泥等行业按相关要求推进大气污染物超低排放和深度治理。</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砖瓦行业实施脱硫、除尘升级改造，污染物排放达到《砖瓦工业大气污染物排放标准》相关要求。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-到2023年底，力争全市生活垃圾焚烧处理能力占比达60%以上，各县（市）生活垃圾无害化处理率保持95%以上，乡镇及行政村生活垃圾收转运处置体系基本实现全覆盖。</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-到2025年，农药包装废弃物回收率达80%；粮油绿色高质高效示范区、茶叶主产区和现代农业园区农药包装废弃物回收率100%。</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-到2025年，全国主要农作物化肥、农药利用率达43%，测土配方施肥技术推广覆盖率保持在90%以上，控制农村面源污染，采取灌排分离等措施控制农田氮磷流失。</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-到2025年，废旧农膜回收利用率达到85%以上。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企业环境风险防控要求：工业企业退出用地，须经评估、修复满足相应用地功能后，方可改变用途。</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定期对单元内尾矿库进行风险巡查，建立监测系统和环境风险应急预案；完善各尾矿库渗滤液收集、处理、回用系统，杜绝事故排放；尾矿库闭矿后因地制宜进行植被恢复和综合利用。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规范排土场、渣场等整治。禁止处理不达标的污泥进入耕地。</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严格控制林地、草地、园地的农药使用量，禁止使用高毒、高残留农药。</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到2030年，全市受污染耕地安全利用率达到95%以上，污染地块安全利用率达到95%以上。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-到2025年，农田灌溉水有效利用系数达到0.57以上。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以省市下发指标为准</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推进清洁能源的推广使用，全面推进散煤清洁化整治；禁止新建每小时10蒸吨以下的燃煤锅炉及其他燃煤设施。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禁止焚烧秸秆和垃圾，到2025年底，秸秆综合利用率达到86%以上。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-禁燃区内禁止销售、燃用高污染燃料；禁止新建、改建、扩建燃用高污染燃料的设施和设备。</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-禁燃区内已建成的高污染燃料燃用设施由辖区人民政府制定限期改造计划，改用天然气、页岩气、液化石油气、电或其他清洁能源。</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环境风险防控</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严格管控类农用地管控要求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安全利用类农用地管控要求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污染地块管控要求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园区环境风险防控要求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企业环境风险防控要求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其他环境风险防控要求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hint="eastAsia" w:eastAsia="宋体"/>
                      <w:color w:val="auto"/>
                      <w:sz w:val="21"/>
                      <w:highlight w:val="none"/>
                      <w:lang w:val="en-US" w:eastAsia="zh-CN"/>
                    </w:rPr>
                  </w:pPr>
                  <w:r>
                    <w:rPr>
                      <w:rFonts w:eastAsia="宋体"/>
                      <w:color w:val="auto"/>
                      <w:sz w:val="21"/>
                      <w:highlight w:val="none"/>
                    </w:rPr>
                    <w:t>本项目二期用地属于已划拨的污水厂内闲置空地。本项目建成后有效的收集处理南坝镇南、北两大排水区域生活污水和南坝工业园区工业废水，对前河流域的环境风险防控</w:t>
                  </w:r>
                  <w:r>
                    <w:rPr>
                      <w:rStyle w:val="28"/>
                      <w:rFonts w:hint="eastAsia" w:eastAsia="宋体"/>
                      <w:color w:val="auto"/>
                      <w:highlight w:val="none"/>
                      <w:lang w:val="en-US" w:eastAsia="zh-CN"/>
                    </w:rPr>
                    <w:t>可控</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ZH51172230001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宣汉县一般管控单元</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-禁止在长江干支流1公里范围内新建、扩建化工园区和化工项目。</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-禁止在法律法规规定的禁采区内新建矿山；禁止土法采、选、冶严重污染环境的矿产资源。</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-涉及永久基本农田的区域，除法律规定的重点建设项目选址确实无法避让外，其他任何建设不得占用。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-禁止在长江流域河湖管理范围内倾倒、填埋、堆放、弃置、处理固体废物。</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涉及法定保护地，严格按照国家及地方法律法规、管理办法等相关要求进行控制。配套旅游、基础设施等建设项目，在符合规划和相关保护要求的前提下，应实施生态避让、减缓影响及生态恢复措施。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按照相关要求严控水泥新增产能。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禁止在长江干流岸线三公里范围内和重要支流岸线一公里范围内新建、改建、扩建尾矿库；但是以提升安全、生态环境保护水平为目的的改建除外。</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针对现有水泥企业，强化污染治理和污染物减排，依法依规整治或搬迁。</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全面取缔禁养区内规模化畜禽养殖场。</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2025年基本完成全域内“散乱污”企业整治工作。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在全市范围深入开展集中整治“散乱污”工业企业，对不符合产业政策和规划布局的，一律责令停产、限期搬迁或关停；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加快现有乡镇污水处理设施升级改造，按要求达《城镇污水处理厂污染物排放标准》一级A标后排放。</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在矿产资源开发活动集中区域，废水执行重金属污染物排放特别限值。</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火电、水泥等行业按相关要求推进大气污染物超低排放和深度治理。</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砖瓦行业实施脱硫、除尘升级改造，污染物排放达到《砖瓦工业大气污染物排放标准》相关要求。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-到2023年底，力争全市生活垃圾焚烧处理能力占比达60%以上，各县（市）生活垃圾无害化处理率保持95%以上，乡镇及行政村生活垃圾收转运处置体系基本实现全覆盖。</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-到2025年，农药包装废弃物回收率达80%；粮油绿色高质高效示范区、茶叶主产区和现代农业园区农药包装废弃物回收率100%。</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-到2025年，全国主要农作物化肥、农药利用率达43%，测土配方施肥技术推广覆盖率保持在90%以上，控制农村面源污染，采取灌排分离等措施控制农田氮磷流失。</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-到2025年，废旧农膜回收利用率达到85%以上。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企业环境风险防控要求：工业企业退出用地，须经评估、修复满足相应用地功能后，方可改变用途。</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定期对单元内尾矿库进行风险巡查，建立监测系统和环境风险应急预案；完善各尾矿库渗滤液收集、处理、回用系统，杜绝事故排放；尾矿库闭矿后因地制宜进行植被恢复和综合利用。</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规范排土场、渣场等整治。禁止处理不达标的污泥进入耕地。</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严格控制林地、草地、园地的农药使用量，禁止使用高毒、高残留农药。</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到2030年，全市受污染耕地安全利用率达到95%以上，污染地块安全利用率达到95%以上。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-到2025年，农田灌溉水有效利用系数达到0.57以上。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以省市下发指标为准</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推进清洁能源的推广使用，全面推进散煤清洁化整治；禁止新建每小时10蒸吨以下的燃煤锅炉及其他燃煤设施。</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禁止焚烧秸秆和垃圾，到2025年底，秸秆综合利用率达到86%以上。</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-禁燃区内禁止销售、燃用高污染燃料；禁止新建、改建、扩建燃用高污染燃料的设施和设备。</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-禁燃区内已建成的高污染燃料燃用设施由辖区人民政府制定限期改造计划，改用天然气、页岩气、液化石油气、电或其他清洁能源。</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资源开发效率要求</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水资源利用效率要求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地下水开采要求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能源利用效率要求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同达州市一般管控单元总体准入要求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其他资源利用效率要求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本项目给水由市政管网供给，因此本项目不涉及上述要求</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YS5117223210001</w:t>
                  </w:r>
                </w:p>
              </w:tc>
              <w:tc>
                <w:tcPr>
                  <w:tcW w:w="322"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州河宣汉县张鼓坪控制单元</w:t>
                  </w:r>
                </w:p>
              </w:tc>
              <w:tc>
                <w:tcPr>
                  <w:tcW w:w="1425" w:type="pct"/>
                  <w:vMerge w:val="restart"/>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空间布局约束</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禁止开发建设活动的要求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限制开发建设活动的要求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允许开发建设活动的要求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不符合空间布局要求活动的退出要求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其他空间布局约束要求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本项目不属于禁止、限制退出的开发建设项目</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YS5117223210001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州河宣汉县张鼓坪控制单元</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污染物排放管控</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城镇污水污染控制措施要求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工业废水污染控制措施要求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农业面源水污染控制措施要求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船舶港口水污染控制措施要求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饮用水水源和其它特殊水体保护要求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本项目废水经处理后达《城镇污水处理厂污染物排放标准》（GB18918-2002）一级A标准后排入前河</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YS5117223210001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州河宣汉县张鼓坪控制单元</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环境风险防控</w:t>
                  </w:r>
                </w:p>
              </w:tc>
              <w:tc>
                <w:tcPr>
                  <w:tcW w:w="1362" w:type="pct"/>
                  <w:vMerge w:val="restar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YS5117223210001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州河宣汉县张鼓坪控制单元</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资源开发效率要求</w:t>
                  </w:r>
                </w:p>
              </w:tc>
              <w:tc>
                <w:tcPr>
                  <w:tcW w:w="1362" w:type="pct"/>
                  <w:vMerge w:val="continue"/>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YS5117223310001</w:t>
                  </w:r>
                </w:p>
              </w:tc>
              <w:tc>
                <w:tcPr>
                  <w:tcW w:w="322"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宣汉县大气环境一般管控区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空间布局约束</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禁止开发建设活动的要求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限制开发建设活动的要求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允许开发建设活动的要求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不符合空间布局要求活动的退出要求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其他空间布局约束要求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本项目不属于禁止、限制退出的开发建设项目</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YS5117223310001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宣汉县大气环境一般管控区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left"/>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污染物排放管控</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大气环境质量执行标准</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《环境空气质量标准》（GB3095-2012）：二级</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区域大气污染物削减/替代要求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燃煤和其他能源大气污染控制要求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工业废气污染控制要求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机动车船大气污染控制要求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扬尘污染控制要求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农业生产经营活动大气污染控制要求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重点行业企业专项治理要求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其他大气污染物排放管控要求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hint="default" w:eastAsia="宋体"/>
                      <w:color w:val="auto"/>
                      <w:sz w:val="21"/>
                      <w:highlight w:val="none"/>
                      <w:lang w:val="en-US" w:eastAsia="zh-CN"/>
                    </w:rPr>
                  </w:pPr>
                  <w:r>
                    <w:rPr>
                      <w:rFonts w:eastAsia="宋体"/>
                      <w:color w:val="auto"/>
                      <w:sz w:val="21"/>
                      <w:highlight w:val="none"/>
                    </w:rPr>
                    <w:t>项目施工期采取洒水降尘、设置围挡等措施，降低对周边大气环境的影响</w:t>
                  </w:r>
                  <w:r>
                    <w:rPr>
                      <w:rStyle w:val="28"/>
                      <w:rFonts w:hint="eastAsia" w:eastAsia="宋体"/>
                      <w:color w:val="auto"/>
                      <w:highlight w:val="none"/>
                      <w:lang w:eastAsia="zh-CN"/>
                    </w:rPr>
                    <w:t>；</w:t>
                  </w:r>
                  <w:r>
                    <w:rPr>
                      <w:rStyle w:val="28"/>
                      <w:rFonts w:hint="eastAsia" w:eastAsia="宋体"/>
                      <w:color w:val="auto"/>
                      <w:highlight w:val="none"/>
                      <w:lang w:val="en-US" w:eastAsia="zh-CN"/>
                    </w:rPr>
                    <w:t>运营期恶臭通过加强管理，控制污泥发酵；及时对脱水泥饼进行转运；设置绿化带；定期喷洒生物除臭剂；以恶臭单元为边界划定50m/100m卫生防护距离等措施对恶臭气体进行控制、处理；食堂油烟经油烟净化器处理后引至综合大楼楼顶排放；更换的柴油发电机组应自带烟气净化装置，处理后的废气引至配电房楼顶排放。</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YS5117223310001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宣汉县大气环境一般管控区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环境风险防控</w:t>
                  </w:r>
                </w:p>
              </w:tc>
              <w:tc>
                <w:tcPr>
                  <w:tcW w:w="1362" w:type="pct"/>
                  <w:vMerge w:val="restar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YS5117223310001</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宣汉县大气环境一般管控区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资源开发效率要求</w:t>
                  </w:r>
                </w:p>
              </w:tc>
              <w:tc>
                <w:tcPr>
                  <w:tcW w:w="1362" w:type="pct"/>
                  <w:vMerge w:val="continue"/>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YS5117221410003</w:t>
                  </w:r>
                </w:p>
              </w:tc>
              <w:tc>
                <w:tcPr>
                  <w:tcW w:w="322" w:type="pct"/>
                  <w:vMerge w:val="restar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宣汉县土壤优先保护区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空间布局约束</w:t>
                  </w:r>
                </w:p>
              </w:tc>
              <w:tc>
                <w:tcPr>
                  <w:tcW w:w="1362"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禁止开发建设活动的要求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限制开发建设活动的要求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允许开发建设活动的要求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不符合空间布局要求活动的退出要求</w:t>
                  </w:r>
                </w:p>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其他空间布局约束要求</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本项目不属于禁止、限制退出的开发建设项目</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YS5117221410003</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宣汉县土壤优先保护区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污染物排放管控</w:t>
                  </w:r>
                </w:p>
              </w:tc>
              <w:tc>
                <w:tcPr>
                  <w:tcW w:w="1362" w:type="pct"/>
                  <w:vMerge w:val="restar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left"/>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YS5117221410003</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宣汉县土壤优先保护区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环境风险防控</w:t>
                  </w:r>
                </w:p>
              </w:tc>
              <w:tc>
                <w:tcPr>
                  <w:tcW w:w="1362" w:type="pct"/>
                  <w:vMerge w:val="continue"/>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YS5117221410003</w:t>
                  </w:r>
                </w:p>
              </w:tc>
              <w:tc>
                <w:tcPr>
                  <w:tcW w:w="322" w:type="pct"/>
                  <w:vMerge w:val="continue"/>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宣汉县土壤优先保护区</w:t>
                  </w:r>
                </w:p>
              </w:tc>
              <w:tc>
                <w:tcPr>
                  <w:tcW w:w="1425" w:type="pct"/>
                  <w:vMerge w:val="continue"/>
                  <w:vAlign w:val="center"/>
                </w:tcPr>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空间布局约束：</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禁止开发建设活动的要求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限制开发建设活动的要求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不符合空间布局要求活动的退出要求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其他空间布局约束要求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污染物排放管控：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允许排放量要求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现有源提标升级改造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其他污染物排放管控要求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环境风险防控：</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联防联控要求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其他环境风险防控要求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资源开发利用效率要求：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水资源利用总量要求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地下水开采要求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能源利用总量及效率要求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禁燃区要求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其他资源利用效率要求</w:t>
                  </w:r>
                </w:p>
                <w:p>
                  <w:pPr>
                    <w:pStyle w:val="37"/>
                    <w:pageBreakBefore w:val="0"/>
                    <w:kinsoku/>
                    <w:wordWrap/>
                    <w:topLinePunct w:val="0"/>
                    <w:bidi w:val="0"/>
                    <w:spacing w:line="240" w:lineRule="auto"/>
                    <w:ind w:left="0" w:leftChars="0" w:right="0" w:rightChars="0" w:firstLine="0" w:firstLineChars="0"/>
                    <w:jc w:val="center"/>
                    <w:rPr>
                      <w:rFonts w:eastAsia="宋体"/>
                      <w:color w:val="auto"/>
                      <w:kern w:val="0"/>
                      <w:sz w:val="21"/>
                      <w:highlight w:val="none"/>
                    </w:rPr>
                  </w:pPr>
                  <w:r>
                    <w:rPr>
                      <w:rFonts w:eastAsia="宋体"/>
                      <w:color w:val="auto"/>
                      <w:kern w:val="0"/>
                      <w:sz w:val="21"/>
                      <w:highlight w:val="none"/>
                    </w:rPr>
                    <w:t>暂无</w:t>
                  </w:r>
                </w:p>
              </w:tc>
              <w:tc>
                <w:tcPr>
                  <w:tcW w:w="401" w:type="pct"/>
                  <w:vAlign w:val="center"/>
                </w:tcPr>
                <w:p>
                  <w:pPr>
                    <w:pStyle w:val="37"/>
                    <w:pageBreakBefore w:val="0"/>
                    <w:widowControl/>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资源开发效率要求</w:t>
                  </w:r>
                </w:p>
              </w:tc>
              <w:tc>
                <w:tcPr>
                  <w:tcW w:w="1362" w:type="pct"/>
                  <w:vMerge w:val="continue"/>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980"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c>
                <w:tcPr>
                  <w:tcW w:w="176" w:type="pct"/>
                  <w:vAlign w:val="center"/>
                </w:tcPr>
                <w:p>
                  <w:pPr>
                    <w:pStyle w:val="37"/>
                    <w:pageBreakBefore w:val="0"/>
                    <w:widowControl/>
                    <w:shd w:val="clear" w:color="auto" w:fill="FFFFFF"/>
                    <w:kinsoku/>
                    <w:wordWrap/>
                    <w:topLinePunct w:val="0"/>
                    <w:bidi w:val="0"/>
                    <w:spacing w:line="240" w:lineRule="auto"/>
                    <w:ind w:left="0" w:leftChars="0" w:right="0" w:rightChars="0" w:firstLine="0" w:firstLineChars="0"/>
                    <w:jc w:val="center"/>
                    <w:rPr>
                      <w:rFonts w:eastAsia="宋体"/>
                      <w:color w:val="auto"/>
                      <w:sz w:val="21"/>
                      <w:highlight w:val="none"/>
                    </w:rPr>
                  </w:pPr>
                  <w:r>
                    <w:rPr>
                      <w:rFonts w:eastAsia="宋体"/>
                      <w:color w:val="auto"/>
                      <w:sz w:val="21"/>
                      <w:highlight w:val="none"/>
                    </w:rPr>
                    <w:t>/</w:t>
                  </w:r>
                </w:p>
              </w:tc>
            </w:tr>
          </w:tbl>
          <w:p>
            <w:pPr>
              <w:pageBreakBefore w:val="0"/>
              <w:kinsoku/>
              <w:wordWrap/>
              <w:topLinePunct w:val="0"/>
              <w:bidi w:val="0"/>
              <w:spacing w:line="360" w:lineRule="auto"/>
              <w:ind w:left="0" w:leftChars="0" w:right="0" w:rightChars="0" w:firstLine="482" w:firstLineChars="200"/>
              <w:rPr>
                <w:color w:val="auto"/>
                <w:highlight w:val="none"/>
              </w:rPr>
            </w:pPr>
            <w:r>
              <w:rPr>
                <w:b/>
                <w:bCs/>
                <w:color w:val="auto"/>
                <w:sz w:val="24"/>
                <w:szCs w:val="24"/>
                <w:highlight w:val="none"/>
                <w:lang w:bidi="ar"/>
              </w:rPr>
              <w:t>综上，本项目符合“三线一单”的要求。</w:t>
            </w:r>
          </w:p>
        </w:tc>
      </w:tr>
    </w:tbl>
    <w:p>
      <w:pPr>
        <w:pStyle w:val="22"/>
        <w:pageBreakBefore w:val="0"/>
        <w:kinsoku/>
        <w:wordWrap/>
        <w:topLinePunct w:val="0"/>
        <w:bidi w:val="0"/>
        <w:spacing w:after="0" w:line="360" w:lineRule="auto"/>
        <w:ind w:left="0" w:leftChars="0" w:right="0" w:rightChars="0" w:firstLine="0"/>
        <w:jc w:val="center"/>
        <w:rPr>
          <w:color w:val="auto"/>
          <w:highlight w:val="none"/>
        </w:rPr>
        <w:sectPr>
          <w:pgSz w:w="16838" w:h="11906" w:orient="landscape"/>
          <w:pgMar w:top="1440" w:right="1134" w:bottom="1440" w:left="1134" w:header="851" w:footer="992" w:gutter="0"/>
          <w:cols w:space="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vAlign w:val="center"/>
          </w:tcPr>
          <w:p>
            <w:pPr>
              <w:pageBreakBefore w:val="0"/>
              <w:kinsoku/>
              <w:wordWrap/>
              <w:topLinePunct w:val="0"/>
              <w:bidi w:val="0"/>
              <w:spacing w:line="360" w:lineRule="auto"/>
              <w:ind w:left="0" w:leftChars="0" w:right="0" w:rightChars="0"/>
              <w:jc w:val="center"/>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其他符合性分析</w:t>
            </w:r>
          </w:p>
        </w:tc>
        <w:tc>
          <w:tcPr>
            <w:tcW w:w="8820" w:type="dxa"/>
          </w:tcPr>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24"/>
                <w:highlight w:val="none"/>
                <w:lang w:bidi="ar"/>
              </w:rPr>
            </w:pPr>
            <w:r>
              <w:rPr>
                <w:rFonts w:hint="default" w:ascii="Times New Roman" w:hAnsi="Times New Roman" w:cs="Times New Roman"/>
                <w:b/>
                <w:bCs/>
                <w:color w:val="auto"/>
                <w:sz w:val="24"/>
                <w:szCs w:val="24"/>
                <w:highlight w:val="none"/>
                <w:lang w:bidi="ar"/>
              </w:rPr>
              <w:t>2、与《四川省城镇生活污水和城乡生活垃圾处理设施建设三年推进总体方案（2021—2023年）》的符合性分析</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为加快城镇生活污水和城乡生活垃圾处理设施建设补短板强弱项，四川省人民政府办2020年12月29日发布了《四川省城镇生活污水和城乡生活垃圾处理设施建设三年推进总体方案（2021—2023年）》（川办发〔2020〕86号），项目与其符合性分析见下表。</w:t>
            </w:r>
          </w:p>
          <w:p>
            <w:pPr>
              <w:pageBreakBefore w:val="0"/>
              <w:kinsoku/>
              <w:wordWrap/>
              <w:topLinePunct w:val="0"/>
              <w:bidi w:val="0"/>
              <w:spacing w:line="360" w:lineRule="auto"/>
              <w:ind w:left="0" w:leftChars="0" w:right="0" w:righ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表1-7 项目与川办发〔2020〕86号的符合性分析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4560"/>
              <w:gridCol w:w="2678"/>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3" w:type="pct"/>
                  <w:gridSpan w:val="2"/>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主要内容</w:t>
                  </w:r>
                </w:p>
              </w:tc>
              <w:tc>
                <w:tcPr>
                  <w:tcW w:w="1558"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w:t>
                  </w:r>
                </w:p>
              </w:tc>
              <w:tc>
                <w:tcPr>
                  <w:tcW w:w="388"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工作目标</w:t>
                  </w:r>
                </w:p>
              </w:tc>
              <w:tc>
                <w:tcPr>
                  <w:tcW w:w="2653" w:type="pct"/>
                  <w:vAlign w:val="center"/>
                </w:tcPr>
                <w:p>
                  <w:pPr>
                    <w:pageBreakBefore w:val="0"/>
                    <w:kinsoku/>
                    <w:wordWrap/>
                    <w:topLinePunct w:val="0"/>
                    <w:autoSpaceDE w:val="0"/>
                    <w:autoSpaceDN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全面提高城镇生活污水收集、处理能力。加大生活污水收集管网配套建设和改造力度，促进生活污水资源化利用，推进污泥无害化资源化处理处置。到2023年底，县级及以上城市设施能力基本满足生活污水处理需求，所有建制镇具备污水处理能力；城市市政雨污管网混错接改造更新及建制镇污水支线管网建设取得著成效，生活污水收集效能明显提升，力争地级以上城市生活污水处理厂进水生化需氧量（BOD）浓度平均达105mg/L、县级城市平均达90mg/L；城市污泥无害化处置率和资源化利用率进一步提高，力争地级以上城市污泥无害化处置率达92%、县级城市达85%；缺水地区和水环境敏感区域污水资源化利用水平明显提升。</w:t>
                  </w:r>
                </w:p>
              </w:tc>
              <w:tc>
                <w:tcPr>
                  <w:tcW w:w="1558" w:type="pct"/>
                  <w:vAlign w:val="center"/>
                </w:tcPr>
                <w:p>
                  <w:pPr>
                    <w:pageBreakBefore w:val="0"/>
                    <w:widowControl/>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本项目建成后有效的收集处理南坝镇南、北两大排水区域生活污水和南坝工业园区工业废水；污泥根据后期其危险特性鉴别结果确定其最终处置方式</w:t>
                  </w:r>
                  <w:r>
                    <w:rPr>
                      <w:rStyle w:val="28"/>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388" w:type="pct"/>
                  <w:vMerge w:val="restar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加快推进城镇生活污水处理设施补短板强弱项</w:t>
                  </w:r>
                </w:p>
              </w:tc>
              <w:tc>
                <w:tcPr>
                  <w:tcW w:w="2653" w:type="pct"/>
                  <w:vAlign w:val="center"/>
                </w:tcPr>
                <w:p>
                  <w:pPr>
                    <w:pageBreakBefore w:val="0"/>
                    <w:kinsoku/>
                    <w:wordWrap/>
                    <w:topLinePunct w:val="0"/>
                    <w:autoSpaceDE w:val="0"/>
                    <w:autoSpaceDN w:val="0"/>
                    <w:bidi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着力补齐生活污水处理能力短板。目前不具备污水集中处理能力的城镇要尽快建成生活污水收集处理设施。应建未建生活污水处理设施、现有处理能力不足、水体污染严重、环境容量较低以及水环境敏感的地区要加快提升污水处理能力，已建成未投运的生活污水处理设施应尽快实现达标投运。</w:t>
                  </w:r>
                </w:p>
              </w:tc>
              <w:tc>
                <w:tcPr>
                  <w:tcW w:w="1558"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项目扩建是解决现有工程处理能力不足的短板。</w:t>
                  </w:r>
                </w:p>
              </w:tc>
              <w:tc>
                <w:tcPr>
                  <w:tcW w:w="388"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p>
              </w:tc>
              <w:tc>
                <w:tcPr>
                  <w:tcW w:w="2653" w:type="pct"/>
                  <w:vAlign w:val="center"/>
                </w:tcPr>
                <w:p>
                  <w:pPr>
                    <w:pageBreakBefore w:val="0"/>
                    <w:kinsoku/>
                    <w:wordWrap/>
                    <w:topLinePunct w:val="0"/>
                    <w:autoSpaceDE w:val="0"/>
                    <w:autoSpaceDN w:val="0"/>
                    <w:bidi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加快提升污泥无害化处理处置能力。按照“集散结合、适当集中”原则，统筹规划建设污泥无害化处理处置设施，加快改造现有未达标污泥处理处置设施。积极推广污泥垃圾协同处置，促进污泥资源化利用，逐步降低填埋处置所占比重。建制镇污水处理设施产生的污泥原则上应纳入城市集中无害化处置范围。加大非正规污泥堆放点和污泥处理处置单位的排查和整治力度，坚决查处污泥非法转移、堆放、倾倒、处置等违法行为。</w:t>
                  </w:r>
                </w:p>
              </w:tc>
              <w:tc>
                <w:tcPr>
                  <w:tcW w:w="1558"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项目污泥根据后期其危险特性鉴别结果确定其最终处置方式</w:t>
                  </w:r>
                  <w:r>
                    <w:rPr>
                      <w:rFonts w:hint="default" w:ascii="Times New Roman" w:hAnsi="Times New Roman" w:cs="Times New Roman"/>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388"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因此，项目的建设符合川办发〔2020〕86号相关要求。</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24"/>
                <w:highlight w:val="none"/>
                <w:lang w:bidi="ar"/>
              </w:rPr>
            </w:pPr>
            <w:r>
              <w:rPr>
                <w:rFonts w:hint="default" w:ascii="Times New Roman" w:hAnsi="Times New Roman" w:cs="Times New Roman"/>
                <w:b/>
                <w:bCs/>
                <w:color w:val="auto"/>
                <w:sz w:val="24"/>
                <w:szCs w:val="24"/>
                <w:highlight w:val="none"/>
                <w:lang w:bidi="ar"/>
              </w:rPr>
              <w:t>3、与达州市人民政府办公室关于印发《达州市推进城镇生活污水和城乡生活垃圾处理设施建设三年实施方案（2021—2023年）》（以下称《方案》）的通知符合性分析</w:t>
            </w:r>
          </w:p>
          <w:p>
            <w:pPr>
              <w:pageBreakBefore w:val="0"/>
              <w:kinsoku/>
              <w:wordWrap/>
              <w:topLinePunct w:val="0"/>
              <w:bidi w:val="0"/>
              <w:spacing w:line="360" w:lineRule="auto"/>
              <w:ind w:left="0" w:leftChars="0" w:right="0" w:righ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表1-8 项目与《方案》的符合性分析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4590"/>
              <w:gridCol w:w="2865"/>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57" w:type="pct"/>
                  <w:gridSpan w:val="2"/>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主要内容</w:t>
                  </w:r>
                </w:p>
              </w:tc>
              <w:tc>
                <w:tcPr>
                  <w:tcW w:w="1667"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w:t>
                  </w:r>
                </w:p>
              </w:tc>
              <w:tc>
                <w:tcPr>
                  <w:tcW w:w="375"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工作目标</w:t>
                  </w:r>
                </w:p>
              </w:tc>
              <w:tc>
                <w:tcPr>
                  <w:tcW w:w="2671" w:type="pct"/>
                  <w:vAlign w:val="center"/>
                </w:tcPr>
                <w:p>
                  <w:pPr>
                    <w:pageBreakBefore w:val="0"/>
                    <w:kinsoku/>
                    <w:wordWrap/>
                    <w:topLinePunct w:val="0"/>
                    <w:autoSpaceDE w:val="0"/>
                    <w:autoSpaceDN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全面提高城镇生活污水收集与处理能力。市中心城区、各县（市）市政雨污管网混错接改造更新及建制镇污水支线管网建设取得显著成效，生活污水收集效能明显提升，力争达州市鲜家坝、周家坝城市生活污水处理厂进水生化需氧量（BOD）浓度平均达105毫克每升、各县（市）城市平均达90毫克每升；城市污泥无害化处置率和资源化利用率进一步提高，力争达州市鲜家坝、周家坝城市生活污水处理厂污泥无害化处置率达92%、各县（市）城市达85%；城市生活污水资源化利用水平明显提升。</w:t>
                  </w:r>
                </w:p>
              </w:tc>
              <w:tc>
                <w:tcPr>
                  <w:tcW w:w="1667" w:type="pct"/>
                  <w:vAlign w:val="center"/>
                </w:tcPr>
                <w:p>
                  <w:pPr>
                    <w:pageBreakBefore w:val="0"/>
                    <w:widowControl/>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本项目建成后有效的收集处理南坝镇南、北两大排水区域生活污水和南坝工业园区工业废水；污泥根据后期其危险特性鉴别结果确定其最终处置方式</w:t>
                  </w:r>
                  <w:r>
                    <w:rPr>
                      <w:rFonts w:hint="default" w:ascii="Times New Roman" w:hAnsi="Times New Roman" w:cs="Times New Roman"/>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375" w:type="pct"/>
                  <w:vMerge w:val="restar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Merge w:val="restar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加快推进城镇生活污水处理设施补短板强弱项</w:t>
                  </w:r>
                </w:p>
              </w:tc>
              <w:tc>
                <w:tcPr>
                  <w:tcW w:w="2671" w:type="pct"/>
                  <w:vAlign w:val="center"/>
                </w:tcPr>
                <w:p>
                  <w:pPr>
                    <w:pageBreakBefore w:val="0"/>
                    <w:kinsoku/>
                    <w:wordWrap/>
                    <w:topLinePunct w:val="0"/>
                    <w:autoSpaceDE w:val="0"/>
                    <w:autoSpaceDN w:val="0"/>
                    <w:bidi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加快补齐生活污水处理能力短板。积极推广低成本、低能耗、易维护、易监管的污水处理工艺和处理设施。目前尚未有效集中处理污水的城镇要尽快补齐和完善生活污水收集处理能力，加快推进市政生活污水收集处理设施向城乡结合部、近郊地区延伸辐射。因地制宜开展合流制排水系统雨污分流改造，合理通过改造溢流口、增加人工湿地、增设调蓄设施等技术措施进行污水处理改造。现有处理能力不足、水体污染严重、环境容量较低以及水环境敏感的城镇要加快提升污水处理能力，已建成未投运的生活污水处理设施应尽快实现达标投运。</w:t>
                  </w:r>
                </w:p>
              </w:tc>
              <w:tc>
                <w:tcPr>
                  <w:tcW w:w="166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项目扩建是解决现有工程处理能力不足的短板。</w:t>
                  </w:r>
                </w:p>
              </w:tc>
              <w:tc>
                <w:tcPr>
                  <w:tcW w:w="375"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5" w:type="pct"/>
                  <w:vMerge w:val="continue"/>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p>
              </w:tc>
              <w:tc>
                <w:tcPr>
                  <w:tcW w:w="2671" w:type="pct"/>
                  <w:vAlign w:val="center"/>
                </w:tcPr>
                <w:p>
                  <w:pPr>
                    <w:pageBreakBefore w:val="0"/>
                    <w:kinsoku/>
                    <w:wordWrap/>
                    <w:topLinePunct w:val="0"/>
                    <w:autoSpaceDE w:val="0"/>
                    <w:autoSpaceDN w:val="0"/>
                    <w:bidi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加快提升污泥无害化处置与再生水利用能力。加大污泥无害化处理处置设施建设和改造力度，积极推广垃圾焚烧发电厂、燃煤电厂、水泥窑等污泥垃圾协同处置方式，促进污泥资源化利用，逐步降低填埋处置所占比重。建制镇污水处理设施产生的污泥原则上应纳入城市集中无害化处置范围。加大非正规污泥堆放点和污泥处理处置单位的排查和整治力度，坚决查处污泥非法转移、堆放、倾倒、处置等违法行为。积极推动污水资源化利用，坚持“就近处理、就地循环”原则，因地制宜确定再生水用途、规模和布局，加快推进再生水利用设施建设，鼓励城市杂用、工业生产、景观用水、河道补水等方面优先使用再生水。</w:t>
                  </w:r>
                </w:p>
              </w:tc>
              <w:tc>
                <w:tcPr>
                  <w:tcW w:w="166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项目污泥根据后期其危险特性鉴别结果确定其最终处置方式</w:t>
                  </w:r>
                  <w:r>
                    <w:rPr>
                      <w:rFonts w:hint="default" w:ascii="Times New Roman" w:hAnsi="Times New Roman" w:cs="Times New Roman"/>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375"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因此，项目的建设符合上述《方案》相关要求。</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24"/>
                <w:highlight w:val="none"/>
                <w:lang w:bidi="ar"/>
              </w:rPr>
            </w:pPr>
            <w:r>
              <w:rPr>
                <w:rFonts w:hint="default" w:ascii="Times New Roman" w:hAnsi="Times New Roman" w:cs="Times New Roman"/>
                <w:b/>
                <w:bCs/>
                <w:color w:val="auto"/>
                <w:sz w:val="24"/>
                <w:szCs w:val="24"/>
                <w:highlight w:val="none"/>
                <w:lang w:bidi="ar"/>
              </w:rPr>
              <w:t>4、与《达州市国民经济和社会发展第十四个五年规划和二〇三五年远景目标纲要》符合性分析</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根据《达州市国民经济和社会发展第十四个五年规划和二〇三五年远景目标纲要》中要求：第一节持续打好污染防治“八大战役”坚持打赢蓝天保卫战——打好碧水保卫战，全面落实河（湖）长制，加强重点流域综合治理和岸线保护，力争国省考核断面水质类别达到国省下达目标任务……加快城镇污水和城乡垃圾处理设施建设，重点抓好乡镇和县级工业园区污水处理设施建设。打好渠江保护修复攻坚战，加强渠江流域内重点小流域污染综合整治及水质良好流域生态保护工作。</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本项目为宣汉县南坝镇城市生活污水处理厂提标改造及二期工程，项目建成后有助于实现渠江保护修复，有助于提升前河水环境整治及流域生态保护，符合《达州市国民经济和社会发展第十四个五年规划和二〇三五年远景目标纲要》。</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24"/>
                <w:highlight w:val="none"/>
                <w:lang w:bidi="ar"/>
              </w:rPr>
            </w:pPr>
            <w:r>
              <w:rPr>
                <w:rFonts w:hint="default" w:ascii="Times New Roman" w:hAnsi="Times New Roman" w:cs="Times New Roman"/>
                <w:b/>
                <w:bCs/>
                <w:color w:val="auto"/>
                <w:sz w:val="24"/>
                <w:szCs w:val="24"/>
                <w:highlight w:val="none"/>
                <w:lang w:bidi="ar"/>
              </w:rPr>
              <w:t>5、与《达州市“十四五”生态环境保护规划》符合性分析</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根据《达州市“十四五”生态环境保护规划》内容：第五节加强系统保护与治理，重现山水流翠的水墨达州——（三）提升水环境质量——加强城乡生活污水处理设施建设。加快推进市本级、大竹县、开江县污水处理厂扩能工程建设，谋划中心镇污水处理设施扩能改造，实施污水管网补短板工程，全面提升城市污水处理能力。因地制宜推进乡镇污水处理站和村镇微型生活污水设施建设，推动城镇污水管网向周边村庄延伸覆盖。</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本项目为宣汉县南坝镇城市生活污水处理厂提标改造及二期工程，建成投入运行后，加强了南坝镇生活污水的处理，并提升了污水处理能力。</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因此，本项目的建设符合《达州市“十四五”生态环境保护规划》的要求。</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6、与国家及地方有关水污染防治的规范文件符合性分析</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根据《水污染防治行动计划》（国发〔2015〕17号）、《水污染防治行动计划四川省工作方案》（川府发〔2015〕59号）、《四川省打赢碧水保卫战实施方案》等相关水污染防治规范要求，本项目对照分析如下：</w:t>
            </w:r>
          </w:p>
          <w:p>
            <w:pPr>
              <w:pageBreakBefore w:val="0"/>
              <w:kinsoku/>
              <w:wordWrap/>
              <w:topLinePunct w:val="0"/>
              <w:bidi w:val="0"/>
              <w:spacing w:line="360" w:lineRule="auto"/>
              <w:ind w:left="0" w:leftChars="0" w:right="0" w:righ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表1-9 项目与相关水污染防治政策的符合性分析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4769"/>
              <w:gridCol w:w="1923"/>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名称</w:t>
                  </w:r>
                </w:p>
              </w:tc>
              <w:tc>
                <w:tcPr>
                  <w:tcW w:w="2775"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具体内容</w:t>
                  </w:r>
                </w:p>
              </w:tc>
              <w:tc>
                <w:tcPr>
                  <w:tcW w:w="1119"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w:t>
                  </w:r>
                </w:p>
              </w:tc>
              <w:tc>
                <w:tcPr>
                  <w:tcW w:w="491"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国发〔2015〕17号</w:t>
                  </w:r>
                </w:p>
              </w:tc>
              <w:tc>
                <w:tcPr>
                  <w:tcW w:w="2775"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一条“全面控制污染物排放”中要求：（二）强化城镇生活污染治理。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推进污泥处理处置。污水处理设施产生的污泥应进行稳定化、无害化和资源化处理处置，禁止处理处置不达标的污泥进入耕地。非法污泥堆放点一律予以取缔。现有污泥处理处置设置应于2017年底前基本完成达标改造，地级及以上城市污泥无害化处理处置率应于2020年底前达到90%以上。</w:t>
                  </w:r>
                </w:p>
              </w:tc>
              <w:tc>
                <w:tcPr>
                  <w:tcW w:w="1119" w:type="pct"/>
                  <w:vMerge w:val="restart"/>
                  <w:vAlign w:val="center"/>
                </w:tcPr>
                <w:p>
                  <w:pPr>
                    <w:pageBreakBefore w:val="0"/>
                    <w:widowControl/>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期工程进行提标改造（一级B提升至一级A），同时扩建二期工程。本项目建成后有效的收集处理南坝镇南、北两大排水区域生活污水和南坝工业园区工业废水，出水水质执行《城镇污水处理厂污染物排放标准》（GB18918-2002）一级A排放标准后排入前河，污水厂进出口安装自动在线监控装置。项目污泥根据后期其危险特性鉴别结果确定其最终处置方式</w:t>
                  </w:r>
                  <w:r>
                    <w:rPr>
                      <w:rFonts w:hint="default" w:ascii="Times New Roman" w:hAnsi="Times New Roman" w:cs="Times New Roman"/>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491" w:type="pct"/>
                  <w:vMerge w:val="restar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川府发〔2015〕59号</w:t>
                  </w:r>
                </w:p>
              </w:tc>
              <w:tc>
                <w:tcPr>
                  <w:tcW w:w="2775" w:type="pct"/>
                  <w:vAlign w:val="center"/>
                </w:tcPr>
                <w:p>
                  <w:pPr>
                    <w:pageBreakBefore w:val="0"/>
                    <w:numPr>
                      <w:ilvl w:val="0"/>
                      <w:numId w:val="3"/>
                    </w:numPr>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强化城镇生活污染治理...</w:t>
                  </w:r>
                  <w:r>
                    <w:rPr>
                      <w:rFonts w:hint="default" w:ascii="Times New Roman" w:hAnsi="Times New Roman" w:cs="Times New Roman"/>
                      <w:b/>
                      <w:bCs/>
                      <w:color w:val="auto"/>
                      <w:highlight w:val="none"/>
                    </w:rPr>
                    <w:t>4.加快城镇污水处理设施建设与改造</w:t>
                  </w:r>
                  <w:r>
                    <w:rPr>
                      <w:rFonts w:hint="default" w:ascii="Times New Roman" w:hAnsi="Times New Roman" w:cs="Times New Roman"/>
                      <w:color w:val="auto"/>
                      <w:highlight w:val="none"/>
                    </w:rPr>
                    <w:t>...2017年底前，完成安装总磷自动在线监控装置...新建的城镇污水处理设施要执行一级A排放标准；到2020年，全市所有县城和重点镇具备污水收集处理能力，县城、城市污水处理率分别达到85%、95%左右。</w:t>
                  </w:r>
                  <w:r>
                    <w:rPr>
                      <w:rFonts w:hint="default" w:ascii="Times New Roman" w:hAnsi="Times New Roman" w:cs="Times New Roman"/>
                      <w:b/>
                      <w:bCs/>
                      <w:color w:val="auto"/>
                      <w:highlight w:val="none"/>
                    </w:rPr>
                    <w:t>6.推进污泥处理处置</w:t>
                  </w:r>
                  <w:r>
                    <w:rPr>
                      <w:rFonts w:hint="default" w:ascii="Times New Roman" w:hAnsi="Times New Roman" w:cs="Times New Roman"/>
                      <w:color w:val="auto"/>
                      <w:highlight w:val="none"/>
                    </w:rPr>
                    <w:t>...开展全省污泥稳定化、无害化和资源化处理处置专项调研...禁止处置不达标的污泥进入耕地...2020年底前，各市（州）建成污泥处理处置设施，力争污泥无害化处理处置率达到90%以上</w:t>
                  </w:r>
                </w:p>
              </w:tc>
              <w:tc>
                <w:tcPr>
                  <w:tcW w:w="1119"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c>
                <w:tcPr>
                  <w:tcW w:w="491"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3"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《四川省打赢碧水保卫战实施方案》</w:t>
                  </w:r>
                </w:p>
              </w:tc>
              <w:tc>
                <w:tcPr>
                  <w:tcW w:w="2775"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实施城乡生活污染处理设施建设补短板工程。加快城镇生活污水处理设施建设……坚持新建生活污水处理设施与配套管网同步设计、同步建设、同步投运，着力解决部分地区生活污水溢流直排、进水浓度过低、收集处理能力不足等问题。</w:t>
                  </w:r>
                </w:p>
              </w:tc>
              <w:tc>
                <w:tcPr>
                  <w:tcW w:w="1119"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c>
                <w:tcPr>
                  <w:tcW w:w="491"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r>
          </w:tbl>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color w:val="auto"/>
                <w:sz w:val="24"/>
                <w:szCs w:val="32"/>
                <w:highlight w:val="none"/>
                <w:lang w:bidi="ar"/>
              </w:rPr>
              <w:t>综上所述，本项目符合上述相关水污染防治规范文件的要求。</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7、与国家及地方有关土壤污染防治的规范文件符合性分析</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根据《国务院关于印发土壤污染防治行动计划的通知》（国发〔2016〕30号）和《四川省人民政府关于印发土壤污染防治行动计划四川省工作方案的通知》（川府发〔2016〕63号）的符合性分析见下表。</w:t>
            </w:r>
          </w:p>
          <w:p>
            <w:pPr>
              <w:pageBreakBefore w:val="0"/>
              <w:kinsoku/>
              <w:wordWrap/>
              <w:topLinePunct w:val="0"/>
              <w:bidi w:val="0"/>
              <w:spacing w:line="360" w:lineRule="auto"/>
              <w:ind w:left="0" w:leftChars="0" w:right="0" w:rightChars="0"/>
              <w:jc w:val="center"/>
              <w:rPr>
                <w:rFonts w:hint="default" w:ascii="Times New Roman" w:hAnsi="Times New Roman" w:cs="Times New Roman"/>
                <w:color w:val="auto"/>
                <w:sz w:val="24"/>
                <w:szCs w:val="32"/>
                <w:highlight w:val="none"/>
                <w:lang w:bidi="ar"/>
              </w:rPr>
            </w:pPr>
            <w:r>
              <w:rPr>
                <w:rFonts w:hint="default" w:ascii="Times New Roman" w:hAnsi="Times New Roman" w:eastAsia="黑体" w:cs="Times New Roman"/>
                <w:color w:val="auto"/>
                <w:highlight w:val="none"/>
              </w:rPr>
              <w:t>表1-10 项目与相关土壤污染防治政策的符合性分析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2806"/>
              <w:gridCol w:w="3893"/>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名称</w:t>
                  </w:r>
                </w:p>
              </w:tc>
              <w:tc>
                <w:tcPr>
                  <w:tcW w:w="1633"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具体内容</w:t>
                  </w:r>
                </w:p>
              </w:tc>
              <w:tc>
                <w:tcPr>
                  <w:tcW w:w="2265"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w:t>
                  </w:r>
                </w:p>
              </w:tc>
              <w:tc>
                <w:tcPr>
                  <w:tcW w:w="519"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国发〔2016〕30号</w:t>
                  </w:r>
                </w:p>
              </w:tc>
              <w:tc>
                <w:tcPr>
                  <w:tcW w:w="1633" w:type="pct"/>
                  <w:vAlign w:val="center"/>
                </w:tcPr>
                <w:p>
                  <w:pPr>
                    <w:pageBreakBefore w:val="0"/>
                    <w:kinsoku/>
                    <w:wordWrap/>
                    <w:topLinePunct w:val="0"/>
                    <w:autoSpaceDE w:val="0"/>
                    <w:autoSpaceDN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2265" w:type="pct"/>
                  <w:vMerge w:val="restart"/>
                  <w:vAlign w:val="center"/>
                </w:tcPr>
                <w:p>
                  <w:pPr>
                    <w:pageBreakBefore w:val="0"/>
                    <w:widowControl/>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经分析，本项目正常运行过程中产生的固体废物主要为生活垃圾、污泥、栅渣</w:t>
                  </w:r>
                  <w:r>
                    <w:rPr>
                      <w:rFonts w:hint="default" w:ascii="Times New Roman" w:hAnsi="Times New Roman" w:cs="Times New Roman"/>
                      <w:color w:val="auto"/>
                      <w:highlight w:val="none"/>
                      <w:lang w:val="en-US" w:eastAsia="zh-CN"/>
                    </w:rPr>
                    <w:t>及沉砂</w:t>
                  </w:r>
                  <w:r>
                    <w:rPr>
                      <w:rFonts w:hint="default" w:ascii="Times New Roman" w:hAnsi="Times New Roman" w:cs="Times New Roman"/>
                      <w:color w:val="auto"/>
                      <w:highlight w:val="none"/>
                    </w:rPr>
                    <w:t>、废包装材料</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化验废液（包含化验室废液与在线监测系统废液）、废机油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废紫外灯管</w:t>
                  </w:r>
                  <w:r>
                    <w:rPr>
                      <w:rFonts w:hint="default" w:ascii="Times New Roman" w:hAnsi="Times New Roman" w:cs="Times New Roman"/>
                      <w:color w:val="auto"/>
                      <w:highlight w:val="none"/>
                    </w:rPr>
                    <w:t>等，其中栅渣及沉砂、生活垃圾装袋后</w:t>
                  </w:r>
                  <w:r>
                    <w:rPr>
                      <w:rFonts w:hint="default" w:ascii="Times New Roman" w:hAnsi="Times New Roman" w:cs="Times New Roman"/>
                      <w:color w:val="auto"/>
                      <w:highlight w:val="none"/>
                      <w:lang w:val="en-US" w:eastAsia="zh-CN"/>
                    </w:rPr>
                    <w:t>交由环卫统一清运；</w:t>
                  </w:r>
                  <w:r>
                    <w:rPr>
                      <w:rFonts w:hint="default" w:ascii="Times New Roman" w:hAnsi="Times New Roman" w:cs="Times New Roman"/>
                      <w:color w:val="auto"/>
                      <w:highlight w:val="none"/>
                    </w:rPr>
                    <w:t>废包装材料定期交由废品收购站回收</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项目污泥根据后期其危险特性鉴别结果确定其最终处置方式</w:t>
                  </w:r>
                  <w:r>
                    <w:rPr>
                      <w:rFonts w:hint="default" w:ascii="Times New Roman" w:hAnsi="Times New Roman" w:cs="Times New Roman"/>
                      <w:color w:val="auto"/>
                      <w:highlight w:val="none"/>
                      <w:lang w:eastAsia="zh-CN"/>
                    </w:rPr>
                    <w:t>，若不属于危险废物，则污泥脱水后（含水率控制在60%以内）交由宣汉海诺尔环保发电有限公司焚烧发电，若属于危险废物，则须委托有危废处理资质单位进行处置</w:t>
                  </w:r>
                  <w:r>
                    <w:rPr>
                      <w:rFonts w:hint="default" w:ascii="Times New Roman" w:hAnsi="Times New Roman" w:cs="Times New Roman"/>
                      <w:color w:val="auto"/>
                      <w:highlight w:val="none"/>
                    </w:rPr>
                    <w:t>，不作肥料使用；化验废液（包含化验室废液与在线监测系统废液）、废机油交由南充嘉源环保科技有限责任公司处置；</w:t>
                  </w:r>
                  <w:r>
                    <w:rPr>
                      <w:rFonts w:hint="default" w:ascii="Times New Roman" w:hAnsi="Times New Roman" w:cs="Times New Roman"/>
                      <w:color w:val="auto"/>
                      <w:highlight w:val="none"/>
                      <w:lang w:val="en-US" w:eastAsia="zh-CN"/>
                    </w:rPr>
                    <w:t>废紫外光灯交由有资质的单位处理；</w:t>
                  </w:r>
                  <w:r>
                    <w:rPr>
                      <w:rFonts w:hint="default" w:ascii="Times New Roman" w:hAnsi="Times New Roman" w:cs="Times New Roman"/>
                      <w:color w:val="auto"/>
                      <w:highlight w:val="none"/>
                    </w:rPr>
                    <w:t>同时加强堆场“三防”措施，避免二次污染。</w:t>
                  </w:r>
                </w:p>
              </w:tc>
              <w:tc>
                <w:tcPr>
                  <w:tcW w:w="519" w:type="pct"/>
                  <w:vMerge w:val="restar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pageBreakBefore w:val="0"/>
                    <w:kinsoku/>
                    <w:wordWrap/>
                    <w:topLinePunct w:val="0"/>
                    <w:autoSpaceDE w:val="0"/>
                    <w:autoSpaceDN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川府发〔2016〕63号</w:t>
                  </w:r>
                </w:p>
              </w:tc>
              <w:tc>
                <w:tcPr>
                  <w:tcW w:w="1633" w:type="pct"/>
                  <w:vAlign w:val="center"/>
                </w:tcPr>
                <w:p>
                  <w:pPr>
                    <w:pageBreakBefore w:val="0"/>
                    <w:kinsoku/>
                    <w:wordWrap/>
                    <w:topLinePunct w:val="0"/>
                    <w:autoSpaceDE w:val="0"/>
                    <w:autoSpaceDN w:val="0"/>
                    <w:bidi w:val="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t>应结合区域功能定位和土壤污染防治需要，科学布局污泥、一般工业固体废物、危险废物处置处理设施和场所严禁将城镇生活垃圾、污泥、工业废物直接用作肥料。</w:t>
                  </w:r>
                </w:p>
              </w:tc>
              <w:tc>
                <w:tcPr>
                  <w:tcW w:w="2265"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c>
                <w:tcPr>
                  <w:tcW w:w="519"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r>
          </w:tbl>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综上，本项目符合上述相关土壤污染防治规范文件的要求。</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8、与</w:t>
            </w:r>
            <w:r>
              <w:rPr>
                <w:rFonts w:hint="default" w:ascii="Times New Roman" w:hAnsi="Times New Roman" w:cs="Times New Roman"/>
                <w:b/>
                <w:bCs/>
                <w:color w:val="auto"/>
                <w:sz w:val="24"/>
                <w:szCs w:val="32"/>
                <w:highlight w:val="none"/>
                <w:lang w:eastAsia="zh-CN" w:bidi="ar"/>
              </w:rPr>
              <w:t>《四川省、重庆市长江经济带发展负面清单实施细则（试行）》（川长江办〔2022〕17号）</w:t>
            </w:r>
            <w:r>
              <w:rPr>
                <w:rFonts w:hint="default" w:ascii="Times New Roman" w:hAnsi="Times New Roman" w:cs="Times New Roman"/>
                <w:b/>
                <w:bCs/>
                <w:color w:val="auto"/>
                <w:sz w:val="24"/>
                <w:szCs w:val="32"/>
                <w:highlight w:val="none"/>
                <w:lang w:bidi="ar"/>
              </w:rPr>
              <w:t>符合性分析</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根据国家《长江经济带发展负面清单指南（试行，2022年版）》等相关文件和一张负面清单管川渝两地的要求，结合四川省、重庆市实际，制定了《四川省、重庆市长江经济带发展负面清单实施细则（试行）》（川长江办〔2022〕17号</w:t>
            </w:r>
            <w:r>
              <w:rPr>
                <w:rFonts w:hint="default" w:ascii="Times New Roman" w:hAnsi="Times New Roman" w:cs="Times New Roman"/>
                <w:color w:val="auto"/>
                <w:sz w:val="24"/>
                <w:szCs w:val="32"/>
                <w:highlight w:val="none"/>
                <w:lang w:eastAsia="zh-CN" w:bidi="ar"/>
              </w:rPr>
              <w:t>）</w:t>
            </w:r>
            <w:r>
              <w:rPr>
                <w:rFonts w:hint="default" w:ascii="Times New Roman" w:hAnsi="Times New Roman" w:cs="Times New Roman"/>
                <w:color w:val="auto"/>
                <w:sz w:val="24"/>
                <w:szCs w:val="32"/>
                <w:highlight w:val="none"/>
                <w:lang w:bidi="ar"/>
              </w:rPr>
              <w:t>（以下简称《实施细则》）。本项目与《实施细则》相关条款要求符合性见下表。</w:t>
            </w:r>
          </w:p>
          <w:p>
            <w:pPr>
              <w:pageBreakBefore w:val="0"/>
              <w:kinsoku/>
              <w:wordWrap/>
              <w:topLinePunct w:val="0"/>
              <w:bidi w:val="0"/>
              <w:spacing w:line="360" w:lineRule="auto"/>
              <w:ind w:left="0" w:leftChars="0" w:right="0" w:righ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表1-11 本项目与《实施细则》符合性分析</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6234"/>
              <w:gridCol w:w="1080"/>
              <w:gridCol w:w="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39" w:type="pct"/>
                  <w:gridSpan w:val="2"/>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实施细则相关要求</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项目情况</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第五条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改建和扩建不符合《全国内河航道与港口布局规划》等全国港口规划，以及《四川省内河水运发展规划》《泸州—宜宾—乐山港口群布局规划》《重庆港总体规划（2035年）》等省级港口布局规划及港口总体规划的码头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不属于码头项目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第六条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禁止新建、改建和扩建不符合《长江干线过江通道布局规划》的过长江通道项目（含桥梁、隧道），国家发展改革委同意过长江通道线位调整的除外。</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不属于过长通道项目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第七条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禁止在自然保护区核心区、缓冲区的岸线和河段范围内投资建设旅游和生产经营项目。自然保护区的内部未分区的，依照本实施细则核心区和缓冲区的规定管控。</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不涉及自然保护区</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第八条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禁止违反风景名胜区规划，在风景名胜区内设立各类开发区；禁止在风景名胜区核心景区的岸线和河段范围内建设宾馆、招待所、培训中心、疗养院以及与风景名胜资源保护无关的项目。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不涉及风景名胜区</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第九条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禁止在饮用水水源准保护区的岸线和河段范围内新建、扩建对水体污染严重的建设项目，禁止改建增加排污量的建设项目。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不涉及饮用水源保护区</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饮用水水源二级保护区的岸线和河段范围内，除应遵守准保护区规定外，禁止新建、改建、扩建排放污染物的投资建设项目；禁止从事采石（砂）、对水体有污染的水产养殖等活动。</w:t>
                  </w:r>
                </w:p>
              </w:tc>
              <w:tc>
                <w:tcPr>
                  <w:tcW w:w="629" w:type="pct"/>
                  <w:vMerge w:val="restar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不涉及饮用水源保护区</w:t>
                  </w:r>
                </w:p>
              </w:tc>
              <w:tc>
                <w:tcPr>
                  <w:tcW w:w="231" w:type="pct"/>
                  <w:vMerge w:val="restar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第十一条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629"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c>
                <w:tcPr>
                  <w:tcW w:w="231" w:type="pct"/>
                  <w:vMerge w:val="continue"/>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第十二条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禁止在水产种质资源保护区岸线和河段范围内新建围湖造田、围湖造地或挖沙采石等投资建设项目。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不涉及水产种质资源保护区</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第十三条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不涉及国家湿地公园</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第十四条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不占用长江流域河湖岸线</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第十五条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禁止在《全国重要江河湖泊水功能区划》划定的河段及湖泊保护区、保留区内投资建设不利于水资源及自然生态保护的项目。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不在河段保护区、保留区内</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第十六条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禁止在长江流域江河、湖泊新设、改设或者扩大排污口，经有管辖权的生态环境主管部门或者长江流域生态环境监督管理机构同意的除外。</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项目将依法办理入河排污口手续</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第十七条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禁止在长江、大渡河、岷江、赤水河、沱江、嘉陵江、乌江、汉江和51个（四川省45个、重庆市6个）水生生物保护区开展生产性捕捞。</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不涉及捕捞</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第十八条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禁止在长江干支流、重要湖泊岸线一公里范围内新建、扩建化工园区和化工项目。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不属于化工项目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第十九条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禁止在长江干流岸线三公里范围内和重要支流岸线一公里范围内新建、改建、扩建尾矿库、冶炼渣库、磷石膏库，以提升安全、生态环境保护水平为目的的改建除外。</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不属于上述项目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禁止在生态保护红线区域、永久基本农田集中区域和其他需要特别保护的区域内选址建设尾矿库、冶炼渣库、磷石膏库。</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不属于上述项目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第二十一条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禁止在合规园区外新建、扩建钢铁、石化、化工、焦化、建材、有色、制浆造纸等高污染项目。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不属于高污染项目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第二十二条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国家石化、现代煤化工等产业布局规划的项目。（一）严格控制新增炼油项目，未列入《石化产业规划布局方案（修订版）》的新增炼油产能一律不得建设。（二）新建煤制烯烃、煤制芳烃项目必须列入《现代煤化工产业创新发展布局方案》，必须符合《现代煤化工建设项目环境准入条件（试行）》要求。</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不属于上述项目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第二十三条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属于鼓励类项目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第二十四条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禁止新建、扩建不符合国家产能置换要求的严重过剩产能行业的项目。对于不符合国家产能置换要求的严重过剩产能行业，不得以其他任何名义、任何方式备案新增产能项目。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项目不属于过剩产能行业</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第二十五条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不属于燃油汽车投资项目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第二十六条</w:t>
                  </w:r>
                </w:p>
              </w:tc>
              <w:tc>
                <w:tcPr>
                  <w:tcW w:w="3627"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禁止新建、扩建不符合要求的高耗能、高排放、低水平项目。</w:t>
                  </w:r>
                </w:p>
              </w:tc>
              <w:tc>
                <w:tcPr>
                  <w:tcW w:w="629"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不属于上述项目</w:t>
                  </w:r>
                </w:p>
              </w:tc>
              <w:tc>
                <w:tcPr>
                  <w:tcW w:w="231"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综上，本项目符合《实施细则》相关要求。</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9、与《四川省嘉陵江流域生态环境保护条例》符合性分析</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前河属于嘉陵江支流，根据《四川省嘉陵江流域生态环境保护条例》要求，本项目与《四川省嘉陵江流域生态环境保护条例》的符合性分析见下表。</w:t>
            </w:r>
          </w:p>
          <w:p>
            <w:pPr>
              <w:pageBreakBefore w:val="0"/>
              <w:kinsoku/>
              <w:wordWrap/>
              <w:topLinePunct w:val="0"/>
              <w:bidi w:val="0"/>
              <w:spacing w:line="360" w:lineRule="auto"/>
              <w:ind w:left="0" w:leftChars="0" w:right="0" w:righ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表1-12 项目与《四川省嘉陵江流域生态环境保护条例》的符合性分析</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5"/>
              <w:gridCol w:w="2943"/>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2"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《四川省嘉陵江流域生态环境保护条例）》中要求</w:t>
                  </w:r>
                </w:p>
              </w:tc>
              <w:tc>
                <w:tcPr>
                  <w:tcW w:w="1712"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本项目情况</w:t>
                  </w:r>
                </w:p>
              </w:tc>
              <w:tc>
                <w:tcPr>
                  <w:tcW w:w="414"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2"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禁止在嘉陵江干支流岸线一公里范围内新建、扩建化工园区和化工项目。</w:t>
                  </w:r>
                </w:p>
              </w:tc>
              <w:tc>
                <w:tcPr>
                  <w:tcW w:w="1712"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项目属于D4620污水处理及其再生利用，不属于化工项目。</w:t>
                  </w:r>
                </w:p>
              </w:tc>
              <w:tc>
                <w:tcPr>
                  <w:tcW w:w="414"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highlight w:val="none"/>
                    </w:rPr>
                    <w:t>排污单位排放污染物不得超过国家和省污染物排放标准，不得超过重点水污染物排放总量控制指标。</w:t>
                  </w:r>
                  <w:r>
                    <w:rPr>
                      <w:rFonts w:hint="default" w:ascii="Times New Roman" w:hAnsi="Times New Roman" w:cs="Times New Roman"/>
                      <w:color w:val="auto"/>
                      <w:highlight w:val="none"/>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71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项目建设能减少排入前河污染物量，进一步改善区域地表水环境质量，本项目的实施将散排变为集中处理后排放，属环境正效益，污染排放满足要求。尾水排放执行一级A标，满足国家污染排放标准。</w:t>
                  </w:r>
                  <w:r>
                    <w:rPr>
                      <w:rFonts w:hint="default" w:ascii="Times New Roman" w:hAnsi="Times New Roman" w:cs="Times New Roman"/>
                      <w:color w:val="auto"/>
                      <w:highlight w:val="none"/>
                      <w:lang w:val="en-US" w:eastAsia="zh-CN"/>
                    </w:rPr>
                    <w:t>本项目一期已取得</w:t>
                  </w:r>
                  <w:r>
                    <w:rPr>
                      <w:rFonts w:hint="default" w:ascii="Times New Roman" w:hAnsi="Times New Roman" w:cs="Times New Roman"/>
                      <w:color w:val="auto"/>
                      <w:highlight w:val="none"/>
                    </w:rPr>
                    <w:t>排污许可证</w:t>
                  </w:r>
                  <w:r>
                    <w:rPr>
                      <w:rFonts w:hint="default" w:ascii="Times New Roman" w:hAnsi="Times New Roman" w:cs="Times New Roman"/>
                      <w:color w:val="auto"/>
                      <w:highlight w:val="none"/>
                      <w:lang w:eastAsia="zh-CN"/>
                    </w:rPr>
                    <w:t>。</w:t>
                  </w:r>
                </w:p>
              </w:tc>
              <w:tc>
                <w:tcPr>
                  <w:tcW w:w="414"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2" w:type="pct"/>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嘉陵江流域县级以上地方人民政府生态环境主管部门应当依法加强流域入河排污口的监督管理。</w:t>
                  </w:r>
                  <w:r>
                    <w:rPr>
                      <w:rFonts w:hint="default" w:ascii="Times New Roman" w:hAnsi="Times New Roman" w:cs="Times New Roman"/>
                      <w:color w:val="auto"/>
                      <w:highlight w:val="none"/>
                    </w:rPr>
                    <w:t>企业事业单位和其他生产经营者向嘉陵江流域排放污水的，应当按照生态环境主管部门的规定建设规范化污染物排放口，并设置标志牌。重点排污单位应当安装水污染物排放自动监测设备，与生态环境主管部门的监控设备联网，并保证监测设备正常运行。</w:t>
                  </w:r>
                </w:p>
              </w:tc>
              <w:tc>
                <w:tcPr>
                  <w:tcW w:w="171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环评要求：建设单位依法办理入河排污口，并按照</w:t>
                  </w:r>
                  <w:r>
                    <w:rPr>
                      <w:rFonts w:hint="default" w:ascii="Times New Roman" w:hAnsi="Times New Roman" w:cs="Times New Roman"/>
                      <w:color w:val="auto"/>
                      <w:highlight w:val="none"/>
                    </w:rPr>
                    <w:t>生态环境主管部门的规定建设规范化污染物排放口，设置标志牌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安装</w:t>
                  </w:r>
                  <w:r>
                    <w:rPr>
                      <w:rFonts w:hint="default" w:ascii="Times New Roman" w:hAnsi="Times New Roman" w:cs="Times New Roman"/>
                      <w:color w:val="auto"/>
                      <w:highlight w:val="none"/>
                    </w:rPr>
                    <w:t>水污染物排放自动监测设备</w:t>
                  </w:r>
                  <w:r>
                    <w:rPr>
                      <w:rFonts w:hint="default" w:ascii="Times New Roman" w:hAnsi="Times New Roman" w:cs="Times New Roman"/>
                      <w:color w:val="auto"/>
                      <w:highlight w:val="none"/>
                      <w:lang w:eastAsia="zh-CN"/>
                    </w:rPr>
                    <w:t>。</w:t>
                  </w:r>
                </w:p>
              </w:tc>
              <w:tc>
                <w:tcPr>
                  <w:tcW w:w="414"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2"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嘉陵江流域县级以上地方人民政府应当建立水环境风险防范体系，制定突发生态环境事件应急预案，加强对流域船舶、运输车辆、输油管道、港口、矿山、化工厂、尾矿库等发生的突发生态环境事件的应急管理。</w:t>
                  </w:r>
                  <w:r>
                    <w:rPr>
                      <w:rFonts w:hint="default" w:ascii="Times New Roman" w:hAnsi="Times New Roman" w:cs="Times New Roman"/>
                      <w:color w:val="auto"/>
                      <w:highlight w:val="none"/>
                    </w:rPr>
                    <w:t>水环境受到严重污染，发生或者可能发生危害人体健康和安全的紧急情况的，事故发生地县级以上地方人民政府应当立即启动应急预案，必要时可以责令有关企业事业单位和其他生产经营者采取限制生产、停产等临时性应急措施。因严重干旱等不可抗力导致水体水质达不到水环境功能类别要求的，必要时县级以上地方人民政府可以根据企业事业单位和其他生产经营者的水污染物排放情况，对企业事业单位和其他生产经营者采取限制生产、停产等措施。</w:t>
                  </w:r>
                </w:p>
              </w:tc>
              <w:tc>
                <w:tcPr>
                  <w:tcW w:w="171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本项目不属于上述企业，但也制定有突发生态环境事件应急预案。</w:t>
                  </w:r>
                </w:p>
              </w:tc>
              <w:tc>
                <w:tcPr>
                  <w:tcW w:w="414"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2"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嘉陵江流域地方各级人民政府及其有关部门、可能发生水污染事故的企业事业单位和其他生产经营者，应当按照国家和省有关规定做好突发水污染事故的应急准备、应急处置和事后恢复等工作。</w:t>
                  </w:r>
                </w:p>
              </w:tc>
              <w:tc>
                <w:tcPr>
                  <w:tcW w:w="171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本项目属于</w:t>
                  </w:r>
                  <w:r>
                    <w:rPr>
                      <w:rFonts w:hint="default" w:ascii="Times New Roman" w:hAnsi="Times New Roman" w:cs="Times New Roman"/>
                      <w:b w:val="0"/>
                      <w:bCs w:val="0"/>
                      <w:color w:val="auto"/>
                      <w:highlight w:val="none"/>
                    </w:rPr>
                    <w:t>可能发生水污染事故的企业事业单位</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已</w:t>
                  </w:r>
                  <w:r>
                    <w:rPr>
                      <w:rFonts w:hint="default" w:ascii="Times New Roman" w:hAnsi="Times New Roman" w:cs="Times New Roman"/>
                      <w:color w:val="auto"/>
                      <w:highlight w:val="none"/>
                      <w:lang w:val="en-US" w:eastAsia="zh-CN"/>
                    </w:rPr>
                    <w:t>制定有突发生态环境事件应急预案。</w:t>
                  </w:r>
                </w:p>
              </w:tc>
              <w:tc>
                <w:tcPr>
                  <w:tcW w:w="414" w:type="pct"/>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综上，本项目符合《四川省嘉陵江流域生态环境保护条例》相关要求。</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10、与集中式饮用水水源地符合性分析</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32"/>
                <w:highlight w:val="none"/>
                <w:lang w:eastAsia="zh-CN" w:bidi="ar"/>
              </w:rPr>
            </w:pPr>
            <w:r>
              <w:rPr>
                <w:rFonts w:hint="default" w:ascii="Times New Roman" w:hAnsi="Times New Roman" w:cs="Times New Roman"/>
                <w:color w:val="auto"/>
                <w:sz w:val="24"/>
                <w:szCs w:val="32"/>
                <w:highlight w:val="none"/>
                <w:lang w:bidi="ar"/>
              </w:rPr>
              <w:t>根据达州市人民政府《关于划定万源市、宣汉县和大竹县乡镇及以下集中式饮用水水源地保护区的批复》（达市府函〔2020〕124号），南坝镇涉及3个集中式饮用水水源地，前河涉及2个集中式饮用水水源地。项目与集中式饮用水水源保护区关系表见下表</w:t>
            </w:r>
            <w:r>
              <w:rPr>
                <w:rFonts w:hint="default" w:ascii="Times New Roman" w:hAnsi="Times New Roman" w:cs="Times New Roman"/>
                <w:color w:val="auto"/>
                <w:sz w:val="24"/>
                <w:szCs w:val="32"/>
                <w:highlight w:val="none"/>
                <w:lang w:eastAsia="zh-CN" w:bidi="ar"/>
              </w:rPr>
              <w:t>。</w:t>
            </w:r>
          </w:p>
          <w:p>
            <w:pPr>
              <w:pageBreakBefore w:val="0"/>
              <w:kinsoku/>
              <w:wordWrap/>
              <w:topLinePunct w:val="0"/>
              <w:bidi w:val="0"/>
              <w:spacing w:line="360" w:lineRule="auto"/>
              <w:ind w:left="0" w:leftChars="0" w:right="0" w:right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表1-13 本项目与集中式饮用水水源保护区关系表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811"/>
              <w:gridCol w:w="2418"/>
              <w:gridCol w:w="2426"/>
              <w:gridCol w:w="960"/>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水源地名称</w:t>
                  </w:r>
                </w:p>
              </w:tc>
              <w:tc>
                <w:tcPr>
                  <w:tcW w:w="472"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水源名称/水源类型</w:t>
                  </w:r>
                </w:p>
              </w:tc>
              <w:tc>
                <w:tcPr>
                  <w:tcW w:w="140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一级保护区</w:t>
                  </w:r>
                </w:p>
              </w:tc>
              <w:tc>
                <w:tcPr>
                  <w:tcW w:w="141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二级保护区</w:t>
                  </w:r>
                </w:p>
              </w:tc>
              <w:tc>
                <w:tcPr>
                  <w:tcW w:w="55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排污口与保护区位置关系</w:t>
                  </w:r>
                </w:p>
              </w:tc>
              <w:tc>
                <w:tcPr>
                  <w:tcW w:w="40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是否涉及保护区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宣汉县南坝镇团结水库集中式饮用水水源地</w:t>
                  </w:r>
                </w:p>
              </w:tc>
              <w:tc>
                <w:tcPr>
                  <w:tcW w:w="472"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团结水库/湖库型</w:t>
                  </w:r>
                </w:p>
              </w:tc>
              <w:tc>
                <w:tcPr>
                  <w:tcW w:w="140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水域范围：</w:t>
                  </w:r>
                  <w:r>
                    <w:rPr>
                      <w:rFonts w:hint="default" w:ascii="Times New Roman" w:hAnsi="Times New Roman" w:cs="Times New Roman"/>
                      <w:color w:val="auto"/>
                      <w:highlight w:val="none"/>
                    </w:rPr>
                    <w:t>团结水库多年平均水位对应的高程线（727.6m）以下的全部水域范围；</w:t>
                  </w:r>
                </w:p>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陆域范围：</w:t>
                  </w:r>
                  <w:r>
                    <w:rPr>
                      <w:rFonts w:hint="default" w:ascii="Times New Roman" w:hAnsi="Times New Roman" w:cs="Times New Roman"/>
                      <w:color w:val="auto"/>
                      <w:highlight w:val="none"/>
                    </w:rPr>
                    <w:t>水库一级保护区水域外200米范围内，但不超过分水岭和水库沿岸村道外侧的全部陆域范围。</w:t>
                  </w:r>
                </w:p>
              </w:tc>
              <w:tc>
                <w:tcPr>
                  <w:tcW w:w="141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除一级保护区外和峰城镇场镇规划区外，团结水库坝顶以上汇水范围内的全部水域陆域范围</w:t>
                  </w:r>
                </w:p>
              </w:tc>
              <w:tc>
                <w:tcPr>
                  <w:tcW w:w="55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N，11.26km</w:t>
                  </w:r>
                </w:p>
              </w:tc>
              <w:tc>
                <w:tcPr>
                  <w:tcW w:w="40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宣汉县南坝镇前河小河口集中式饮用水水源地</w:t>
                  </w:r>
                </w:p>
              </w:tc>
              <w:tc>
                <w:tcPr>
                  <w:tcW w:w="472"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前河小河口/河流型</w:t>
                  </w:r>
                </w:p>
              </w:tc>
              <w:tc>
                <w:tcPr>
                  <w:tcW w:w="140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水域范围：</w:t>
                  </w:r>
                  <w:r>
                    <w:rPr>
                      <w:rFonts w:hint="default" w:ascii="Times New Roman" w:hAnsi="Times New Roman" w:cs="Times New Roman"/>
                      <w:color w:val="auto"/>
                      <w:highlight w:val="none"/>
                    </w:rPr>
                    <w:t>取水口下游小河口汇口处至取水口上游1000米，多年平均水位对应的高程线下的水域范围。</w:t>
                  </w:r>
                </w:p>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陆域范围：</w:t>
                  </w:r>
                  <w:r>
                    <w:rPr>
                      <w:rFonts w:hint="default" w:ascii="Times New Roman" w:hAnsi="Times New Roman" w:cs="Times New Roman"/>
                      <w:color w:val="auto"/>
                      <w:highlight w:val="none"/>
                    </w:rPr>
                    <w:t>与一级保护区水域长度一致，水域边界两岸纵深50米，但右岸不超过X029临河侧、左岸不超过村道临河侧的全部陆域范围。</w:t>
                  </w:r>
                </w:p>
              </w:tc>
              <w:tc>
                <w:tcPr>
                  <w:tcW w:w="141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水域范围：</w:t>
                  </w:r>
                  <w:r>
                    <w:rPr>
                      <w:rFonts w:hint="default" w:ascii="Times New Roman" w:hAnsi="Times New Roman" w:cs="Times New Roman"/>
                      <w:color w:val="auto"/>
                      <w:highlight w:val="none"/>
                    </w:rPr>
                    <w:t>一级保护区的上游边界起向上游（包括汇入的上游支流）延伸至人行索桥（约1240米），多年平均水位对应的高程线下的水域范围。</w:t>
                  </w:r>
                </w:p>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陆域范围：</w:t>
                  </w:r>
                  <w:r>
                    <w:rPr>
                      <w:rFonts w:hint="default" w:ascii="Times New Roman" w:hAnsi="Times New Roman" w:cs="Times New Roman"/>
                      <w:color w:val="auto"/>
                      <w:highlight w:val="none"/>
                    </w:rPr>
                    <w:t>除一级保护区外一二级保护区水域边界两岸纵深1000米，但不超过流域分水岭的全部陆域范围。</w:t>
                  </w:r>
                </w:p>
              </w:tc>
              <w:tc>
                <w:tcPr>
                  <w:tcW w:w="55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EN，7.48km</w:t>
                  </w:r>
                </w:p>
              </w:tc>
              <w:tc>
                <w:tcPr>
                  <w:tcW w:w="40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宣汉县南坝镇周家丫伙（村级）集中式饮用水水源地</w:t>
                  </w:r>
                </w:p>
              </w:tc>
              <w:tc>
                <w:tcPr>
                  <w:tcW w:w="472"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地下水型</w:t>
                  </w:r>
                </w:p>
              </w:tc>
              <w:tc>
                <w:tcPr>
                  <w:tcW w:w="140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以取水点为中心，半径30米范围内的圆形区域。</w:t>
                  </w:r>
                </w:p>
              </w:tc>
              <w:tc>
                <w:tcPr>
                  <w:tcW w:w="141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除一级保护区外，以取水点为中心，300米范围内，但不超过道路临取水口一侧的区域。</w:t>
                  </w:r>
                </w:p>
              </w:tc>
              <w:tc>
                <w:tcPr>
                  <w:tcW w:w="55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E，5.48km</w:t>
                  </w:r>
                </w:p>
              </w:tc>
              <w:tc>
                <w:tcPr>
                  <w:tcW w:w="40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宣汉县东乡街道州河三河大桥头（村级）集中式饮用水水源地</w:t>
                  </w:r>
                </w:p>
              </w:tc>
              <w:tc>
                <w:tcPr>
                  <w:tcW w:w="472"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州河三河大桥头/河流型</w:t>
                  </w:r>
                </w:p>
              </w:tc>
              <w:tc>
                <w:tcPr>
                  <w:tcW w:w="140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水域范围：</w:t>
                  </w:r>
                  <w:r>
                    <w:rPr>
                      <w:rFonts w:hint="default" w:ascii="Times New Roman" w:hAnsi="Times New Roman" w:cs="Times New Roman"/>
                      <w:color w:val="auto"/>
                      <w:highlight w:val="none"/>
                    </w:rPr>
                    <w:t>取水口下游铁溪河汇口处至取水口上游1000米，多年平均水位对应的高程线下的水域范围；</w:t>
                  </w:r>
                </w:p>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陆域范围：</w:t>
                  </w:r>
                  <w:r>
                    <w:rPr>
                      <w:rFonts w:hint="default" w:ascii="Times New Roman" w:hAnsi="Times New Roman" w:cs="Times New Roman"/>
                      <w:color w:val="auto"/>
                      <w:highlight w:val="none"/>
                    </w:rPr>
                    <w:t>与一级保护区水域长度一致，水域边界两岸纵深50米，但右岸不超过存到临河侧、左岸不超过S201临河侧的全部陆域范围。</w:t>
                  </w:r>
                </w:p>
              </w:tc>
              <w:tc>
                <w:tcPr>
                  <w:tcW w:w="141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水域范围：</w:t>
                  </w:r>
                  <w:r>
                    <w:rPr>
                      <w:rFonts w:hint="default" w:ascii="Times New Roman" w:hAnsi="Times New Roman" w:cs="Times New Roman"/>
                      <w:color w:val="auto"/>
                      <w:highlight w:val="none"/>
                    </w:rPr>
                    <w:t>一级保护区的上游边界起向上游（包括汇入的上游支流）延伸至夏家沟汇口（约2200米），多年平均水位对应的高程线下的水域范围。</w:t>
                  </w:r>
                </w:p>
                <w:p>
                  <w:pPr>
                    <w:pageBreakBefore w:val="0"/>
                    <w:kinsoku/>
                    <w:wordWrap/>
                    <w:topLinePunct w:val="0"/>
                    <w:bidi w:val="0"/>
                    <w:ind w:left="0" w:leftChars="0" w:right="0" w:right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陆域范围：</w:t>
                  </w:r>
                  <w:r>
                    <w:rPr>
                      <w:rFonts w:hint="default" w:ascii="Times New Roman" w:hAnsi="Times New Roman" w:cs="Times New Roman"/>
                      <w:color w:val="auto"/>
                      <w:highlight w:val="none"/>
                    </w:rPr>
                    <w:t>除一级保护区外，一二级保护区水域边界两岸纵深1000米，但不超过流域分水岭的全部陆域范围。</w:t>
                  </w:r>
                </w:p>
              </w:tc>
              <w:tc>
                <w:tcPr>
                  <w:tcW w:w="559"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W，13.37km</w:t>
                  </w:r>
                </w:p>
              </w:tc>
              <w:tc>
                <w:tcPr>
                  <w:tcW w:w="40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bl>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val="en-US" w:eastAsia="zh-CN" w:bidi="ar"/>
              </w:rPr>
              <w:t>本项目未在划定的</w:t>
            </w:r>
            <w:r>
              <w:rPr>
                <w:rFonts w:hint="default" w:ascii="Times New Roman" w:hAnsi="Times New Roman" w:cs="Times New Roman"/>
                <w:color w:val="auto"/>
                <w:sz w:val="24"/>
                <w:szCs w:val="32"/>
                <w:highlight w:val="none"/>
                <w:lang w:bidi="ar"/>
              </w:rPr>
              <w:t>集中式饮用水水源地</w:t>
            </w:r>
            <w:r>
              <w:rPr>
                <w:rFonts w:hint="default" w:ascii="Times New Roman" w:hAnsi="Times New Roman" w:cs="Times New Roman"/>
                <w:color w:val="auto"/>
                <w:sz w:val="24"/>
                <w:szCs w:val="32"/>
                <w:highlight w:val="none"/>
                <w:lang w:val="en-US" w:eastAsia="zh-CN" w:bidi="ar"/>
              </w:rPr>
              <w:t>范围内，且根据由预测结果可知，正常工况下，前河枯水期最不利水文条件，枯水期尾水正常排放情况下，排污口附近COD浓度值为8.48mg/L，氨氮浓度值为0.43mg/L，总磷浓度值为0.06mg/L，水质能够满足《地表水环境质量标准》（GB3838-2002）Ⅲ类标准，不会影响下游宣汉县东乡街道州河三河大桥头（村级）集中式饮用水水源地水质</w:t>
            </w:r>
            <w:r>
              <w:rPr>
                <w:rFonts w:hint="default" w:ascii="Times New Roman" w:hAnsi="Times New Roman" w:cs="Times New Roman"/>
                <w:color w:val="auto"/>
                <w:sz w:val="24"/>
                <w:szCs w:val="32"/>
                <w:highlight w:val="none"/>
                <w:lang w:bidi="ar"/>
              </w:rPr>
              <w:t>。</w:t>
            </w:r>
          </w:p>
          <w:p>
            <w:pPr>
              <w:pageBreakBefore w:val="0"/>
              <w:kinsoku/>
              <w:wordWrap/>
              <w:topLinePunct w:val="0"/>
              <w:bidi w:val="0"/>
              <w:spacing w:line="360" w:lineRule="auto"/>
              <w:ind w:left="0" w:leftChars="0" w:right="0" w:rightChars="0"/>
              <w:jc w:val="center"/>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1771650</wp:posOffset>
                      </wp:positionH>
                      <wp:positionV relativeFrom="paragraph">
                        <wp:posOffset>2615565</wp:posOffset>
                      </wp:positionV>
                      <wp:extent cx="709930" cy="280035"/>
                      <wp:effectExtent l="17145" t="41275" r="34925" b="40640"/>
                      <wp:wrapNone/>
                      <wp:docPr id="37" name="文本框 37"/>
                      <wp:cNvGraphicFramePr/>
                      <a:graphic xmlns:a="http://schemas.openxmlformats.org/drawingml/2006/main">
                        <a:graphicData uri="http://schemas.microsoft.com/office/word/2010/wordprocessingShape">
                          <wps:wsp>
                            <wps:cNvSpPr txBox="1"/>
                            <wps:spPr>
                              <a:xfrm rot="21240000">
                                <a:off x="0" y="0"/>
                                <a:ext cx="70993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b/>
                                      <w:bCs/>
                                      <w:color w:val="FF0000"/>
                                    </w:rPr>
                                  </w:pPr>
                                  <w:r>
                                    <w:rPr>
                                      <w:rFonts w:hint="eastAsia"/>
                                      <w:b/>
                                      <w:bCs/>
                                      <w:color w:val="FF0000"/>
                                    </w:rPr>
                                    <w:t>13.37</w:t>
                                  </w:r>
                                  <w:r>
                                    <w:rPr>
                                      <w:b/>
                                      <w:bCs/>
                                      <w:color w:val="FF0000"/>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205.95pt;height:22.05pt;width:55.9pt;rotation:-393216f;z-index:251669504;mso-width-relative:page;mso-height-relative:page;" fillcolor="#FFFFFF [3201]" filled="t" stroked="t" coordsize="21600,21600" o:gfxdata="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ay2P42gAAAAsBAAAPAAAAAAAAAAEAIAAAACIAAABkcnMvZG93bnJldi54bWxQSwECFAAU&#10;AAAACACHTuJAny7352ECAADHBAAADgAAAAAAAAABACAAAAApAQAAZHJzL2Uyb0RvYy54bWxQSwUG&#10;AAAAAAYABgBZAQAA/AUAAAAA&#10;">
                      <v:fill on="t" focussize="0,0"/>
                      <v:stroke weight="0.5pt" color="#000000 [3204]" joinstyle="round"/>
                      <v:imagedata o:title=""/>
                      <o:lock v:ext="edit" aspectratio="f"/>
                      <v:textbox>
                        <w:txbxContent>
                          <w:p>
                            <w:pPr>
                              <w:jc w:val="center"/>
                              <w:rPr>
                                <w:rFonts w:eastAsiaTheme="minorEastAsia"/>
                                <w:b/>
                                <w:bCs/>
                                <w:color w:val="FF0000"/>
                              </w:rPr>
                            </w:pPr>
                            <w:r>
                              <w:rPr>
                                <w:rFonts w:hint="eastAsia"/>
                                <w:b/>
                                <w:bCs/>
                                <w:color w:val="FF0000"/>
                              </w:rPr>
                              <w:t>13.37</w:t>
                            </w:r>
                            <w:r>
                              <w:rPr>
                                <w:b/>
                                <w:bCs/>
                                <w:color w:val="FF0000"/>
                              </w:rPr>
                              <w:t>km</w:t>
                            </w:r>
                          </w:p>
                        </w:txbxContent>
                      </v:textbox>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3222625</wp:posOffset>
                      </wp:positionH>
                      <wp:positionV relativeFrom="paragraph">
                        <wp:posOffset>2856865</wp:posOffset>
                      </wp:positionV>
                      <wp:extent cx="709930" cy="280035"/>
                      <wp:effectExtent l="5080" t="4445" r="8890" b="20320"/>
                      <wp:wrapNone/>
                      <wp:docPr id="12" name="文本框 12"/>
                      <wp:cNvGraphicFramePr/>
                      <a:graphic xmlns:a="http://schemas.openxmlformats.org/drawingml/2006/main">
                        <a:graphicData uri="http://schemas.microsoft.com/office/word/2010/wordprocessingShape">
                          <wps:wsp>
                            <wps:cNvSpPr txBox="1"/>
                            <wps:spPr>
                              <a:xfrm>
                                <a:off x="0" y="0"/>
                                <a:ext cx="70993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b/>
                                      <w:bCs/>
                                      <w:color w:val="FF0000"/>
                                    </w:rPr>
                                  </w:pPr>
                                  <w:r>
                                    <w:rPr>
                                      <w:rFonts w:hint="eastAsia"/>
                                      <w:b/>
                                      <w:bCs/>
                                      <w:color w:val="FF0000"/>
                                    </w:rPr>
                                    <w:t>5.48</w:t>
                                  </w:r>
                                  <w:r>
                                    <w:rPr>
                                      <w:b/>
                                      <w:bCs/>
                                      <w:color w:val="FF0000"/>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75pt;margin-top:224.95pt;height:22.05pt;width:55.9pt;z-index:251664384;mso-width-relative:page;mso-height-relative:page;" fillcolor="#FFFFFF [3201]" filled="t" stroked="t" coordsize="21600,21600" o:gfxdata="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kVpG9gA&#10;AAALAQAADwAAAAAAAAABACAAAAAiAAAAZHJzL2Rvd25yZXYueG1sUEsBAhQAFAAAAAgAh07iQHWc&#10;M31YAgAAuAQAAA4AAAAAAAAAAQAgAAAAJwEAAGRycy9lMm9Eb2MueG1sUEsFBgAAAAAGAAYAWQEA&#10;APEFAAAAAA==&#10;">
                      <v:fill on="t" focussize="0,0"/>
                      <v:stroke weight="0.5pt" color="#000000 [3204]" joinstyle="round"/>
                      <v:imagedata o:title=""/>
                      <o:lock v:ext="edit" aspectratio="f"/>
                      <v:textbox>
                        <w:txbxContent>
                          <w:p>
                            <w:pPr>
                              <w:jc w:val="center"/>
                              <w:rPr>
                                <w:rFonts w:eastAsiaTheme="minorEastAsia"/>
                                <w:b/>
                                <w:bCs/>
                                <w:color w:val="FF0000"/>
                              </w:rPr>
                            </w:pPr>
                            <w:r>
                              <w:rPr>
                                <w:rFonts w:hint="eastAsia"/>
                                <w:b/>
                                <w:bCs/>
                                <w:color w:val="FF0000"/>
                              </w:rPr>
                              <w:t>5.48</w:t>
                            </w:r>
                            <w:r>
                              <w:rPr>
                                <w:b/>
                                <w:bCs/>
                                <w:color w:val="FF0000"/>
                              </w:rPr>
                              <w:t>km</w:t>
                            </w:r>
                          </w:p>
                        </w:txbxContent>
                      </v:textbox>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2469515</wp:posOffset>
                      </wp:positionH>
                      <wp:positionV relativeFrom="paragraph">
                        <wp:posOffset>1623060</wp:posOffset>
                      </wp:positionV>
                      <wp:extent cx="709930" cy="280035"/>
                      <wp:effectExtent l="5080" t="4445" r="8890" b="20320"/>
                      <wp:wrapNone/>
                      <wp:docPr id="8" name="文本框 8"/>
                      <wp:cNvGraphicFramePr/>
                      <a:graphic xmlns:a="http://schemas.openxmlformats.org/drawingml/2006/main">
                        <a:graphicData uri="http://schemas.microsoft.com/office/word/2010/wordprocessingShape">
                          <wps:wsp>
                            <wps:cNvSpPr txBox="1"/>
                            <wps:spPr>
                              <a:xfrm>
                                <a:off x="2379980" y="4650740"/>
                                <a:ext cx="70993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b/>
                                      <w:bCs/>
                                      <w:color w:val="FF0000"/>
                                    </w:rPr>
                                  </w:pPr>
                                  <w:r>
                                    <w:rPr>
                                      <w:b/>
                                      <w:bCs/>
                                      <w:color w:val="FF0000"/>
                                    </w:rPr>
                                    <w:t>11.</w:t>
                                  </w:r>
                                  <w:r>
                                    <w:rPr>
                                      <w:rFonts w:hint="eastAsia"/>
                                      <w:b/>
                                      <w:bCs/>
                                      <w:color w:val="FF0000"/>
                                    </w:rPr>
                                    <w:t>26</w:t>
                                  </w:r>
                                  <w:r>
                                    <w:rPr>
                                      <w:b/>
                                      <w:bCs/>
                                      <w:color w:val="FF0000"/>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45pt;margin-top:127.8pt;height:22.05pt;width:55.9pt;z-index:251662336;mso-width-relative:page;mso-height-relative:page;" fillcolor="#FFFFFF [3201]" filled="t" stroked="t" coordsize="21600,21600" o:gfxdata="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5eB5nYAAAACwEAAA8AAAAAAAAAAQAgAAAAIgAAAGRycy9kb3ducmV2LnhtbFBLAQIUABQA&#10;AAAIAIdO4kAYw7PLYgIAAMIEAAAOAAAAAAAAAAEAIAAAACcBAABkcnMvZTJvRG9jLnhtbFBLBQYA&#10;AAAABgAGAFkBAAD7BQAAAAA=&#10;">
                      <v:fill on="t" focussize="0,0"/>
                      <v:stroke weight="0.5pt" color="#000000 [3204]" joinstyle="round"/>
                      <v:imagedata o:title=""/>
                      <o:lock v:ext="edit" aspectratio="f"/>
                      <v:textbox>
                        <w:txbxContent>
                          <w:p>
                            <w:pPr>
                              <w:jc w:val="center"/>
                              <w:rPr>
                                <w:rFonts w:eastAsiaTheme="minorEastAsia"/>
                                <w:b/>
                                <w:bCs/>
                                <w:color w:val="FF0000"/>
                              </w:rPr>
                            </w:pPr>
                            <w:r>
                              <w:rPr>
                                <w:b/>
                                <w:bCs/>
                                <w:color w:val="FF0000"/>
                              </w:rPr>
                              <w:t>11.</w:t>
                            </w:r>
                            <w:r>
                              <w:rPr>
                                <w:rFonts w:hint="eastAsia"/>
                                <w:b/>
                                <w:bCs/>
                                <w:color w:val="FF0000"/>
                              </w:rPr>
                              <w:t>26</w:t>
                            </w:r>
                            <w:r>
                              <w:rPr>
                                <w:b/>
                                <w:bCs/>
                                <w:color w:val="FF0000"/>
                              </w:rPr>
                              <w:t>km</w:t>
                            </w:r>
                          </w:p>
                        </w:txbxContent>
                      </v:textbox>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3352800</wp:posOffset>
                      </wp:positionH>
                      <wp:positionV relativeFrom="paragraph">
                        <wp:posOffset>2305685</wp:posOffset>
                      </wp:positionV>
                      <wp:extent cx="709930" cy="280035"/>
                      <wp:effectExtent l="31115" t="127635" r="40005" b="144780"/>
                      <wp:wrapNone/>
                      <wp:docPr id="11" name="文本框 11"/>
                      <wp:cNvGraphicFramePr/>
                      <a:graphic xmlns:a="http://schemas.openxmlformats.org/drawingml/2006/main">
                        <a:graphicData uri="http://schemas.microsoft.com/office/word/2010/wordprocessingShape">
                          <wps:wsp>
                            <wps:cNvSpPr txBox="1"/>
                            <wps:spPr>
                              <a:xfrm rot="20280000">
                                <a:off x="0" y="0"/>
                                <a:ext cx="70993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b/>
                                      <w:bCs/>
                                      <w:color w:val="FF0000"/>
                                    </w:rPr>
                                  </w:pPr>
                                  <w:r>
                                    <w:rPr>
                                      <w:rFonts w:hint="eastAsia"/>
                                      <w:b/>
                                      <w:bCs/>
                                      <w:color w:val="FF0000"/>
                                    </w:rPr>
                                    <w:t>7.48</w:t>
                                  </w:r>
                                  <w:r>
                                    <w:rPr>
                                      <w:b/>
                                      <w:bCs/>
                                      <w:color w:val="FF0000"/>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181.55pt;height:22.05pt;width:55.9pt;rotation:-1441792f;z-index:251663360;mso-width-relative:page;mso-height-relative:page;" fillcolor="#FFFFFF [3201]" filled="t" stroked="t" coordsize="21600,21600" o:gfxdata="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zsT22gAAAAsBAAAPAAAAAAAAAAEAIAAAACIAAABkcnMvZG93bnJldi54bWxQSwECFAAUAAAA&#10;CACHTuJAPvUR6V4CAADHBAAADgAAAAAAAAABACAAAAApAQAAZHJzL2Uyb0RvYy54bWxQSwUGAAAA&#10;AAYABgBZAQAA+QUAAAAA&#10;">
                      <v:fill on="t" focussize="0,0"/>
                      <v:stroke weight="0.5pt" color="#000000 [3204]" joinstyle="round"/>
                      <v:imagedata o:title=""/>
                      <o:lock v:ext="edit" aspectratio="f"/>
                      <v:textbox>
                        <w:txbxContent>
                          <w:p>
                            <w:pPr>
                              <w:jc w:val="center"/>
                              <w:rPr>
                                <w:rFonts w:eastAsiaTheme="minorEastAsia"/>
                                <w:b/>
                                <w:bCs/>
                                <w:color w:val="FF0000"/>
                              </w:rPr>
                            </w:pPr>
                            <w:r>
                              <w:rPr>
                                <w:rFonts w:hint="eastAsia"/>
                                <w:b/>
                                <w:bCs/>
                                <w:color w:val="FF0000"/>
                              </w:rPr>
                              <w:t>7.48</w:t>
                            </w:r>
                            <w:r>
                              <w:rPr>
                                <w:b/>
                                <w:bCs/>
                                <w:color w:val="FF0000"/>
                              </w:rPr>
                              <w:t>km</w:t>
                            </w:r>
                          </w:p>
                        </w:txbxContent>
                      </v:textbox>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895985</wp:posOffset>
                      </wp:positionH>
                      <wp:positionV relativeFrom="paragraph">
                        <wp:posOffset>2834005</wp:posOffset>
                      </wp:positionV>
                      <wp:extent cx="2246630" cy="217170"/>
                      <wp:effectExtent l="0" t="4445" r="1270" b="45085"/>
                      <wp:wrapNone/>
                      <wp:docPr id="36" name="直接箭头连接符 36"/>
                      <wp:cNvGraphicFramePr/>
                      <a:graphic xmlns:a="http://schemas.openxmlformats.org/drawingml/2006/main">
                        <a:graphicData uri="http://schemas.microsoft.com/office/word/2010/wordprocessingShape">
                          <wps:wsp>
                            <wps:cNvCnPr/>
                            <wps:spPr>
                              <a:xfrm flipH="1">
                                <a:off x="1913255" y="3754755"/>
                                <a:ext cx="2246630" cy="2171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55pt;margin-top:223.15pt;height:17.1pt;width:176.9pt;z-index:251668480;mso-width-relative:page;mso-height-relative:page;" filled="f" stroked="t" coordsize="21600,21600" o:gfxdata="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lSB&#10;9NoAAAALAQAADwAAAAAAAAABACAAAAAiAAAAZHJzL2Rvd25yZXYueG1sUEsBAhQAFAAAAAgAh07i&#10;QG88eL8gAgAA+wMAAA4AAAAAAAAAAQAgAAAAKQEAAGRycy9lMm9Eb2MueG1sUEsFBgAAAAAGAAYA&#10;WQEAALsFAAAAAA==&#10;">
                      <v:fill on="f" focussize="0,0"/>
                      <v:stroke weight="0.5pt" color="#FF0000 [3204]" miterlimit="8" joinstyle="miter" endarrow="open"/>
                      <v:imagedata o:title=""/>
                      <o:lock v:ext="edit" aspectratio="f"/>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3142615</wp:posOffset>
                      </wp:positionH>
                      <wp:positionV relativeFrom="paragraph">
                        <wp:posOffset>1202055</wp:posOffset>
                      </wp:positionV>
                      <wp:extent cx="76835" cy="1633220"/>
                      <wp:effectExtent l="4445" t="0" r="52070" b="5080"/>
                      <wp:wrapNone/>
                      <wp:docPr id="35" name="直接箭头连接符 35"/>
                      <wp:cNvGraphicFramePr/>
                      <a:graphic xmlns:a="http://schemas.openxmlformats.org/drawingml/2006/main">
                        <a:graphicData uri="http://schemas.microsoft.com/office/word/2010/wordprocessingShape">
                          <wps:wsp>
                            <wps:cNvCnPr/>
                            <wps:spPr>
                              <a:xfrm flipV="1">
                                <a:off x="4159885" y="3468370"/>
                                <a:ext cx="76835" cy="16332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7.45pt;margin-top:94.65pt;height:128.6pt;width:6.05pt;z-index:251667456;mso-width-relative:page;mso-height-relative:page;" filled="f" stroked="t" coordsize="21600,21600" o:gfxdata="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RQWb/a&#10;AAAACwEAAA8AAAAAAAAAAQAgAAAAIgAAAGRycy9kb3ducmV2LnhtbFBLAQIUABQAAAAIAIdO4kC5&#10;l2SaHgIAAPoDAAAOAAAAAAAAAAEAIAAAACkBAABkcnMvZTJvRG9jLnhtbFBLBQYAAAAABgAGAFkB&#10;AAC5BQAAAAA=&#10;">
                      <v:fill on="f" focussize="0,0"/>
                      <v:stroke weight="0.5pt" color="#FF0000 [3204]" miterlimit="8" joinstyle="miter" endarrow="open"/>
                      <v:imagedata o:title=""/>
                      <o:lock v:ext="edit" aspectratio="f"/>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3144520</wp:posOffset>
                      </wp:positionH>
                      <wp:positionV relativeFrom="paragraph">
                        <wp:posOffset>2346960</wp:posOffset>
                      </wp:positionV>
                      <wp:extent cx="1133475" cy="488315"/>
                      <wp:effectExtent l="1905" t="11430" r="7620" b="14605"/>
                      <wp:wrapNone/>
                      <wp:docPr id="34" name="直接箭头连接符 34"/>
                      <wp:cNvGraphicFramePr/>
                      <a:graphic xmlns:a="http://schemas.openxmlformats.org/drawingml/2006/main">
                        <a:graphicData uri="http://schemas.microsoft.com/office/word/2010/wordprocessingShape">
                          <wps:wsp>
                            <wps:cNvCnPr/>
                            <wps:spPr>
                              <a:xfrm flipV="1">
                                <a:off x="4161790" y="3267710"/>
                                <a:ext cx="1133475" cy="48831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7.6pt;margin-top:184.8pt;height:38.45pt;width:89.25pt;z-index:251666432;mso-width-relative:page;mso-height-relative:page;" filled="f" stroked="t" coordsize="21600,21600" o:gfxdata="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C1+5dsAAAALAQAADwAAAAAAAAABACAAAAAiAAAAZHJzL2Rvd25yZXYueG1sUEsBAhQAFAAAAAgA&#10;h07iQMjmGQ8iAgAA+wMAAA4AAAAAAAAAAQAgAAAAKgEAAGRycy9lMm9Eb2MueG1sUEsFBgAAAAAG&#10;AAYAWQEAAL4FAAAAAA==&#10;">
                      <v:fill on="f" focussize="0,0"/>
                      <v:stroke weight="0.5pt" color="#FF0000 [3204]" miterlimit="8" joinstyle="miter" endarrow="open"/>
                      <v:imagedata o:title=""/>
                      <o:lock v:ext="edit" aspectratio="f"/>
                    </v:shap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3146425</wp:posOffset>
                      </wp:positionH>
                      <wp:positionV relativeFrom="paragraph">
                        <wp:posOffset>2834640</wp:posOffset>
                      </wp:positionV>
                      <wp:extent cx="929005" cy="12700"/>
                      <wp:effectExtent l="0" t="37465" r="4445" b="64135"/>
                      <wp:wrapNone/>
                      <wp:docPr id="33" name="直接箭头连接符 33"/>
                      <wp:cNvGraphicFramePr/>
                      <a:graphic xmlns:a="http://schemas.openxmlformats.org/drawingml/2006/main">
                        <a:graphicData uri="http://schemas.microsoft.com/office/word/2010/wordprocessingShape">
                          <wps:wsp>
                            <wps:cNvCnPr/>
                            <wps:spPr>
                              <a:xfrm>
                                <a:off x="4163695" y="3755390"/>
                                <a:ext cx="929005" cy="12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7.75pt;margin-top:223.2pt;height:1pt;width:73.15pt;z-index:251665408;mso-width-relative:page;mso-height-relative:page;" filled="f" stroked="t" coordsize="21600,21600" o:gfxdata="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Bf7w2wAAAAsB&#10;AAAPAAAAAAAAAAEAIAAAACIAAABkcnMvZG93bnJldi54bWxQSwECFAAUAAAACACHTuJArqx3phgC&#10;AADvAwAADgAAAAAAAAABACAAAAAqAQAAZHJzL2Uyb0RvYy54bWxQSwUGAAAAAAYABgBZAQAAtAUA&#10;AAAA&#10;">
                      <v:fill on="f" focussize="0,0"/>
                      <v:stroke weight="0.5pt" color="#FF0000 [3204]" miterlimit="8" joinstyle="miter" endarrow="open"/>
                      <v:imagedata o:title=""/>
                      <o:lock v:ext="edit" aspectratio="f"/>
                    </v:shape>
                  </w:pict>
                </mc:Fallback>
              </mc:AlternateContent>
            </w:r>
            <w:r>
              <w:rPr>
                <w:rFonts w:hint="default" w:ascii="Times New Roman" w:hAnsi="Times New Roman" w:cs="Times New Roman"/>
                <w:color w:val="auto"/>
                <w:highlight w:val="none"/>
              </w:rPr>
              <w:drawing>
                <wp:inline distT="0" distB="0" distL="114300" distR="114300">
                  <wp:extent cx="5458460" cy="4049395"/>
                  <wp:effectExtent l="0" t="0" r="8890" b="825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9"/>
                          <a:stretch>
                            <a:fillRect/>
                          </a:stretch>
                        </pic:blipFill>
                        <pic:spPr>
                          <a:xfrm>
                            <a:off x="0" y="0"/>
                            <a:ext cx="5458460" cy="4049395"/>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rFonts w:hint="default" w:ascii="Times New Roman" w:hAnsi="Times New Roman" w:cs="Times New Roman"/>
                <w:color w:val="auto"/>
                <w:sz w:val="24"/>
                <w:szCs w:val="32"/>
                <w:highlight w:val="none"/>
                <w:lang w:bidi="ar"/>
              </w:rPr>
            </w:pPr>
            <w:r>
              <w:rPr>
                <w:rFonts w:hint="default" w:ascii="Times New Roman" w:hAnsi="Times New Roman" w:eastAsia="黑体" w:cs="Times New Roman"/>
                <w:color w:val="auto"/>
                <w:highlight w:val="none"/>
              </w:rPr>
              <w:t xml:space="preserve">图1-5 </w:t>
            </w:r>
            <w:r>
              <w:rPr>
                <w:rFonts w:hint="default" w:ascii="Times New Roman" w:hAnsi="Times New Roman" w:eastAsia="黑体" w:cs="Times New Roman"/>
                <w:bCs/>
                <w:color w:val="auto"/>
                <w:highlight w:val="none"/>
              </w:rPr>
              <w:t>项目排污口与南坝镇取水点位置关系图</w:t>
            </w:r>
          </w:p>
          <w:p>
            <w:pPr>
              <w:pageBreakBefore w:val="0"/>
              <w:kinsoku/>
              <w:wordWrap/>
              <w:topLinePunct w:val="0"/>
              <w:bidi w:val="0"/>
              <w:spacing w:line="360" w:lineRule="auto"/>
              <w:ind w:left="0" w:leftChars="0" w:right="0" w:rightChars="0" w:firstLine="480" w:firstLineChars="200"/>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根据上图可知，项目不在</w:t>
            </w:r>
            <w:r>
              <w:rPr>
                <w:rFonts w:hint="eastAsia" w:ascii="Times New Roman" w:hAnsi="Times New Roman" w:cs="Times New Roman"/>
                <w:color w:val="auto"/>
                <w:sz w:val="24"/>
                <w:szCs w:val="32"/>
                <w:highlight w:val="none"/>
                <w:lang w:val="en-US" w:eastAsia="zh-CN" w:bidi="ar"/>
              </w:rPr>
              <w:t>上述4</w:t>
            </w:r>
            <w:r>
              <w:rPr>
                <w:rFonts w:hint="default" w:ascii="Times New Roman" w:hAnsi="Times New Roman" w:cs="Times New Roman"/>
                <w:color w:val="auto"/>
                <w:sz w:val="24"/>
                <w:szCs w:val="32"/>
                <w:highlight w:val="none"/>
                <w:lang w:bidi="ar"/>
              </w:rPr>
              <w:t>个集中式饮用水水源地保护区范围内。</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lang w:bidi="ar"/>
              </w:rPr>
              <w:t>8、选址符合性分析</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（1）污水厂选址符合性</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24"/>
                <w:highlight w:val="none"/>
                <w:lang w:bidi="ar"/>
              </w:rPr>
              <w:t>本项目为宣汉县南坝镇城市生活污水处理厂提标改造及二期工程，</w:t>
            </w:r>
            <w:r>
              <w:rPr>
                <w:rFonts w:hint="default" w:ascii="Times New Roman" w:hAnsi="Times New Roman" w:cs="Times New Roman"/>
                <w:color w:val="auto"/>
                <w:sz w:val="24"/>
                <w:szCs w:val="32"/>
                <w:highlight w:val="none"/>
                <w:lang w:bidi="ar"/>
              </w:rPr>
              <w:t>扩建的二期用地利用宣汉县自来水公司</w:t>
            </w:r>
            <w:r>
              <w:rPr>
                <w:rFonts w:hint="default" w:ascii="Times New Roman" w:hAnsi="Times New Roman" w:cs="Times New Roman"/>
                <w:color w:val="auto"/>
                <w:sz w:val="24"/>
                <w:szCs w:val="32"/>
                <w:highlight w:val="none"/>
                <w:lang w:eastAsia="zh-CN" w:bidi="ar"/>
              </w:rPr>
              <w:t>（注：四川汉润水务集团有限公司曾用名宣汉县自来水公司、四川汉润水业有限公司）位于宣汉县南坝镇龙驹坝二期预留空地范围进行修建</w:t>
            </w:r>
            <w:r>
              <w:rPr>
                <w:rFonts w:hint="eastAsia" w:ascii="Times New Roman" w:hAnsi="Times New Roman" w:cs="Times New Roman"/>
                <w:color w:val="auto"/>
                <w:sz w:val="24"/>
                <w:szCs w:val="32"/>
                <w:highlight w:val="none"/>
                <w:lang w:eastAsia="zh-CN" w:bidi="ar"/>
              </w:rPr>
              <w:t>，</w:t>
            </w:r>
            <w:r>
              <w:rPr>
                <w:rFonts w:hint="eastAsia" w:ascii="Times New Roman" w:hAnsi="Times New Roman" w:cs="Times New Roman"/>
                <w:color w:val="auto"/>
                <w:sz w:val="24"/>
                <w:szCs w:val="32"/>
                <w:highlight w:val="none"/>
                <w:lang w:val="en-US" w:eastAsia="zh-CN" w:bidi="ar"/>
              </w:rPr>
              <w:t>不新增用地</w:t>
            </w:r>
            <w:r>
              <w:rPr>
                <w:rFonts w:hint="default" w:ascii="Times New Roman" w:hAnsi="Times New Roman" w:cs="Times New Roman"/>
                <w:color w:val="auto"/>
                <w:sz w:val="24"/>
                <w:szCs w:val="32"/>
                <w:highlight w:val="none"/>
                <w:lang w:bidi="ar"/>
              </w:rPr>
              <w:t>。厂区建设用地已取得</w:t>
            </w:r>
            <w:r>
              <w:rPr>
                <w:rFonts w:hint="default" w:ascii="Times New Roman" w:hAnsi="Times New Roman" w:cs="Times New Roman"/>
                <w:color w:val="auto"/>
                <w:sz w:val="24"/>
                <w:szCs w:val="24"/>
                <w:highlight w:val="none"/>
                <w:lang w:bidi="ar"/>
              </w:rPr>
              <w:t>宣汉县住房和城乡规划建设局出局的《</w:t>
            </w:r>
            <w:r>
              <w:rPr>
                <w:rFonts w:hint="default" w:ascii="Times New Roman" w:hAnsi="Times New Roman" w:cs="Times New Roman"/>
                <w:color w:val="auto"/>
                <w:sz w:val="24"/>
                <w:szCs w:val="32"/>
                <w:highlight w:val="none"/>
                <w:lang w:bidi="ar"/>
              </w:rPr>
              <w:t>建设项目选址意见书》（宣选第（2011）006号），</w:t>
            </w:r>
            <w:r>
              <w:rPr>
                <w:rFonts w:hint="default" w:ascii="Times New Roman" w:hAnsi="Times New Roman" w:cs="Times New Roman"/>
                <w:color w:val="auto"/>
                <w:sz w:val="24"/>
                <w:szCs w:val="24"/>
                <w:highlight w:val="none"/>
                <w:lang w:bidi="ar"/>
              </w:rPr>
              <w:t>项目用地类型为公共设施用地，</w:t>
            </w:r>
            <w:r>
              <w:rPr>
                <w:rFonts w:hint="default" w:ascii="Times New Roman" w:hAnsi="Times New Roman" w:cs="Times New Roman"/>
                <w:color w:val="auto"/>
                <w:sz w:val="24"/>
                <w:szCs w:val="32"/>
                <w:highlight w:val="none"/>
                <w:lang w:bidi="ar"/>
              </w:rPr>
              <w:t>用地面积30亩（20000m</w:t>
            </w:r>
            <w:r>
              <w:rPr>
                <w:rFonts w:hint="default" w:ascii="Times New Roman" w:hAnsi="Times New Roman" w:cs="Times New Roman"/>
                <w:color w:val="auto"/>
                <w:sz w:val="24"/>
                <w:szCs w:val="32"/>
                <w:highlight w:val="none"/>
                <w:vertAlign w:val="superscript"/>
                <w:lang w:bidi="ar"/>
              </w:rPr>
              <w:t>2</w:t>
            </w:r>
            <w:r>
              <w:rPr>
                <w:rFonts w:hint="default" w:ascii="Times New Roman" w:hAnsi="Times New Roman" w:cs="Times New Roman"/>
                <w:color w:val="auto"/>
                <w:sz w:val="24"/>
                <w:szCs w:val="32"/>
                <w:highlight w:val="none"/>
                <w:lang w:bidi="ar"/>
              </w:rPr>
              <w:t>）。因此，本项目在原厂区内建设二期项目用地符合当地规划要求，用地合法。</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（2）本项目与外环境相容性</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32"/>
                <w:highlight w:val="none"/>
                <w:lang w:bidi="ar"/>
              </w:rPr>
              <w:t>本项目选址于</w:t>
            </w:r>
            <w:r>
              <w:rPr>
                <w:rFonts w:hint="default" w:ascii="Times New Roman" w:hAnsi="Times New Roman" w:cs="Times New Roman"/>
                <w:color w:val="auto"/>
                <w:sz w:val="24"/>
                <w:szCs w:val="24"/>
                <w:highlight w:val="none"/>
                <w:lang w:bidi="ar"/>
              </w:rPr>
              <w:t>现有宣汉县南坝镇城市生活污水处理厂一期工程东侧二期预留用地。根据现场踏勘，项目位于前河“几”字河湾处，项目北侧偏西约50m处为前河，约181～500m范围内为墩子村居民约30户；项目北侧偏东约347～500m范围内为墩子村居民约20户；项目东侧约70m处为前河；项目东侧偏南约208m处为农家乐，约328～500m范围内为沙湾社区居民约13户；项目南侧约3</w:t>
            </w:r>
            <w:r>
              <w:rPr>
                <w:rFonts w:hint="default" w:ascii="Times New Roman" w:hAnsi="Times New Roman" w:cs="Times New Roman"/>
                <w:color w:val="auto"/>
                <w:sz w:val="24"/>
                <w:szCs w:val="24"/>
                <w:highlight w:val="none"/>
                <w:lang w:val="en-US" w:eastAsia="zh-CN" w:bidi="ar"/>
              </w:rPr>
              <w:t>5</w:t>
            </w:r>
            <w:r>
              <w:rPr>
                <w:rFonts w:hint="default" w:ascii="Times New Roman" w:hAnsi="Times New Roman" w:cs="Times New Roman"/>
                <w:color w:val="auto"/>
                <w:sz w:val="24"/>
                <w:szCs w:val="24"/>
                <w:highlight w:val="none"/>
                <w:lang w:bidi="ar"/>
              </w:rPr>
              <w:t>m处为四川佳肴食品有限公司，约212m处为达州市桃花米业有限公司，约271m处为宣汉县老南坝食品有限公司，约468m处为宣汉县圣灯食品有限公司；项目西侧偏南约199～500m范围内为龙驹坝居民约45户；项目西侧约3m处为龙驹坝居民约8户，约242m处为前河。</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color w:val="auto"/>
                <w:sz w:val="24"/>
                <w:szCs w:val="24"/>
                <w:highlight w:val="none"/>
                <w:lang w:bidi="ar"/>
              </w:rPr>
            </w:pPr>
            <w:r>
              <w:rPr>
                <w:rFonts w:hint="default" w:ascii="Times New Roman" w:hAnsi="Times New Roman" w:cs="Times New Roman"/>
                <w:b/>
                <w:bCs/>
                <w:color w:val="auto"/>
                <w:sz w:val="24"/>
                <w:szCs w:val="24"/>
                <w:highlight w:val="none"/>
                <w:lang w:bidi="ar"/>
              </w:rPr>
              <w:t>根据现场调查，项目原划定的100m卫生防护距离范围内存在8户居民，结合城镇建设总体规划，由政府承诺进行搬迁安置。</w:t>
            </w:r>
            <w:r>
              <w:rPr>
                <w:rFonts w:hint="default" w:ascii="Times New Roman" w:hAnsi="Times New Roman" w:cs="Times New Roman"/>
                <w:b/>
                <w:bCs/>
                <w:color w:val="auto"/>
                <w:sz w:val="24"/>
                <w:szCs w:val="24"/>
                <w:highlight w:val="none"/>
                <w:lang w:val="en-US" w:eastAsia="zh-CN" w:bidi="ar"/>
              </w:rPr>
              <w:t>同时，本环评要求，项目验收之前需完成卫生防护距离内居民的全部搬迁。</w:t>
            </w:r>
            <w:r>
              <w:rPr>
                <w:rFonts w:hint="default" w:ascii="Times New Roman" w:hAnsi="Times New Roman" w:cs="Times New Roman"/>
                <w:color w:val="auto"/>
                <w:sz w:val="24"/>
                <w:szCs w:val="24"/>
                <w:highlight w:val="none"/>
                <w:lang w:bidi="ar"/>
              </w:rPr>
              <w:t>项目</w:t>
            </w:r>
            <w:r>
              <w:rPr>
                <w:rFonts w:hint="default" w:ascii="Times New Roman" w:hAnsi="Times New Roman" w:cs="Times New Roman"/>
                <w:color w:val="auto"/>
                <w:sz w:val="24"/>
                <w:szCs w:val="24"/>
                <w:highlight w:val="none"/>
                <w:lang w:val="en-US" w:eastAsia="zh-CN" w:bidi="ar"/>
              </w:rPr>
              <w:t>南侧约35m处为</w:t>
            </w:r>
            <w:r>
              <w:rPr>
                <w:rFonts w:hint="default" w:ascii="Times New Roman" w:hAnsi="Times New Roman" w:cs="Times New Roman"/>
                <w:color w:val="auto"/>
                <w:sz w:val="24"/>
                <w:szCs w:val="24"/>
                <w:highlight w:val="none"/>
                <w:lang w:bidi="ar"/>
              </w:rPr>
              <w:t>四川佳肴食品有限公司</w:t>
            </w: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牛肉制品加工</w:t>
            </w:r>
            <w:r>
              <w:rPr>
                <w:rFonts w:hint="default" w:ascii="Times New Roman" w:hAnsi="Times New Roman" w:cs="Times New Roman"/>
                <w:color w:val="auto"/>
                <w:sz w:val="24"/>
                <w:szCs w:val="24"/>
                <w:highlight w:val="none"/>
                <w:lang w:eastAsia="zh-CN" w:bidi="ar"/>
              </w:rPr>
              <w:t>），</w:t>
            </w:r>
            <w:r>
              <w:rPr>
                <w:rFonts w:hint="default" w:ascii="Times New Roman" w:hAnsi="Times New Roman" w:cs="Times New Roman"/>
                <w:color w:val="auto"/>
                <w:sz w:val="24"/>
                <w:szCs w:val="24"/>
                <w:highlight w:val="none"/>
                <w:lang w:val="en-US" w:eastAsia="zh-CN" w:bidi="ar"/>
              </w:rPr>
              <w:t>根据本次划定的卫生防护距离可知，</w:t>
            </w:r>
            <w:r>
              <w:rPr>
                <w:rFonts w:hint="default" w:ascii="Times New Roman" w:hAnsi="Times New Roman" w:cs="Times New Roman"/>
                <w:color w:val="auto"/>
                <w:sz w:val="24"/>
                <w:szCs w:val="24"/>
                <w:highlight w:val="none"/>
                <w:lang w:bidi="ar"/>
              </w:rPr>
              <w:t>四川佳肴食品有限公司</w:t>
            </w:r>
            <w:r>
              <w:rPr>
                <w:rFonts w:hint="default" w:ascii="Times New Roman" w:hAnsi="Times New Roman" w:cs="Times New Roman"/>
                <w:color w:val="auto"/>
                <w:sz w:val="24"/>
                <w:szCs w:val="24"/>
                <w:highlight w:val="none"/>
                <w:lang w:val="en-US" w:eastAsia="zh-CN" w:bidi="ar"/>
              </w:rPr>
              <w:t>生产车间未在划定的卫生防护距离内。</w:t>
            </w:r>
            <w:r>
              <w:rPr>
                <w:rFonts w:hint="default" w:ascii="Times New Roman" w:hAnsi="Times New Roman" w:cs="Times New Roman"/>
                <w:color w:val="auto"/>
                <w:sz w:val="24"/>
                <w:szCs w:val="24"/>
                <w:highlight w:val="none"/>
                <w:lang w:bidi="ar"/>
              </w:rPr>
              <w:t>项目营运期间产生的废水、废气、噪声、固废等各项污染物通过采取相应治理措施后均可达标排放或得到合理处置，对周围环境影响较小，并且本项目的建设将大大减少废水污染物的排放量，具有环境正效益。</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项目周边区域内无饮用水源保护区、风景名胜区、自然保护区、保护文物、生态敏感点或其它需要特别保护的对象，不存在重大环境制约因素，项目选址与外环境相容。</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综上所述，本项目选址符合当地规划要求，与外环境相容，无重大环境制约因素，从环保角度分析，本项目选址合理可行。</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（3）排污口设置合理性</w:t>
            </w:r>
          </w:p>
          <w:p>
            <w:pPr>
              <w:pageBreakBefore w:val="0"/>
              <w:kinsoku/>
              <w:wordWrap/>
              <w:topLinePunct w:val="0"/>
              <w:bidi w:val="0"/>
              <w:spacing w:line="360" w:lineRule="auto"/>
              <w:ind w:left="0" w:leftChars="0" w:right="0" w:rightChars="0" w:firstLine="480" w:firstLineChars="200"/>
              <w:jc w:val="left"/>
              <w:rPr>
                <w:rFonts w:hint="default" w:cs="Times New Roman"/>
                <w:color w:val="auto"/>
                <w:sz w:val="24"/>
                <w:szCs w:val="32"/>
                <w:highlight w:val="none"/>
                <w:lang w:val="en-US" w:eastAsia="zh-CN" w:bidi="ar"/>
              </w:rPr>
            </w:pPr>
            <w:r>
              <w:rPr>
                <w:rFonts w:hint="eastAsia" w:ascii="Times New Roman" w:hAnsi="Times New Roman" w:cs="Times New Roman"/>
                <w:color w:val="auto"/>
                <w:sz w:val="24"/>
                <w:szCs w:val="32"/>
                <w:highlight w:val="none"/>
                <w:lang w:val="en-US" w:eastAsia="zh-CN" w:bidi="ar"/>
              </w:rPr>
              <w:t>本项目</w:t>
            </w:r>
            <w:r>
              <w:rPr>
                <w:rFonts w:hint="default" w:ascii="Times New Roman" w:hAnsi="Times New Roman" w:cs="Times New Roman"/>
                <w:color w:val="auto"/>
                <w:sz w:val="24"/>
                <w:szCs w:val="32"/>
                <w:highlight w:val="none"/>
                <w:lang w:bidi="ar"/>
              </w:rPr>
              <w:t>排污口位于南坝镇龙文村前河左岸，入河方式为岸边明管，现已按照1万m</w:t>
            </w:r>
            <w:r>
              <w:rPr>
                <w:rFonts w:hint="default" w:ascii="Times New Roman" w:hAnsi="Times New Roman" w:cs="Times New Roman"/>
                <w:color w:val="auto"/>
                <w:sz w:val="24"/>
                <w:szCs w:val="32"/>
                <w:highlight w:val="none"/>
                <w:vertAlign w:val="superscript"/>
                <w:lang w:bidi="ar"/>
              </w:rPr>
              <w:t>3</w:t>
            </w:r>
            <w:r>
              <w:rPr>
                <w:rFonts w:hint="default" w:ascii="Times New Roman" w:hAnsi="Times New Roman" w:cs="Times New Roman"/>
                <w:color w:val="auto"/>
                <w:sz w:val="24"/>
                <w:szCs w:val="32"/>
                <w:highlight w:val="none"/>
                <w:lang w:bidi="ar"/>
              </w:rPr>
              <w:t>/d的能力建成</w:t>
            </w:r>
            <w:r>
              <w:rPr>
                <w:rFonts w:hint="eastAsia" w:ascii="Times New Roman" w:hAnsi="Times New Roman" w:cs="Times New Roman"/>
                <w:color w:val="auto"/>
                <w:sz w:val="24"/>
                <w:szCs w:val="32"/>
                <w:highlight w:val="none"/>
                <w:lang w:eastAsia="zh-CN" w:bidi="ar"/>
              </w:rPr>
              <w:t>，</w:t>
            </w:r>
            <w:r>
              <w:rPr>
                <w:rFonts w:hint="eastAsia" w:ascii="Times New Roman" w:hAnsi="Times New Roman" w:cs="Times New Roman"/>
                <w:color w:val="auto"/>
                <w:sz w:val="24"/>
                <w:szCs w:val="32"/>
                <w:highlight w:val="none"/>
                <w:lang w:val="en-US" w:eastAsia="zh-CN" w:bidi="ar"/>
              </w:rPr>
              <w:t>项目已取得的宣汉县水务局《关于南坝镇污水处理厂排污口设置的函》（宣水务函〔2011〕52号）中明确：“宣汉县南坝镇污水处理厂设置的排污口上游5km，下游10km无集中式饮用水源保护区，同意在前河该段规划设置排污口”。但目前一期未办理入河排污口设置论证报告，</w:t>
            </w:r>
            <w:r>
              <w:rPr>
                <w:rFonts w:hint="eastAsia" w:cs="Times New Roman"/>
                <w:color w:val="auto"/>
                <w:sz w:val="24"/>
                <w:szCs w:val="32"/>
                <w:highlight w:val="none"/>
                <w:lang w:val="en-US" w:eastAsia="zh-CN" w:bidi="ar"/>
              </w:rPr>
              <w:t>不满足环保相关要求。</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eastAsia="宋体" w:cs="Times New Roman"/>
                <w:b/>
                <w:bCs/>
                <w:color w:val="auto"/>
                <w:sz w:val="24"/>
                <w:szCs w:val="32"/>
                <w:highlight w:val="none"/>
                <w:lang w:val="en-US" w:eastAsia="zh-CN" w:bidi="ar"/>
              </w:rPr>
            </w:pPr>
            <w:r>
              <w:rPr>
                <w:rFonts w:hint="eastAsia" w:ascii="Times New Roman" w:hAnsi="Times New Roman" w:cs="Times New Roman"/>
                <w:color w:val="auto"/>
                <w:sz w:val="24"/>
                <w:szCs w:val="32"/>
                <w:highlight w:val="none"/>
                <w:lang w:val="en-US" w:eastAsia="zh-CN" w:bidi="ar"/>
              </w:rPr>
              <w:t>根据</w:t>
            </w:r>
            <w:r>
              <w:rPr>
                <w:rFonts w:hint="default" w:ascii="Times New Roman" w:hAnsi="Times New Roman" w:cs="Times New Roman"/>
                <w:color w:val="auto"/>
                <w:sz w:val="24"/>
                <w:szCs w:val="32"/>
                <w:highlight w:val="none"/>
                <w:lang w:bidi="ar"/>
              </w:rPr>
              <w:t>《中华人民共和国水污染防治法》第十九条第二款、《入河排污口监督管理办法》第六条，“建设单位在江河、湖泊新建、改建、扩建排污口的，应当取得水行政主管部门或者流域管理机构同意”</w:t>
            </w:r>
            <w:r>
              <w:rPr>
                <w:rFonts w:hint="eastAsia" w:ascii="Times New Roman" w:hAnsi="Times New Roman" w:cs="Times New Roman"/>
                <w:color w:val="auto"/>
                <w:sz w:val="24"/>
                <w:szCs w:val="32"/>
                <w:highlight w:val="none"/>
                <w:lang w:eastAsia="zh-CN" w:bidi="ar"/>
              </w:rPr>
              <w:t>。</w:t>
            </w:r>
            <w:r>
              <w:rPr>
                <w:rFonts w:hint="eastAsia" w:ascii="Times New Roman" w:hAnsi="Times New Roman" w:cs="Times New Roman"/>
                <w:b/>
                <w:bCs/>
                <w:color w:val="auto"/>
                <w:sz w:val="24"/>
                <w:szCs w:val="32"/>
                <w:highlight w:val="none"/>
                <w:lang w:val="en-US" w:eastAsia="zh-CN" w:bidi="ar"/>
              </w:rPr>
              <w:t>因此，</w:t>
            </w:r>
            <w:r>
              <w:rPr>
                <w:rFonts w:hint="default" w:ascii="Times New Roman" w:hAnsi="Times New Roman" w:cs="Times New Roman"/>
                <w:b/>
                <w:bCs/>
                <w:color w:val="auto"/>
                <w:sz w:val="24"/>
                <w:szCs w:val="32"/>
                <w:highlight w:val="none"/>
                <w:lang w:bidi="ar"/>
              </w:rPr>
              <w:t>本项目需办理入河排污口设置论证报告审批。</w:t>
            </w:r>
            <w:r>
              <w:rPr>
                <w:rFonts w:hint="eastAsia" w:ascii="Times New Roman" w:hAnsi="Times New Roman" w:cs="Times New Roman"/>
                <w:b/>
                <w:bCs/>
                <w:color w:val="auto"/>
                <w:sz w:val="24"/>
                <w:szCs w:val="32"/>
                <w:highlight w:val="none"/>
                <w:lang w:val="en-US" w:eastAsia="zh-CN" w:bidi="ar"/>
              </w:rPr>
              <w:t>环评要求：项目二期工程运营前需取得入河排污口批复。</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default" w:ascii="Times New Roman" w:hAnsi="Times New Roman" w:cs="Times New Roman"/>
                <w:color w:val="auto"/>
                <w:sz w:val="24"/>
                <w:szCs w:val="32"/>
                <w:highlight w:val="none"/>
                <w:lang w:bidi="ar"/>
              </w:rPr>
              <w:t>项目一期服务范围为南坝镇镇区生活污水，二期除收集南坝镇镇区生活污水外还将收纳南坝工业园区的工业污水。因此，入河排污口为</w:t>
            </w:r>
            <w:r>
              <w:rPr>
                <w:rFonts w:hint="eastAsia" w:cs="Times New Roman"/>
                <w:color w:val="auto"/>
                <w:sz w:val="24"/>
                <w:szCs w:val="32"/>
                <w:highlight w:val="none"/>
                <w:lang w:val="en-US" w:eastAsia="zh-CN" w:bidi="ar"/>
              </w:rPr>
              <w:t>城镇污水处理厂</w:t>
            </w:r>
            <w:r>
              <w:rPr>
                <w:rFonts w:hint="default" w:ascii="Times New Roman" w:hAnsi="Times New Roman" w:cs="Times New Roman"/>
                <w:color w:val="auto"/>
                <w:sz w:val="24"/>
                <w:szCs w:val="32"/>
                <w:highlight w:val="none"/>
                <w:lang w:bidi="ar"/>
              </w:rPr>
              <w:t>排污口。项目改扩建后排放方式为连续排放，入河方式为岸边明管，排污口地理坐标东经107°58′47″，北纬31°22′26″。项目20年一遇洪水位（356.50m），污水处理厂设计地坪标高为357.0m左右，其排污口标高为357.0m，因此，本项目在洪水期不会引起污水的倒灌现象。污水厂达标尾水通过暗管输送至厂区外侧前河左岸岸边排放，无阻洪建筑物，因此，项目入河排污口的设置对河道行洪无影响。</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cs="Times New Roman"/>
                <w:color w:val="auto"/>
                <w:sz w:val="24"/>
                <w:szCs w:val="32"/>
                <w:highlight w:val="none"/>
                <w:lang w:bidi="ar"/>
              </w:rPr>
            </w:pPr>
            <w:r>
              <w:rPr>
                <w:rFonts w:hint="eastAsia" w:ascii="Times New Roman" w:hAnsi="Times New Roman" w:cs="Times New Roman"/>
                <w:color w:val="auto"/>
                <w:sz w:val="24"/>
                <w:szCs w:val="32"/>
                <w:highlight w:val="none"/>
                <w:lang w:val="en-US" w:eastAsia="zh-CN" w:bidi="ar"/>
              </w:rPr>
              <w:t>目前项目</w:t>
            </w:r>
            <w:r>
              <w:rPr>
                <w:rFonts w:hint="default" w:ascii="Times New Roman" w:hAnsi="Times New Roman" w:cs="Times New Roman"/>
                <w:color w:val="auto"/>
                <w:sz w:val="24"/>
                <w:szCs w:val="32"/>
                <w:highlight w:val="none"/>
                <w:lang w:bidi="ar"/>
              </w:rPr>
              <w:t>排污口所在前河河段属于水功能一级区中的“州河宣汉开发利用区”，该水功能区起于南坝，止于王咀岩，全长56.2km，水质目标按二级区划执行；本项目排污口涉及的水功能二级区名称为“州河宣汉饮用、工业用水区”，该水功能区起于南坝，止于江口大坝，全长46.5km，水质目标属于地表水Ⅲ类。根据</w:t>
            </w:r>
            <w:r>
              <w:rPr>
                <w:rFonts w:hint="default" w:ascii="Times New Roman" w:hAnsi="Times New Roman" w:cs="Times New Roman"/>
                <w:color w:val="auto"/>
                <w:sz w:val="24"/>
                <w:szCs w:val="24"/>
                <w:highlight w:val="none"/>
                <w:lang w:bidi="ar"/>
              </w:rPr>
              <w:t>恒福（环）检字（2023）第0603号</w:t>
            </w:r>
            <w:r>
              <w:rPr>
                <w:rFonts w:hint="default" w:ascii="Times New Roman" w:hAnsi="Times New Roman" w:cs="Times New Roman"/>
                <w:color w:val="auto"/>
                <w:sz w:val="24"/>
                <w:szCs w:val="32"/>
                <w:highlight w:val="none"/>
                <w:lang w:bidi="ar"/>
              </w:rPr>
              <w:t>监测报告，项目所在区域的前河水质能够满足《地表水环境质量标准》（GB3838-2002）Ⅲ类水域标准。</w:t>
            </w:r>
          </w:p>
          <w:p>
            <w:pPr>
              <w:pageBreakBefore w:val="0"/>
              <w:kinsoku/>
              <w:wordWrap/>
              <w:topLinePunct w:val="0"/>
              <w:bidi w:val="0"/>
              <w:spacing w:line="360" w:lineRule="auto"/>
              <w:ind w:left="0" w:leftChars="0" w:right="0" w:rightChars="0" w:firstLine="480" w:firstLineChars="200"/>
              <w:jc w:val="left"/>
              <w:rPr>
                <w:rFonts w:hint="default" w:ascii="Times New Roman" w:hAnsi="Times New Roman" w:eastAsia="宋体" w:cs="Times New Roman"/>
                <w:color w:val="auto"/>
                <w:sz w:val="24"/>
                <w:szCs w:val="32"/>
                <w:highlight w:val="none"/>
                <w:lang w:val="en-US" w:eastAsia="zh-CN" w:bidi="ar"/>
              </w:rPr>
            </w:pPr>
            <w:r>
              <w:rPr>
                <w:rFonts w:hint="default" w:ascii="Times New Roman" w:hAnsi="Times New Roman" w:cs="Times New Roman"/>
                <w:color w:val="auto"/>
                <w:sz w:val="24"/>
                <w:szCs w:val="32"/>
                <w:highlight w:val="none"/>
                <w:lang w:val="en-US" w:eastAsia="zh-CN" w:bidi="ar"/>
              </w:rPr>
              <w:t>根据《四川省全国重要江河湖泊水功能区纳污能力复核和分阶段限制排污总量控制方案报告》，</w:t>
            </w:r>
            <w:r>
              <w:rPr>
                <w:rFonts w:hint="default" w:ascii="Times New Roman" w:hAnsi="Times New Roman" w:cs="Times New Roman"/>
                <w:color w:val="auto"/>
                <w:sz w:val="24"/>
                <w:szCs w:val="32"/>
                <w:highlight w:val="none"/>
                <w:lang w:bidi="ar"/>
              </w:rPr>
              <w:t>州河宣汉饮用、工业用水区</w:t>
            </w:r>
            <w:r>
              <w:rPr>
                <w:rFonts w:hint="default" w:ascii="Times New Roman" w:hAnsi="Times New Roman" w:cs="Times New Roman"/>
                <w:color w:val="auto"/>
                <w:sz w:val="24"/>
                <w:szCs w:val="32"/>
                <w:highlight w:val="none"/>
                <w:lang w:val="en-US" w:eastAsia="zh-CN" w:bidi="ar"/>
              </w:rPr>
              <w:t>2020年纳污能力COD1401.90t/a，NH</w:t>
            </w:r>
            <w:r>
              <w:rPr>
                <w:rFonts w:hint="default" w:ascii="Times New Roman" w:hAnsi="Times New Roman" w:cs="Times New Roman"/>
                <w:color w:val="auto"/>
                <w:sz w:val="24"/>
                <w:szCs w:val="32"/>
                <w:highlight w:val="none"/>
                <w:vertAlign w:val="subscript"/>
                <w:lang w:val="en-US" w:eastAsia="zh-CN" w:bidi="ar"/>
              </w:rPr>
              <w:t>3</w:t>
            </w:r>
            <w:r>
              <w:rPr>
                <w:rFonts w:hint="default" w:ascii="Times New Roman" w:hAnsi="Times New Roman" w:cs="Times New Roman"/>
                <w:color w:val="auto"/>
                <w:sz w:val="24"/>
                <w:szCs w:val="32"/>
                <w:highlight w:val="none"/>
                <w:lang w:val="en-US" w:eastAsia="zh-CN" w:bidi="ar"/>
              </w:rPr>
              <w:t>-N149.90t/a，2030年纳污能力COD1401.90t/a，NH</w:t>
            </w:r>
            <w:r>
              <w:rPr>
                <w:rFonts w:hint="default" w:ascii="Times New Roman" w:hAnsi="Times New Roman" w:cs="Times New Roman"/>
                <w:color w:val="auto"/>
                <w:sz w:val="24"/>
                <w:szCs w:val="32"/>
                <w:highlight w:val="none"/>
                <w:vertAlign w:val="subscript"/>
                <w:lang w:val="en-US" w:eastAsia="zh-CN" w:bidi="ar"/>
              </w:rPr>
              <w:t>3</w:t>
            </w:r>
            <w:r>
              <w:rPr>
                <w:rFonts w:hint="default" w:ascii="Times New Roman" w:hAnsi="Times New Roman" w:cs="Times New Roman"/>
                <w:color w:val="auto"/>
                <w:sz w:val="24"/>
                <w:szCs w:val="32"/>
                <w:highlight w:val="none"/>
                <w:lang w:val="en-US" w:eastAsia="zh-CN" w:bidi="ar"/>
              </w:rPr>
              <w:t>-N149.90t/a，本项目未超过</w:t>
            </w:r>
            <w:r>
              <w:rPr>
                <w:rFonts w:hint="default" w:ascii="Times New Roman" w:hAnsi="Times New Roman" w:cs="Times New Roman"/>
                <w:color w:val="auto"/>
                <w:sz w:val="24"/>
                <w:szCs w:val="32"/>
                <w:highlight w:val="none"/>
                <w:lang w:bidi="ar"/>
              </w:rPr>
              <w:t>州河宣汉饮用、工业用水区</w:t>
            </w:r>
            <w:r>
              <w:rPr>
                <w:rFonts w:hint="default" w:ascii="Times New Roman" w:hAnsi="Times New Roman" w:cs="Times New Roman"/>
                <w:color w:val="auto"/>
                <w:sz w:val="24"/>
                <w:szCs w:val="32"/>
                <w:highlight w:val="none"/>
                <w:lang w:val="en-US" w:eastAsia="zh-CN" w:bidi="ar"/>
              </w:rPr>
              <w:t>纳污能力。</w:t>
            </w:r>
          </w:p>
          <w:p>
            <w:pPr>
              <w:pageBreakBefore w:val="0"/>
              <w:kinsoku/>
              <w:wordWrap/>
              <w:topLinePunct w:val="0"/>
              <w:bidi w:val="0"/>
              <w:spacing w:line="360" w:lineRule="auto"/>
              <w:ind w:left="0" w:leftChars="0" w:right="0" w:rightChars="0" w:firstLine="482" w:firstLineChars="200"/>
              <w:jc w:val="left"/>
              <w:rPr>
                <w:rFonts w:hint="default" w:ascii="Times New Roman" w:hAnsi="Times New Roman" w:cs="Times New Roman"/>
                <w:b/>
                <w:bCs/>
                <w:color w:val="auto"/>
                <w:sz w:val="24"/>
                <w:szCs w:val="32"/>
                <w:highlight w:val="none"/>
                <w:lang w:bidi="ar"/>
              </w:rPr>
            </w:pPr>
            <w:r>
              <w:rPr>
                <w:rFonts w:hint="default" w:ascii="Times New Roman" w:hAnsi="Times New Roman" w:cs="Times New Roman"/>
                <w:b/>
                <w:bCs/>
                <w:color w:val="auto"/>
                <w:sz w:val="24"/>
                <w:szCs w:val="32"/>
                <w:highlight w:val="none"/>
                <w:lang w:bidi="ar"/>
              </w:rPr>
              <w:t>综上，项目选址从环保角度可行。</w:t>
            </w: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cs="Times New Roman"/>
                <w:color w:val="auto"/>
                <w:highlight w:val="none"/>
                <w:lang w:eastAsia="zh-CN"/>
              </w:rPr>
            </w:pPr>
          </w:p>
          <w:p>
            <w:pPr>
              <w:pageBreakBefore w:val="0"/>
              <w:kinsoku/>
              <w:wordWrap/>
              <w:topLinePunct w:val="0"/>
              <w:bidi w:val="0"/>
              <w:spacing w:line="360" w:lineRule="auto"/>
              <w:ind w:left="0" w:leftChars="0" w:right="0" w:rightChars="0"/>
              <w:rPr>
                <w:rFonts w:hint="eastAsia" w:ascii="Times New Roman" w:hAnsi="Times New Roman" w:eastAsia="宋体" w:cs="Times New Roman"/>
                <w:color w:val="auto"/>
                <w:highlight w:val="none"/>
                <w:lang w:eastAsia="zh-CN"/>
              </w:rPr>
            </w:pPr>
          </w:p>
        </w:tc>
      </w:tr>
    </w:tbl>
    <w:p>
      <w:pPr>
        <w:pStyle w:val="34"/>
        <w:pageBreakBefore w:val="0"/>
        <w:kinsoku/>
        <w:wordWrap/>
        <w:topLinePunct w:val="0"/>
        <w:bidi w:val="0"/>
        <w:ind w:left="0" w:leftChars="0" w:right="0" w:rightChars="0"/>
        <w:jc w:val="center"/>
        <w:rPr>
          <w:rFonts w:eastAsia="黑体"/>
          <w:b w:val="0"/>
          <w:color w:val="auto"/>
          <w:sz w:val="30"/>
          <w:szCs w:val="30"/>
          <w:highlight w:val="none"/>
        </w:rPr>
        <w:sectPr>
          <w:pgSz w:w="11906" w:h="16838"/>
          <w:pgMar w:top="1440" w:right="1134" w:bottom="1440" w:left="1134" w:header="851" w:footer="992" w:gutter="0"/>
          <w:cols w:space="0" w:num="1"/>
          <w:docGrid w:type="lines" w:linePitch="312" w:charSpace="0"/>
        </w:sectPr>
      </w:pPr>
    </w:p>
    <w:p>
      <w:pPr>
        <w:pStyle w:val="34"/>
        <w:pageBreakBefore w:val="0"/>
        <w:kinsoku/>
        <w:wordWrap/>
        <w:topLinePunct w:val="0"/>
        <w:bidi w:val="0"/>
        <w:ind w:left="0" w:leftChars="0" w:right="0" w:rightChars="0"/>
        <w:jc w:val="center"/>
        <w:rPr>
          <w:rFonts w:eastAsia="黑体"/>
          <w:b w:val="0"/>
          <w:color w:val="auto"/>
          <w:sz w:val="30"/>
          <w:szCs w:val="30"/>
          <w:highlight w:val="none"/>
        </w:rPr>
      </w:pPr>
      <w:r>
        <w:rPr>
          <w:rFonts w:eastAsia="黑体"/>
          <w:b w:val="0"/>
          <w:color w:val="auto"/>
          <w:sz w:val="30"/>
          <w:szCs w:val="30"/>
          <w:highlight w:val="none"/>
        </w:rPr>
        <w:t>二、建设项目工程分析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9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dxa"/>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建设内容</w:t>
            </w:r>
          </w:p>
        </w:tc>
        <w:tc>
          <w:tcPr>
            <w:tcW w:w="9385" w:type="dxa"/>
          </w:tcPr>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一、项目由来</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宣汉县南坝镇城市生活污水处理厂位于四川省达州市宣汉县南坝镇龙驹坝。2011年7月，由西南交通大学编制完成了宣汉县自来水公司《宣汉县南坝镇城市生活污水处理工程环境影响报告表》，2011年8月3日，原四川省环境保护厅以川环审批〔2011〕324号对该报告表予以审查批复，批复处理规模为1万</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w:t>
            </w:r>
            <w:r>
              <w:rPr>
                <w:color w:val="auto"/>
                <w:sz w:val="24"/>
                <w:szCs w:val="24"/>
                <w:highlight w:val="none"/>
                <w:lang w:bidi="ar"/>
              </w:rPr>
              <w:t>。2020年1月，</w:t>
            </w:r>
            <w:r>
              <w:rPr>
                <w:color w:val="auto"/>
                <w:sz w:val="24"/>
                <w:szCs w:val="32"/>
                <w:highlight w:val="none"/>
                <w:lang w:bidi="ar"/>
              </w:rPr>
              <w:t>四川汉润水业有限公司</w:t>
            </w:r>
            <w:r>
              <w:rPr>
                <w:color w:val="auto"/>
                <w:sz w:val="24"/>
                <w:szCs w:val="24"/>
                <w:highlight w:val="none"/>
                <w:lang w:bidi="ar"/>
              </w:rPr>
              <w:t>编制完成了《宣汉县南坝镇城市生活污水处理工程（一期）竣工环境保护验收监测报告表》，并项目通过了竣工环保验收。</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随着南坝镇社会经济快速发展，服务范围内的人口增长较快，南坝工业园区的发展建设，区域污水收集系统不断完善，进入南坝镇城市生活污水处理厂的污水也显著增加，现有污水处理能力已不能满足日益增长的污水处理需求，且污水处理厂一期现状的处理工艺只能达到一级B排放标准，不能满足国家要求的一级A排放标准。为解决污水处理能力不足及出水排放标准偏低的问题，消除污水直排对前河的影响，亟需启动南坝镇城市生活污水处理厂提标改造及二期工程。</w:t>
            </w:r>
          </w:p>
          <w:p>
            <w:pPr>
              <w:pageBreakBefore w:val="0"/>
              <w:kinsoku/>
              <w:wordWrap/>
              <w:topLinePunct w:val="0"/>
              <w:bidi w:val="0"/>
              <w:spacing w:line="360" w:lineRule="auto"/>
              <w:ind w:left="0" w:leftChars="0" w:right="0" w:rightChars="0" w:firstLine="480" w:firstLineChars="200"/>
              <w:rPr>
                <w:b/>
                <w:bCs/>
                <w:color w:val="auto"/>
                <w:sz w:val="24"/>
                <w:szCs w:val="32"/>
                <w:highlight w:val="none"/>
                <w:u w:val="single"/>
                <w:lang w:bidi="ar"/>
              </w:rPr>
            </w:pPr>
            <w:r>
              <w:rPr>
                <w:color w:val="auto"/>
                <w:sz w:val="24"/>
                <w:szCs w:val="24"/>
                <w:highlight w:val="none"/>
                <w:lang w:bidi="ar"/>
              </w:rPr>
              <w:t>参考《四川省岷江、沱江流域水污染排放标准》（DB51/2311-2016）中对“城镇污水处理厂”的定义：市、区、县、乡、镇通过城镇污水收集系统收集居民生活污水，机关、学校、医院、商业服务机构及各种公共设施排水（包括允许排入城镇污水收集系统的初期雨水和工业废水），其污水处理设施接纳工业废水比例≤30%且处理规模≥1000m</w:t>
            </w:r>
            <w:r>
              <w:rPr>
                <w:color w:val="auto"/>
                <w:sz w:val="24"/>
                <w:szCs w:val="24"/>
                <w:highlight w:val="none"/>
                <w:vertAlign w:val="superscript"/>
                <w:lang w:bidi="ar"/>
              </w:rPr>
              <w:t>3</w:t>
            </w:r>
            <w:r>
              <w:rPr>
                <w:color w:val="auto"/>
                <w:sz w:val="24"/>
                <w:szCs w:val="24"/>
                <w:highlight w:val="none"/>
                <w:lang w:bidi="ar"/>
              </w:rPr>
              <w:t>/d的污水处理厂。</w:t>
            </w:r>
            <w:r>
              <w:rPr>
                <w:b/>
                <w:bCs/>
                <w:color w:val="auto"/>
                <w:sz w:val="24"/>
                <w:szCs w:val="32"/>
                <w:highlight w:val="none"/>
                <w:u w:val="single"/>
                <w:lang w:bidi="ar"/>
              </w:rPr>
              <w:t>本项目服务范围为南坝镇镇区及工业园区，服务范围内规划接纳工业污水量约0.34万m</w:t>
            </w:r>
            <w:r>
              <w:rPr>
                <w:b/>
                <w:bCs/>
                <w:color w:val="auto"/>
                <w:sz w:val="24"/>
                <w:szCs w:val="32"/>
                <w:highlight w:val="none"/>
                <w:u w:val="single"/>
                <w:vertAlign w:val="superscript"/>
                <w:lang w:bidi="ar"/>
              </w:rPr>
              <w:t>3</w:t>
            </w:r>
            <w:r>
              <w:rPr>
                <w:b/>
                <w:bCs/>
                <w:color w:val="auto"/>
                <w:sz w:val="24"/>
                <w:szCs w:val="32"/>
                <w:highlight w:val="none"/>
                <w:u w:val="single"/>
                <w:lang w:bidi="ar"/>
              </w:rPr>
              <w:t>/d，占南坝镇城市生活污水处理厂扩能后的17%。因此，本项目属于城镇污水处理厂。</w:t>
            </w:r>
          </w:p>
          <w:p>
            <w:pPr>
              <w:pageBreakBefore w:val="0"/>
              <w:kinsoku/>
              <w:wordWrap/>
              <w:topLinePunct w:val="0"/>
              <w:bidi w:val="0"/>
              <w:spacing w:line="360" w:lineRule="auto"/>
              <w:ind w:left="0" w:leftChars="0" w:right="0" w:rightChars="0" w:firstLine="480" w:firstLineChars="200"/>
              <w:rPr>
                <w:b/>
                <w:bCs/>
                <w:color w:val="auto"/>
                <w:sz w:val="24"/>
                <w:szCs w:val="32"/>
                <w:highlight w:val="none"/>
                <w:lang w:bidi="ar"/>
              </w:rPr>
            </w:pPr>
            <w:r>
              <w:rPr>
                <w:color w:val="auto"/>
                <w:sz w:val="24"/>
                <w:szCs w:val="32"/>
                <w:highlight w:val="none"/>
                <w:lang w:bidi="ar"/>
              </w:rPr>
              <w:t>本次对一期工程原有污水处理工艺进行提标改造，保持原有设计处理规模1万m</w:t>
            </w:r>
            <w:r>
              <w:rPr>
                <w:color w:val="auto"/>
                <w:sz w:val="24"/>
                <w:szCs w:val="32"/>
                <w:highlight w:val="none"/>
                <w:vertAlign w:val="superscript"/>
                <w:lang w:bidi="ar"/>
              </w:rPr>
              <w:t>3</w:t>
            </w:r>
            <w:r>
              <w:rPr>
                <w:color w:val="auto"/>
                <w:sz w:val="24"/>
                <w:szCs w:val="32"/>
                <w:highlight w:val="none"/>
                <w:lang w:bidi="ar"/>
              </w:rPr>
              <w:t>/d；扩建二期工程，设计处理规模为1万m</w:t>
            </w:r>
            <w:r>
              <w:rPr>
                <w:color w:val="auto"/>
                <w:sz w:val="24"/>
                <w:szCs w:val="32"/>
                <w:highlight w:val="none"/>
                <w:vertAlign w:val="superscript"/>
                <w:lang w:bidi="ar"/>
              </w:rPr>
              <w:t>3</w:t>
            </w:r>
            <w:r>
              <w:rPr>
                <w:color w:val="auto"/>
                <w:sz w:val="24"/>
                <w:szCs w:val="32"/>
                <w:highlight w:val="none"/>
                <w:lang w:bidi="ar"/>
              </w:rPr>
              <w:t>/d。项目改扩建后，污水厂总设计处理规模为2万m</w:t>
            </w:r>
            <w:r>
              <w:rPr>
                <w:color w:val="auto"/>
                <w:sz w:val="24"/>
                <w:szCs w:val="32"/>
                <w:highlight w:val="none"/>
                <w:vertAlign w:val="superscript"/>
                <w:lang w:bidi="ar"/>
              </w:rPr>
              <w:t>3</w:t>
            </w:r>
            <w:r>
              <w:rPr>
                <w:color w:val="auto"/>
                <w:sz w:val="24"/>
                <w:szCs w:val="32"/>
                <w:highlight w:val="none"/>
                <w:lang w:bidi="ar"/>
              </w:rPr>
              <w:t>/d，一期污水厂主要工艺为“厌氧池+氧化沟+二沉池+絮凝池+转鼓滤池”，二期污水厂主要工艺为“MBBR+二沉池+絮凝池+转鼓滤池”，污废水经处理后出水达到《城镇污水处理厂污染物排放标准》（GB18918-2002）一级排放标准A标准后排入前河。</w:t>
            </w:r>
            <w:r>
              <w:rPr>
                <w:b/>
                <w:bCs/>
                <w:color w:val="auto"/>
                <w:sz w:val="24"/>
                <w:szCs w:val="32"/>
                <w:highlight w:val="none"/>
                <w:u w:val="single"/>
                <w:lang w:bidi="ar"/>
              </w:rPr>
              <w:t>本次评价内容不包含厂外污水收集管网。</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二、建设项目概况</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1、建设内容</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项目名称：</w:t>
            </w:r>
            <w:r>
              <w:rPr>
                <w:color w:val="auto"/>
                <w:sz w:val="24"/>
                <w:szCs w:val="24"/>
                <w:highlight w:val="none"/>
                <w:lang w:bidi="ar"/>
              </w:rPr>
              <w:t>宣汉县南坝镇城市生活污水处理厂提标改造及二期工程</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建设性质：</w:t>
            </w:r>
            <w:r>
              <w:rPr>
                <w:color w:val="auto"/>
                <w:sz w:val="24"/>
                <w:szCs w:val="24"/>
                <w:highlight w:val="none"/>
                <w:lang w:bidi="ar"/>
              </w:rPr>
              <w:t>改扩建</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建设地点：</w:t>
            </w:r>
            <w:r>
              <w:rPr>
                <w:color w:val="auto"/>
                <w:sz w:val="24"/>
                <w:szCs w:val="24"/>
                <w:highlight w:val="none"/>
                <w:lang w:bidi="ar"/>
              </w:rPr>
              <w:t>四川省达州市宣汉县南坝镇龙驹坝</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建设单位：</w:t>
            </w:r>
            <w:r>
              <w:rPr>
                <w:color w:val="auto"/>
                <w:sz w:val="24"/>
                <w:szCs w:val="32"/>
                <w:highlight w:val="none"/>
                <w:lang w:bidi="ar"/>
              </w:rPr>
              <w:t>四川汉润水务集团有限公司（曾用名宣汉县自来水公司、四川汉润水业有限公司）</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项目投资：</w:t>
            </w:r>
            <w:r>
              <w:rPr>
                <w:color w:val="auto"/>
                <w:sz w:val="24"/>
                <w:szCs w:val="24"/>
                <w:highlight w:val="none"/>
                <w:lang w:bidi="ar"/>
              </w:rPr>
              <w:t>7402.21万元</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项目建设规模及主要内容：</w:t>
            </w:r>
            <w:r>
              <w:rPr>
                <w:color w:val="auto"/>
                <w:sz w:val="24"/>
                <w:szCs w:val="24"/>
                <w:highlight w:val="none"/>
                <w:lang w:bidi="ar"/>
              </w:rPr>
              <w:t>对原一期（规模为10000</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w:t>
            </w:r>
            <w:r>
              <w:rPr>
                <w:color w:val="auto"/>
                <w:sz w:val="24"/>
                <w:szCs w:val="24"/>
                <w:highlight w:val="none"/>
                <w:lang w:bidi="ar"/>
              </w:rPr>
              <w:t>）工程进行提标改造，扩建二期规模为10000</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/d，建成后总处理规模为20000m</w:t>
            </w:r>
            <w:r>
              <w:rPr>
                <w:color w:val="auto"/>
                <w:sz w:val="24"/>
                <w:szCs w:val="32"/>
                <w:highlight w:val="none"/>
                <w:vertAlign w:val="superscript"/>
                <w:lang w:bidi="ar"/>
              </w:rPr>
              <w:t>3</w:t>
            </w:r>
            <w:r>
              <w:rPr>
                <w:color w:val="auto"/>
                <w:sz w:val="24"/>
                <w:szCs w:val="32"/>
                <w:highlight w:val="none"/>
                <w:lang w:bidi="ar"/>
              </w:rPr>
              <w:t>/d，出水排放标准达到《城镇污水处理厂污染物排放标准》（GB18918-2002）一级A标。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本工程污水处理厂运行过程采取三班制连续运行，每班工作时间8h；其他岗位日工作班次为1班，工作时间为8h，年工作制365天。厂区内设食堂，不设宿舍。</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2、扩建前后变化情况</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本项目在现有厂区东侧预留二期空地新建一座处理能力为1.0万m</w:t>
            </w:r>
            <w:r>
              <w:rPr>
                <w:color w:val="auto"/>
                <w:sz w:val="24"/>
                <w:szCs w:val="24"/>
                <w:highlight w:val="none"/>
                <w:vertAlign w:val="superscript"/>
                <w:lang w:bidi="ar"/>
              </w:rPr>
              <w:t>3</w:t>
            </w:r>
            <w:r>
              <w:rPr>
                <w:color w:val="auto"/>
                <w:sz w:val="24"/>
                <w:szCs w:val="24"/>
                <w:highlight w:val="none"/>
                <w:lang w:bidi="ar"/>
              </w:rPr>
              <w:t>/d的生活污水处理厂，同时对原有工程部分构建筑进行改建，项目扩建前后全厂变化情况表2-1。</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lang w:bidi="ar"/>
              </w:rPr>
              <w:t>表2-1</w:t>
            </w:r>
            <w:r>
              <w:rPr>
                <w:rFonts w:hint="eastAsia" w:eastAsia="黑体"/>
                <w:color w:val="auto"/>
                <w:highlight w:val="none"/>
                <w:lang w:bidi="ar"/>
              </w:rPr>
              <w:t xml:space="preserve"> </w:t>
            </w:r>
            <w:r>
              <w:rPr>
                <w:rFonts w:eastAsia="黑体"/>
                <w:color w:val="auto"/>
                <w:highlight w:val="none"/>
                <w:lang w:bidi="ar"/>
              </w:rPr>
              <w:t>项目扩建前后工程变化情况一览表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2539"/>
              <w:gridCol w:w="2355"/>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类别</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现有工程</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本项目</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扩建后（全厂）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环评情况</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川环审批〔2011〕324号</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验收情况</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2020年1月完成自主验收</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服务范围</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南坝镇镇区</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南坝镇镇区及工业园区</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南坝镇镇区及工业园区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处理能力</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1.0万m</w:t>
                  </w:r>
                  <w:r>
                    <w:rPr>
                      <w:color w:val="auto"/>
                      <w:highlight w:val="none"/>
                      <w:vertAlign w:val="superscript"/>
                      <w:lang w:bidi="ar"/>
                    </w:rPr>
                    <w:t>3</w:t>
                  </w:r>
                  <w:r>
                    <w:rPr>
                      <w:color w:val="auto"/>
                      <w:highlight w:val="none"/>
                      <w:lang w:bidi="ar"/>
                    </w:rPr>
                    <w:t>/d</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1.0万m</w:t>
                  </w:r>
                  <w:r>
                    <w:rPr>
                      <w:color w:val="auto"/>
                      <w:highlight w:val="none"/>
                      <w:vertAlign w:val="superscript"/>
                      <w:lang w:bidi="ar"/>
                    </w:rPr>
                    <w:t>3</w:t>
                  </w:r>
                  <w:r>
                    <w:rPr>
                      <w:color w:val="auto"/>
                      <w:highlight w:val="none"/>
                      <w:lang w:bidi="ar"/>
                    </w:rPr>
                    <w:t>/d</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进水水质</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生活污水</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生活污水、工业污水</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生活污水、工业污水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污水收集方式</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污水管网</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污水管网</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处理工艺</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
                    </w:rPr>
                  </w:pPr>
                  <w:r>
                    <w:rPr>
                      <w:color w:val="auto"/>
                      <w:highlight w:val="none"/>
                      <w:lang w:bidi="ar"/>
                    </w:rPr>
                    <w:t>厌氧池+氧化沟+二沉池</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
                    </w:rPr>
                  </w:pPr>
                  <w:r>
                    <w:rPr>
                      <w:color w:val="auto"/>
                      <w:highlight w:val="none"/>
                      <w:lang w:bidi="ar"/>
                    </w:rPr>
                    <w:t>MBBR+二沉池+絮凝池+转鼓滤池</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一期：厌氧池+氧化沟+二沉池+絮凝池+转鼓滤池；</w:t>
                  </w:r>
                </w:p>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
                    </w:rPr>
                  </w:pPr>
                  <w:r>
                    <w:rPr>
                      <w:color w:val="auto"/>
                      <w:highlight w:val="none"/>
                      <w:lang w:bidi="ar"/>
                    </w:rPr>
                    <w:t>二期：MBBR+二沉池+絮凝池+转鼓滤池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排放去向</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
                    </w:rPr>
                  </w:pPr>
                  <w:r>
                    <w:rPr>
                      <w:color w:val="auto"/>
                      <w:highlight w:val="none"/>
                      <w:lang w:bidi="ar"/>
                    </w:rPr>
                    <w:t>由原排污口排入前河</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
                    </w:rPr>
                  </w:pPr>
                  <w:r>
                    <w:rPr>
                      <w:color w:val="auto"/>
                      <w:highlight w:val="none"/>
                      <w:lang w:bidi="ar"/>
                    </w:rPr>
                    <w:t>依托原有排污口进行扩建</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
                    </w:rPr>
                  </w:pPr>
                  <w:r>
                    <w:rPr>
                      <w:color w:val="auto"/>
                      <w:highlight w:val="none"/>
                      <w:lang w:bidi="ar"/>
                    </w:rPr>
                    <w:t>在原有排污口基础上升级，建成后规模为2万m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排放标准</w:t>
                  </w:r>
                </w:p>
              </w:tc>
              <w:tc>
                <w:tcPr>
                  <w:tcW w:w="13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《城镇污水处理厂污染物排放标准》（GB18918-2002）一级B标</w:t>
                  </w:r>
                </w:p>
              </w:tc>
              <w:tc>
                <w:tcPr>
                  <w:tcW w:w="128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《城镇污水处理厂污染物排放标准》（GB18918-2002）一级A标</w:t>
                  </w:r>
                </w:p>
              </w:tc>
              <w:tc>
                <w:tcPr>
                  <w:tcW w:w="160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《城镇污水处理厂污染物排放标准》（GB18918-2002）一级A标</w:t>
                  </w:r>
                </w:p>
              </w:tc>
            </w:tr>
          </w:tbl>
          <w:p>
            <w:pPr>
              <w:pStyle w:val="34"/>
              <w:pageBreakBefore w:val="0"/>
              <w:kinsoku/>
              <w:wordWrap/>
              <w:topLinePunct w:val="0"/>
              <w:bidi w:val="0"/>
              <w:ind w:left="0" w:leftChars="0" w:right="0" w:rightChars="0"/>
              <w:jc w:val="center"/>
              <w:outlineLvl w:val="9"/>
              <w:rPr>
                <w:rFonts w:eastAsia="黑体"/>
                <w:b w:val="0"/>
                <w:color w:val="auto"/>
                <w:sz w:val="30"/>
                <w:szCs w:val="30"/>
                <w:highlight w:val="none"/>
              </w:rPr>
            </w:pPr>
          </w:p>
        </w:tc>
      </w:tr>
    </w:tbl>
    <w:p>
      <w:pPr>
        <w:pStyle w:val="34"/>
        <w:pageBreakBefore w:val="0"/>
        <w:kinsoku/>
        <w:wordWrap/>
        <w:topLinePunct w:val="0"/>
        <w:bidi w:val="0"/>
        <w:ind w:left="0" w:leftChars="0" w:right="0" w:rightChars="0"/>
        <w:jc w:val="center"/>
        <w:outlineLvl w:val="9"/>
        <w:rPr>
          <w:rFonts w:eastAsia="黑体"/>
          <w:b w:val="0"/>
          <w:color w:val="auto"/>
          <w:sz w:val="30"/>
          <w:szCs w:val="30"/>
          <w:highlight w:val="none"/>
        </w:rPr>
        <w:sectPr>
          <w:pgSz w:w="11906" w:h="16838"/>
          <w:pgMar w:top="1440" w:right="1134" w:bottom="1440" w:left="1134" w:header="851" w:footer="992" w:gutter="0"/>
          <w:cols w:space="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建设内容</w:t>
            </w:r>
          </w:p>
        </w:tc>
        <w:tc>
          <w:tcPr>
            <w:tcW w:w="13661" w:type="dxa"/>
          </w:tcPr>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三、建设项目组成及主要环境问题</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1、项目组成表</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本项目组成及主要环境问题见表2-2。</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表2-2</w:t>
            </w:r>
            <w:r>
              <w:rPr>
                <w:rFonts w:hint="eastAsia" w:eastAsia="黑体"/>
                <w:color w:val="auto"/>
                <w:highlight w:val="none"/>
              </w:rPr>
              <w:t xml:space="preserve"> </w:t>
            </w:r>
            <w:r>
              <w:rPr>
                <w:rFonts w:eastAsia="黑体"/>
                <w:color w:val="auto"/>
                <w:highlight w:val="none"/>
              </w:rPr>
              <w:t>项目组成及主要环境问题</w:t>
            </w:r>
          </w:p>
          <w:tbl>
            <w:tblPr>
              <w:tblStyle w:val="24"/>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735"/>
              <w:gridCol w:w="8227"/>
              <w:gridCol w:w="1178"/>
              <w:gridCol w:w="1368"/>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工程类别</w:t>
                  </w:r>
                </w:p>
              </w:tc>
              <w:tc>
                <w:tcPr>
                  <w:tcW w:w="3354" w:type="pct"/>
                  <w:gridSpan w:val="2"/>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建设内容及规模</w:t>
                  </w:r>
                </w:p>
              </w:tc>
              <w:tc>
                <w:tcPr>
                  <w:tcW w:w="952" w:type="pct"/>
                  <w:gridSpan w:val="2"/>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可能产生的环境问题</w:t>
                  </w:r>
                </w:p>
              </w:tc>
              <w:tc>
                <w:tcPr>
                  <w:tcW w:w="41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440"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施工期</w:t>
                  </w: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营运期</w:t>
                  </w:r>
                </w:p>
              </w:tc>
              <w:tc>
                <w:tcPr>
                  <w:tcW w:w="41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主体工程</w:t>
                  </w:r>
                </w:p>
              </w:tc>
              <w:tc>
                <w:tcPr>
                  <w:tcW w:w="27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预处理</w:t>
                  </w: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粗格栅及提升泵房（合建）：</w:t>
                  </w:r>
                  <w:r>
                    <w:rPr>
                      <w:color w:val="auto"/>
                      <w:sz w:val="21"/>
                      <w:highlight w:val="none"/>
                    </w:rPr>
                    <w:t>1座，钢筋砼结构，土建利用现状2万m</w:t>
                  </w:r>
                  <w:r>
                    <w:rPr>
                      <w:color w:val="auto"/>
                      <w:sz w:val="21"/>
                      <w:highlight w:val="none"/>
                      <w:vertAlign w:val="superscript"/>
                    </w:rPr>
                    <w:t>3</w:t>
                  </w:r>
                  <w:r>
                    <w:rPr>
                      <w:color w:val="auto"/>
                      <w:sz w:val="21"/>
                      <w:highlight w:val="none"/>
                    </w:rPr>
                    <w:t>/d规模建设，设备按1万m</w:t>
                  </w:r>
                  <w:r>
                    <w:rPr>
                      <w:color w:val="auto"/>
                      <w:sz w:val="21"/>
                      <w:highlight w:val="none"/>
                      <w:vertAlign w:val="superscript"/>
                    </w:rPr>
                    <w:t>3</w:t>
                  </w:r>
                  <w:r>
                    <w:rPr>
                      <w:color w:val="auto"/>
                      <w:sz w:val="21"/>
                      <w:highlight w:val="none"/>
                    </w:rPr>
                    <w:t>/d进行安装，L×B×H=9.9×4.5×7.1/5.6×9.4×8.5m</w:t>
                  </w:r>
                </w:p>
              </w:tc>
              <w:tc>
                <w:tcPr>
                  <w:tcW w:w="440"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施工噪声</w:t>
                  </w: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恶臭、噪声、栅渣</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改建</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依托土建</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细格栅及旋流沉砂池（合建）：</w:t>
                  </w:r>
                  <w:r>
                    <w:rPr>
                      <w:color w:val="auto"/>
                      <w:sz w:val="21"/>
                      <w:highlight w:val="none"/>
                    </w:rPr>
                    <w:t>1座，钢筋砼结构，土建利用现状2万m</w:t>
                  </w:r>
                  <w:r>
                    <w:rPr>
                      <w:color w:val="auto"/>
                      <w:sz w:val="21"/>
                      <w:highlight w:val="none"/>
                      <w:vertAlign w:val="superscript"/>
                    </w:rPr>
                    <w:t>3</w:t>
                  </w:r>
                  <w:r>
                    <w:rPr>
                      <w:color w:val="auto"/>
                      <w:sz w:val="21"/>
                      <w:highlight w:val="none"/>
                    </w:rPr>
                    <w:t>/d规模建设，设备按1万m</w:t>
                  </w:r>
                  <w:r>
                    <w:rPr>
                      <w:color w:val="auto"/>
                      <w:sz w:val="21"/>
                      <w:highlight w:val="none"/>
                      <w:vertAlign w:val="superscript"/>
                    </w:rPr>
                    <w:t>3</w:t>
                  </w:r>
                  <w:r>
                    <w:rPr>
                      <w:color w:val="auto"/>
                      <w:sz w:val="21"/>
                      <w:highlight w:val="none"/>
                    </w:rPr>
                    <w:t>/d进行安装，L×B×H=16.0×2.9×1.8m，∅2130</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恶臭、噪声、沉砂</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改建</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依托土建</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生化处理</w:t>
                  </w: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一期厌氧池：</w:t>
                  </w:r>
                  <w:r>
                    <w:rPr>
                      <w:color w:val="auto"/>
                      <w:sz w:val="21"/>
                      <w:highlight w:val="none"/>
                    </w:rPr>
                    <w:t>2座，钢筋砼结构，土建按1万m</w:t>
                  </w:r>
                  <w:r>
                    <w:rPr>
                      <w:color w:val="auto"/>
                      <w:sz w:val="21"/>
                      <w:highlight w:val="none"/>
                      <w:vertAlign w:val="superscript"/>
                    </w:rPr>
                    <w:t>3</w:t>
                  </w:r>
                  <w:r>
                    <w:rPr>
                      <w:color w:val="auto"/>
                      <w:sz w:val="21"/>
                      <w:highlight w:val="none"/>
                    </w:rPr>
                    <w:t>/d规模建设，L×B×H=12.0×10.0×6.0m</w:t>
                  </w:r>
                </w:p>
              </w:tc>
              <w:tc>
                <w:tcPr>
                  <w:tcW w:w="440"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恶臭</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一期氧化沟：</w:t>
                  </w:r>
                  <w:r>
                    <w:rPr>
                      <w:color w:val="auto"/>
                      <w:sz w:val="21"/>
                      <w:highlight w:val="none"/>
                    </w:rPr>
                    <w:t>2座，钢筋砼结构，土建按1万m</w:t>
                  </w:r>
                  <w:r>
                    <w:rPr>
                      <w:color w:val="auto"/>
                      <w:sz w:val="21"/>
                      <w:highlight w:val="none"/>
                      <w:vertAlign w:val="superscript"/>
                    </w:rPr>
                    <w:t>3</w:t>
                  </w:r>
                  <w:r>
                    <w:rPr>
                      <w:color w:val="auto"/>
                      <w:sz w:val="21"/>
                      <w:highlight w:val="none"/>
                    </w:rPr>
                    <w:t>/d规模建设，分缺氧区和好氧区，L×B×H=51.8×25.0×4.5m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恶臭、噪声、污泥</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一期二沉池：</w:t>
                  </w:r>
                  <w:r>
                    <w:rPr>
                      <w:color w:val="auto"/>
                      <w:sz w:val="21"/>
                      <w:highlight w:val="none"/>
                    </w:rPr>
                    <w:t>2座，钢筋砼结构，土建设计规模为1万m</w:t>
                  </w:r>
                  <w:r>
                    <w:rPr>
                      <w:color w:val="auto"/>
                      <w:sz w:val="21"/>
                      <w:highlight w:val="none"/>
                      <w:vertAlign w:val="superscript"/>
                    </w:rPr>
                    <w:t>3</w:t>
                  </w:r>
                  <w:r>
                    <w:rPr>
                      <w:color w:val="auto"/>
                      <w:sz w:val="21"/>
                      <w:highlight w:val="none"/>
                    </w:rPr>
                    <w:t>/d规模建设，∅29m，H=5.5m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一期回流污泥泵井：</w:t>
                  </w:r>
                  <w:r>
                    <w:rPr>
                      <w:color w:val="auto"/>
                      <w:sz w:val="21"/>
                      <w:highlight w:val="none"/>
                    </w:rPr>
                    <w:t>1座，钢筋砼结构，L×B×H=6.5×5.5×5.1m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二期MBBR生化池：</w:t>
                  </w:r>
                  <w:r>
                    <w:rPr>
                      <w:color w:val="auto"/>
                      <w:sz w:val="21"/>
                      <w:highlight w:val="none"/>
                    </w:rPr>
                    <w:t>2座，钢筋砼结构，土建及设备均按照1万m</w:t>
                  </w:r>
                  <w:r>
                    <w:rPr>
                      <w:color w:val="auto"/>
                      <w:sz w:val="21"/>
                      <w:highlight w:val="none"/>
                      <w:vertAlign w:val="superscript"/>
                    </w:rPr>
                    <w:t>3</w:t>
                  </w:r>
                  <w:r>
                    <w:rPr>
                      <w:color w:val="auto"/>
                      <w:sz w:val="21"/>
                      <w:highlight w:val="none"/>
                    </w:rPr>
                    <w:t>/d进行建设，L×B×H=32.0×28.1×7.0m</w:t>
                  </w:r>
                </w:p>
              </w:tc>
              <w:tc>
                <w:tcPr>
                  <w:tcW w:w="440"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施工扬尘、</w:t>
                  </w:r>
                </w:p>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施工废水、</w:t>
                  </w:r>
                </w:p>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施工噪声、</w:t>
                  </w:r>
                </w:p>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施工弃渣</w:t>
                  </w: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二期二沉池：</w:t>
                  </w:r>
                  <w:r>
                    <w:rPr>
                      <w:color w:val="auto"/>
                      <w:sz w:val="21"/>
                      <w:highlight w:val="none"/>
                    </w:rPr>
                    <w:t>2座，钢筋砼结构，土建设计规模为1万m</w:t>
                  </w:r>
                  <w:r>
                    <w:rPr>
                      <w:color w:val="auto"/>
                      <w:sz w:val="21"/>
                      <w:highlight w:val="none"/>
                      <w:vertAlign w:val="superscript"/>
                    </w:rPr>
                    <w:t>3</w:t>
                  </w:r>
                  <w:r>
                    <w:rPr>
                      <w:color w:val="auto"/>
                      <w:sz w:val="21"/>
                      <w:highlight w:val="none"/>
                    </w:rPr>
                    <w:t>/d规模建设，∅23m，H=5.0m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二期污泥泵井：</w:t>
                  </w:r>
                  <w:r>
                    <w:rPr>
                      <w:color w:val="auto"/>
                      <w:sz w:val="21"/>
                      <w:highlight w:val="none"/>
                    </w:rPr>
                    <w:t>1座，钢筋砼结构，∅7m，H=5.05m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深度处理</w:t>
                  </w: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絮凝池：</w:t>
                  </w:r>
                  <w:r>
                    <w:rPr>
                      <w:color w:val="auto"/>
                      <w:sz w:val="21"/>
                      <w:highlight w:val="none"/>
                    </w:rPr>
                    <w:t>1座，钢筋砼结构，土建和设备均按照2万m</w:t>
                  </w:r>
                  <w:r>
                    <w:rPr>
                      <w:color w:val="auto"/>
                      <w:sz w:val="21"/>
                      <w:highlight w:val="none"/>
                      <w:vertAlign w:val="superscript"/>
                    </w:rPr>
                    <w:t>3</w:t>
                  </w:r>
                  <w:r>
                    <w:rPr>
                      <w:color w:val="auto"/>
                      <w:sz w:val="21"/>
                      <w:highlight w:val="none"/>
                    </w:rPr>
                    <w:t>/d进行建设，L×B×H=14.7×11.8×6.0m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恶臭、噪声、污泥</w:t>
                  </w:r>
                </w:p>
              </w:tc>
              <w:tc>
                <w:tcPr>
                  <w:tcW w:w="41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新建，絮凝池与转鼓滤池间合建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转鼓滤池间：</w:t>
                  </w:r>
                  <w:r>
                    <w:rPr>
                      <w:color w:val="auto"/>
                      <w:sz w:val="21"/>
                      <w:highlight w:val="none"/>
                    </w:rPr>
                    <w:t>1座，钢筋砼结构，土建和设备均按照2万m</w:t>
                  </w:r>
                  <w:r>
                    <w:rPr>
                      <w:color w:val="auto"/>
                      <w:sz w:val="21"/>
                      <w:highlight w:val="none"/>
                      <w:vertAlign w:val="superscript"/>
                    </w:rPr>
                    <w:t>3</w:t>
                  </w:r>
                  <w:r>
                    <w:rPr>
                      <w:color w:val="auto"/>
                      <w:sz w:val="21"/>
                      <w:highlight w:val="none"/>
                    </w:rPr>
                    <w:t>/d进行建设，L×B×H=10.2×11.05×3.45m，地上建筑7.5m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恶臭、噪声、污泥</w:t>
                  </w:r>
                </w:p>
              </w:tc>
              <w:tc>
                <w:tcPr>
                  <w:tcW w:w="41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消毒</w:t>
                  </w: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一期紫外线消毒渠：</w:t>
                  </w:r>
                  <w:r>
                    <w:rPr>
                      <w:color w:val="auto"/>
                      <w:sz w:val="21"/>
                      <w:highlight w:val="none"/>
                    </w:rPr>
                    <w:t>1座，钢筋砼结构，L×B×H=14.15×3.0×（2.9-1.75）m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紫外线消毒渠：</w:t>
                  </w:r>
                  <w:r>
                    <w:rPr>
                      <w:color w:val="auto"/>
                      <w:sz w:val="21"/>
                      <w:highlight w:val="none"/>
                    </w:rPr>
                    <w:t>1座，钢筋砼结构，土建和设备均按照2万m</w:t>
                  </w:r>
                  <w:r>
                    <w:rPr>
                      <w:color w:val="auto"/>
                      <w:sz w:val="21"/>
                      <w:highlight w:val="none"/>
                      <w:vertAlign w:val="superscript"/>
                    </w:rPr>
                    <w:t>3</w:t>
                  </w:r>
                  <w:r>
                    <w:rPr>
                      <w:color w:val="auto"/>
                      <w:sz w:val="21"/>
                      <w:highlight w:val="none"/>
                    </w:rPr>
                    <w:t>/d进行建设，L×B×H=12.35×3.4×1.56m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rFonts w:hint="eastAsia" w:eastAsia="宋体"/>
                      <w:b/>
                      <w:bCs/>
                      <w:color w:val="auto"/>
                      <w:sz w:val="21"/>
                      <w:highlight w:val="none"/>
                      <w:lang w:val="en-US" w:eastAsia="zh-CN"/>
                    </w:rPr>
                  </w:pPr>
                  <w:r>
                    <w:rPr>
                      <w:color w:val="auto"/>
                      <w:sz w:val="21"/>
                      <w:highlight w:val="none"/>
                    </w:rPr>
                    <w:t>恶臭</w:t>
                  </w:r>
                  <w:r>
                    <w:rPr>
                      <w:rFonts w:hint="eastAsia"/>
                      <w:color w:val="auto"/>
                      <w:sz w:val="21"/>
                      <w:highlight w:val="none"/>
                      <w:lang w:val="en-US" w:eastAsia="zh-CN"/>
                    </w:rPr>
                    <w:t>、废紫外灯管</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污泥处理</w:t>
                  </w: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一期脱泥机房</w:t>
                  </w:r>
                  <w:r>
                    <w:rPr>
                      <w:b/>
                      <w:bCs/>
                      <w:color w:val="auto"/>
                      <w:sz w:val="21"/>
                      <w:highlight w:val="none"/>
                      <w:lang w:bidi="ar"/>
                    </w:rPr>
                    <w:t>及加药间</w:t>
                  </w:r>
                  <w:r>
                    <w:rPr>
                      <w:b/>
                      <w:bCs/>
                      <w:color w:val="auto"/>
                      <w:sz w:val="21"/>
                      <w:highlight w:val="none"/>
                    </w:rPr>
                    <w:t>：</w:t>
                  </w:r>
                  <w:r>
                    <w:rPr>
                      <w:color w:val="auto"/>
                      <w:sz w:val="21"/>
                      <w:highlight w:val="none"/>
                    </w:rPr>
                    <w:t>1栋，框架结构，L×B×H=24.0×9.0×（6.6-3.9）m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恶臭、脱水滤液、噪声、泥饼</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widowControl/>
                    <w:kinsoku/>
                    <w:wordWrap/>
                    <w:topLinePunct w:val="0"/>
                    <w:bidi w:val="0"/>
                    <w:ind w:left="0" w:leftChars="0" w:right="0" w:rightChars="0"/>
                    <w:jc w:val="left"/>
                    <w:textAlignment w:val="center"/>
                    <w:rPr>
                      <w:color w:val="auto"/>
                      <w:highlight w:val="none"/>
                    </w:rPr>
                  </w:pPr>
                  <w:r>
                    <w:rPr>
                      <w:b/>
                      <w:bCs/>
                      <w:color w:val="auto"/>
                      <w:kern w:val="0"/>
                      <w:highlight w:val="none"/>
                      <w:lang w:bidi="ar"/>
                    </w:rPr>
                    <w:t>一期贮泥池：</w:t>
                  </w:r>
                  <w:r>
                    <w:rPr>
                      <w:color w:val="auto"/>
                      <w:highlight w:val="none"/>
                    </w:rPr>
                    <w:t>1座，钢筋砼结构，L×B×H=8.25×4.0×5.1m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lang w:bidi="ar"/>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lang w:bidi="ar"/>
                    </w:rPr>
                  </w:pPr>
                  <w:r>
                    <w:rPr>
                      <w:b/>
                      <w:bCs/>
                      <w:color w:val="auto"/>
                      <w:sz w:val="21"/>
                      <w:highlight w:val="none"/>
                      <w:lang w:bidi="ar"/>
                    </w:rPr>
                    <w:t>脱泥机房及加药间：</w:t>
                  </w:r>
                  <w:r>
                    <w:rPr>
                      <w:color w:val="auto"/>
                      <w:sz w:val="21"/>
                      <w:highlight w:val="none"/>
                    </w:rPr>
                    <w:t>1栋，框架结构，按照2万m</w:t>
                  </w:r>
                  <w:r>
                    <w:rPr>
                      <w:color w:val="auto"/>
                      <w:sz w:val="21"/>
                      <w:highlight w:val="none"/>
                      <w:vertAlign w:val="superscript"/>
                    </w:rPr>
                    <w:t>3</w:t>
                  </w:r>
                  <w:r>
                    <w:rPr>
                      <w:color w:val="auto"/>
                      <w:sz w:val="21"/>
                      <w:highlight w:val="none"/>
                    </w:rPr>
                    <w:t>/d进行建设，L×B×H=</w:t>
                  </w:r>
                  <w:r>
                    <w:rPr>
                      <w:color w:val="auto"/>
                      <w:sz w:val="21"/>
                      <w:highlight w:val="none"/>
                      <w:lang w:bidi="ar"/>
                    </w:rPr>
                    <w:t>35.0×15.0</w:t>
                  </w:r>
                </w:p>
                <w:p>
                  <w:pPr>
                    <w:pStyle w:val="22"/>
                    <w:pageBreakBefore w:val="0"/>
                    <w:kinsoku/>
                    <w:wordWrap/>
                    <w:topLinePunct w:val="0"/>
                    <w:bidi w:val="0"/>
                    <w:spacing w:after="0"/>
                    <w:ind w:left="0" w:leftChars="0" w:right="0" w:rightChars="0" w:firstLine="0"/>
                    <w:rPr>
                      <w:b/>
                      <w:bCs/>
                      <w:color w:val="auto"/>
                      <w:sz w:val="21"/>
                      <w:highlight w:val="none"/>
                    </w:rPr>
                  </w:pPr>
                  <w:r>
                    <w:rPr>
                      <w:color w:val="auto"/>
                      <w:sz w:val="21"/>
                      <w:highlight w:val="none"/>
                      <w:lang w:bidi="ar"/>
                    </w:rPr>
                    <w:t>×9.0m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恶臭、脱水滤液、噪声、泥饼</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078" w:type="pct"/>
                  <w:vAlign w:val="center"/>
                </w:tcPr>
                <w:p>
                  <w:pPr>
                    <w:pageBreakBefore w:val="0"/>
                    <w:widowControl/>
                    <w:kinsoku/>
                    <w:wordWrap/>
                    <w:topLinePunct w:val="0"/>
                    <w:bidi w:val="0"/>
                    <w:ind w:left="0" w:leftChars="0" w:right="0" w:rightChars="0"/>
                    <w:jc w:val="left"/>
                    <w:textAlignment w:val="center"/>
                    <w:rPr>
                      <w:color w:val="auto"/>
                      <w:highlight w:val="none"/>
                    </w:rPr>
                  </w:pPr>
                  <w:r>
                    <w:rPr>
                      <w:b/>
                      <w:bCs/>
                      <w:color w:val="auto"/>
                      <w:kern w:val="0"/>
                      <w:highlight w:val="none"/>
                      <w:lang w:bidi="ar"/>
                    </w:rPr>
                    <w:t>贮泥池：</w:t>
                  </w:r>
                  <w:r>
                    <w:rPr>
                      <w:color w:val="auto"/>
                      <w:highlight w:val="none"/>
                    </w:rPr>
                    <w:t>1座，钢筋砼结构，按照2万m</w:t>
                  </w:r>
                  <w:r>
                    <w:rPr>
                      <w:color w:val="auto"/>
                      <w:highlight w:val="none"/>
                      <w:vertAlign w:val="superscript"/>
                    </w:rPr>
                    <w:t>3</w:t>
                  </w:r>
                  <w:r>
                    <w:rPr>
                      <w:color w:val="auto"/>
                      <w:highlight w:val="none"/>
                    </w:rPr>
                    <w:t>/d进行建设，L×B×H=6.3×3.0×3.3m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辅助工程</w:t>
                  </w:r>
                </w:p>
              </w:tc>
              <w:tc>
                <w:tcPr>
                  <w:tcW w:w="3354" w:type="pct"/>
                  <w:gridSpan w:val="2"/>
                  <w:vAlign w:val="center"/>
                </w:tcPr>
                <w:p>
                  <w:pPr>
                    <w:pageBreakBefore w:val="0"/>
                    <w:widowControl/>
                    <w:kinsoku/>
                    <w:wordWrap/>
                    <w:topLinePunct w:val="0"/>
                    <w:bidi w:val="0"/>
                    <w:ind w:left="0" w:leftChars="0" w:right="0" w:rightChars="0"/>
                    <w:jc w:val="left"/>
                    <w:textAlignment w:val="center"/>
                    <w:rPr>
                      <w:color w:val="auto"/>
                      <w:kern w:val="0"/>
                      <w:highlight w:val="none"/>
                      <w:lang w:bidi="ar"/>
                    </w:rPr>
                  </w:pPr>
                  <w:r>
                    <w:rPr>
                      <w:b/>
                      <w:bCs/>
                      <w:color w:val="auto"/>
                      <w:kern w:val="0"/>
                      <w:highlight w:val="none"/>
                      <w:lang w:bidi="ar"/>
                    </w:rPr>
                    <w:t>一期进水在线监测：</w:t>
                  </w:r>
                  <w:r>
                    <w:rPr>
                      <w:color w:val="auto"/>
                      <w:kern w:val="0"/>
                      <w:highlight w:val="none"/>
                      <w:lang w:bidi="ar"/>
                    </w:rPr>
                    <w:t>在脱泥机房南侧设置1座进水在线监测室，框架结构，尺寸</w:t>
                  </w:r>
                  <w:r>
                    <w:rPr>
                      <w:color w:val="auto"/>
                      <w:highlight w:val="none"/>
                    </w:rPr>
                    <w:t>：</w:t>
                  </w:r>
                  <w:r>
                    <w:rPr>
                      <w:color w:val="auto"/>
                      <w:kern w:val="0"/>
                      <w:highlight w:val="none"/>
                      <w:lang w:bidi="ar"/>
                    </w:rPr>
                    <w:t>L×B×H=9.5</w:t>
                  </w:r>
                  <w:r>
                    <w:rPr>
                      <w:color w:val="auto"/>
                      <w:highlight w:val="none"/>
                    </w:rPr>
                    <w:t>×6.0×9.0</w:t>
                  </w:r>
                  <w:r>
                    <w:rPr>
                      <w:color w:val="auto"/>
                      <w:kern w:val="0"/>
                      <w:highlight w:val="none"/>
                      <w:lang w:bidi="ar"/>
                    </w:rPr>
                    <w:t>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化验废液</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ageBreakBefore w:val="0"/>
                    <w:widowControl/>
                    <w:kinsoku/>
                    <w:wordWrap/>
                    <w:topLinePunct w:val="0"/>
                    <w:bidi w:val="0"/>
                    <w:ind w:left="0" w:leftChars="0" w:right="0" w:rightChars="0"/>
                    <w:jc w:val="left"/>
                    <w:textAlignment w:val="center"/>
                    <w:rPr>
                      <w:b/>
                      <w:bCs/>
                      <w:color w:val="auto"/>
                      <w:kern w:val="0"/>
                      <w:highlight w:val="none"/>
                      <w:lang w:bidi="ar"/>
                    </w:rPr>
                  </w:pPr>
                  <w:r>
                    <w:rPr>
                      <w:b/>
                      <w:bCs/>
                      <w:color w:val="auto"/>
                      <w:kern w:val="0"/>
                      <w:highlight w:val="none"/>
                      <w:lang w:bidi="ar"/>
                    </w:rPr>
                    <w:t>一期</w:t>
                  </w:r>
                  <w:r>
                    <w:rPr>
                      <w:b/>
                      <w:bCs/>
                      <w:color w:val="auto"/>
                      <w:highlight w:val="none"/>
                    </w:rPr>
                    <w:t>出水在线监测：</w:t>
                  </w:r>
                  <w:r>
                    <w:rPr>
                      <w:color w:val="auto"/>
                      <w:highlight w:val="none"/>
                    </w:rPr>
                    <w:t>在出水紫外线消毒渠附近设置出水在线监测室1座，框架结构，尺寸：L×B×H=</w:t>
                  </w:r>
                  <w:r>
                    <w:rPr>
                      <w:color w:val="auto"/>
                      <w:kern w:val="0"/>
                      <w:highlight w:val="none"/>
                      <w:lang w:bidi="ar"/>
                    </w:rPr>
                    <w:t>5.0×5.0×3.9m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化验废液</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进水在线监测：</w:t>
                  </w:r>
                  <w:r>
                    <w:rPr>
                      <w:color w:val="auto"/>
                      <w:sz w:val="21"/>
                      <w:highlight w:val="none"/>
                    </w:rPr>
                    <w:t>在进水的粗格栅及提升泵房附近设置进水在线监测室1座</w:t>
                  </w:r>
                  <w:r>
                    <w:rPr>
                      <w:color w:val="auto"/>
                      <w:sz w:val="21"/>
                      <w:highlight w:val="none"/>
                      <w:lang w:bidi="ar"/>
                    </w:rPr>
                    <w:t>，</w:t>
                  </w:r>
                  <w:r>
                    <w:rPr>
                      <w:color w:val="auto"/>
                      <w:sz w:val="21"/>
                      <w:highlight w:val="none"/>
                    </w:rPr>
                    <w:t>框架结构，尺寸：</w:t>
                  </w:r>
                  <w:r>
                    <w:rPr>
                      <w:color w:val="auto"/>
                      <w:sz w:val="21"/>
                      <w:highlight w:val="none"/>
                      <w:lang w:bidi="ar"/>
                    </w:rPr>
                    <w:t>L×B×H=5.0×5.0×4.2m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化验废液</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出水在线监测：</w:t>
                  </w:r>
                  <w:r>
                    <w:rPr>
                      <w:color w:val="auto"/>
                      <w:sz w:val="21"/>
                      <w:highlight w:val="none"/>
                    </w:rPr>
                    <w:t>在出水紫外线消毒渠附近设置出水在线监测室1座，框架结构，尺寸：L×B×H=5.0×5.0×3.9m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化验废液</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鼓风机房：</w:t>
                  </w:r>
                  <w:r>
                    <w:rPr>
                      <w:color w:val="auto"/>
                      <w:sz w:val="21"/>
                      <w:highlight w:val="none"/>
                    </w:rPr>
                    <w:t>1座，钢筋砼结构，土建和设备均按照2万m</w:t>
                  </w:r>
                  <w:r>
                    <w:rPr>
                      <w:color w:val="auto"/>
                      <w:sz w:val="21"/>
                      <w:highlight w:val="none"/>
                      <w:vertAlign w:val="superscript"/>
                    </w:rPr>
                    <w:t>3</w:t>
                  </w:r>
                  <w:r>
                    <w:rPr>
                      <w:color w:val="auto"/>
                      <w:sz w:val="21"/>
                      <w:highlight w:val="none"/>
                    </w:rPr>
                    <w:t>/d进行建设，尺寸均L×B×H=13.2×8.0×6.0m设计</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噪声</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机修及库房：</w:t>
                  </w:r>
                  <w:r>
                    <w:rPr>
                      <w:color w:val="auto"/>
                      <w:sz w:val="21"/>
                      <w:highlight w:val="none"/>
                    </w:rPr>
                    <w:t>1栋，框架结构，L×B×H=15.6×6.0×5.1m，用于暂存设备配件、设备维修</w:t>
                  </w:r>
                </w:p>
              </w:tc>
              <w:tc>
                <w:tcPr>
                  <w:tcW w:w="440"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废机油</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配电房：</w:t>
                  </w:r>
                  <w:r>
                    <w:rPr>
                      <w:color w:val="auto"/>
                      <w:sz w:val="21"/>
                      <w:highlight w:val="none"/>
                    </w:rPr>
                    <w:t>1栋，框架结构，L×B×H=20.1×10.8×4.5m，内设高低压配电柜、柴油发电机等</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发电废气、噪声、环境风险</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rFonts w:hint="default" w:eastAsia="宋体"/>
                      <w:b/>
                      <w:bCs/>
                      <w:color w:val="auto"/>
                      <w:sz w:val="21"/>
                      <w:highlight w:val="none"/>
                      <w:lang w:val="en-US" w:eastAsia="zh-CN"/>
                    </w:rPr>
                  </w:pPr>
                  <w:r>
                    <w:rPr>
                      <w:b/>
                      <w:bCs/>
                      <w:color w:val="auto"/>
                      <w:sz w:val="21"/>
                      <w:highlight w:val="none"/>
                    </w:rPr>
                    <w:t>配电房：</w:t>
                  </w:r>
                  <w:r>
                    <w:rPr>
                      <w:rFonts w:hint="eastAsia"/>
                      <w:b w:val="0"/>
                      <w:bCs w:val="0"/>
                      <w:color w:val="auto"/>
                      <w:sz w:val="21"/>
                      <w:highlight w:val="none"/>
                      <w:lang w:val="en-US" w:eastAsia="zh-CN"/>
                    </w:rPr>
                    <w:t>在柴油发电机房内划分5m</w:t>
                  </w:r>
                  <w:r>
                    <w:rPr>
                      <w:rFonts w:hint="eastAsia"/>
                      <w:b w:val="0"/>
                      <w:bCs w:val="0"/>
                      <w:color w:val="auto"/>
                      <w:sz w:val="21"/>
                      <w:highlight w:val="none"/>
                      <w:vertAlign w:val="superscript"/>
                      <w:lang w:val="en-US" w:eastAsia="zh-CN"/>
                    </w:rPr>
                    <w:t>2</w:t>
                  </w:r>
                  <w:r>
                    <w:rPr>
                      <w:rFonts w:hint="eastAsia"/>
                      <w:b w:val="0"/>
                      <w:bCs w:val="0"/>
                      <w:color w:val="auto"/>
                      <w:sz w:val="21"/>
                      <w:highlight w:val="none"/>
                      <w:lang w:val="en-US" w:eastAsia="zh-CN"/>
                    </w:rPr>
                    <w:t>作为储油间，同时在储油间设置防渗托盘和收集桶</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415" w:type="pct"/>
                  <w:vAlign w:val="center"/>
                </w:tcPr>
                <w:p>
                  <w:pPr>
                    <w:pStyle w:val="22"/>
                    <w:pageBreakBefore w:val="0"/>
                    <w:kinsoku/>
                    <w:wordWrap/>
                    <w:topLinePunct w:val="0"/>
                    <w:bidi w:val="0"/>
                    <w:spacing w:after="0"/>
                    <w:ind w:left="0" w:leftChars="0" w:right="0" w:rightChars="0" w:firstLine="0"/>
                    <w:jc w:val="center"/>
                    <w:rPr>
                      <w:rFonts w:hint="default" w:eastAsia="宋体"/>
                      <w:b/>
                      <w:bCs/>
                      <w:color w:val="auto"/>
                      <w:sz w:val="21"/>
                      <w:highlight w:val="none"/>
                      <w:lang w:val="en-US" w:eastAsia="zh-CN"/>
                    </w:rPr>
                  </w:pPr>
                  <w:r>
                    <w:rPr>
                      <w:rFonts w:hint="eastAsia"/>
                      <w:b/>
                      <w:bCs/>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自动控制系统：</w:t>
                  </w:r>
                  <w:r>
                    <w:rPr>
                      <w:color w:val="auto"/>
                      <w:sz w:val="21"/>
                      <w:highlight w:val="none"/>
                    </w:rPr>
                    <w:t>设置中控系统设备1套、在线仪表进水出水各1套、办公管理网络1套、电视监控系统1套、门禁系统1套等</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道路：</w:t>
                  </w:r>
                  <w:r>
                    <w:rPr>
                      <w:color w:val="auto"/>
                      <w:sz w:val="21"/>
                      <w:highlight w:val="none"/>
                    </w:rPr>
                    <w:t>建设场内地面道路</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化验室：</w:t>
                  </w:r>
                  <w:r>
                    <w:rPr>
                      <w:color w:val="auto"/>
                      <w:sz w:val="21"/>
                      <w:highlight w:val="none"/>
                    </w:rPr>
                    <w:t>设置于综合大楼1F，化验室检测指标为pH、COD、BOD</w:t>
                  </w:r>
                  <w:r>
                    <w:rPr>
                      <w:color w:val="auto"/>
                      <w:sz w:val="21"/>
                      <w:highlight w:val="none"/>
                      <w:vertAlign w:val="subscript"/>
                    </w:rPr>
                    <w:t>5</w:t>
                  </w:r>
                  <w:r>
                    <w:rPr>
                      <w:color w:val="auto"/>
                      <w:sz w:val="21"/>
                      <w:highlight w:val="none"/>
                    </w:rPr>
                    <w:t>、氨氮、总磷、总氮、污泥含水率等，所用硫酸、盐酸等试剂存放于化验室试剂柜储存</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环境风险</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危废暂存间：</w:t>
                  </w:r>
                  <w:r>
                    <w:rPr>
                      <w:color w:val="auto"/>
                      <w:sz w:val="21"/>
                      <w:highlight w:val="none"/>
                    </w:rPr>
                    <w:t>1栋，2间，框架结构，建筑面积50m</w:t>
                  </w:r>
                  <w:r>
                    <w:rPr>
                      <w:color w:val="auto"/>
                      <w:sz w:val="21"/>
                      <w:highlight w:val="none"/>
                      <w:vertAlign w:val="superscript"/>
                    </w:rPr>
                    <w:t>2</w:t>
                  </w:r>
                  <w:r>
                    <w:rPr>
                      <w:color w:val="auto"/>
                      <w:sz w:val="21"/>
                      <w:highlight w:val="none"/>
                    </w:rPr>
                    <w:t>（25m</w:t>
                  </w:r>
                  <w:r>
                    <w:rPr>
                      <w:color w:val="auto"/>
                      <w:sz w:val="21"/>
                      <w:highlight w:val="none"/>
                      <w:vertAlign w:val="superscript"/>
                    </w:rPr>
                    <w:t>2</w:t>
                  </w:r>
                  <w:r>
                    <w:rPr>
                      <w:color w:val="auto"/>
                      <w:sz w:val="21"/>
                      <w:highlight w:val="none"/>
                    </w:rPr>
                    <w:t>/间），用于分别储存化验废液（化验室废液与在线监测系统废液）</w:t>
                  </w:r>
                  <w:r>
                    <w:rPr>
                      <w:rFonts w:hint="eastAsia"/>
                      <w:color w:val="auto"/>
                      <w:sz w:val="21"/>
                      <w:highlight w:val="none"/>
                      <w:lang w:eastAsia="zh-CN"/>
                    </w:rPr>
                    <w:t>、</w:t>
                  </w:r>
                  <w:r>
                    <w:rPr>
                      <w:color w:val="auto"/>
                      <w:sz w:val="21"/>
                      <w:highlight w:val="none"/>
                    </w:rPr>
                    <w:t>废机油和</w:t>
                  </w:r>
                  <w:r>
                    <w:rPr>
                      <w:rFonts w:hint="eastAsia"/>
                      <w:color w:val="auto"/>
                      <w:sz w:val="21"/>
                      <w:highlight w:val="none"/>
                    </w:rPr>
                    <w:t>废紫外灯管</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51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环境风险</w:t>
                  </w:r>
                </w:p>
              </w:tc>
              <w:tc>
                <w:tcPr>
                  <w:tcW w:w="41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办公生活设施</w:t>
                  </w:r>
                </w:p>
              </w:tc>
              <w:tc>
                <w:tcPr>
                  <w:tcW w:w="3354" w:type="pct"/>
                  <w:gridSpan w:val="2"/>
                  <w:vAlign w:val="center"/>
                </w:tcPr>
                <w:p>
                  <w:pPr>
                    <w:pStyle w:val="22"/>
                    <w:pageBreakBefore w:val="0"/>
                    <w:kinsoku/>
                    <w:wordWrap/>
                    <w:topLinePunct w:val="0"/>
                    <w:bidi w:val="0"/>
                    <w:spacing w:after="0"/>
                    <w:ind w:left="0" w:leftChars="0" w:right="0" w:rightChars="0" w:firstLine="0"/>
                    <w:rPr>
                      <w:color w:val="auto"/>
                      <w:kern w:val="2"/>
                      <w:sz w:val="21"/>
                      <w:highlight w:val="none"/>
                    </w:rPr>
                  </w:pPr>
                  <w:r>
                    <w:rPr>
                      <w:b/>
                      <w:bCs/>
                      <w:color w:val="auto"/>
                      <w:kern w:val="2"/>
                      <w:sz w:val="21"/>
                      <w:highlight w:val="none"/>
                    </w:rPr>
                    <w:t>综合大楼：</w:t>
                  </w:r>
                  <w:r>
                    <w:rPr>
                      <w:color w:val="auto"/>
                      <w:sz w:val="21"/>
                      <w:highlight w:val="none"/>
                    </w:rPr>
                    <w:t>1栋，2F框架结构，L×B×H=36.0×12.0×7.2m，内设食堂、办公室、控制室、化验室等</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生活垃圾、生活污水、食堂废水、食堂油烟、餐厨垃圾、化验废液等</w:t>
                  </w:r>
                </w:p>
              </w:tc>
              <w:tc>
                <w:tcPr>
                  <w:tcW w:w="41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kern w:val="2"/>
                      <w:sz w:val="21"/>
                      <w:highlight w:val="none"/>
                    </w:rPr>
                  </w:pPr>
                  <w:r>
                    <w:rPr>
                      <w:b/>
                      <w:bCs/>
                      <w:color w:val="auto"/>
                      <w:kern w:val="2"/>
                      <w:sz w:val="21"/>
                      <w:highlight w:val="none"/>
                    </w:rPr>
                    <w:t>门卫及值班室：</w:t>
                  </w:r>
                  <w:r>
                    <w:rPr>
                      <w:color w:val="auto"/>
                      <w:sz w:val="21"/>
                      <w:highlight w:val="none"/>
                    </w:rPr>
                    <w:t>1栋，单层框架结构，L×B×H=4.2×3.9×3.2m</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生活垃圾、生活污水</w:t>
                  </w:r>
                </w:p>
              </w:tc>
              <w:tc>
                <w:tcPr>
                  <w:tcW w:w="41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公用工程</w:t>
                  </w:r>
                </w:p>
              </w:tc>
              <w:tc>
                <w:tcPr>
                  <w:tcW w:w="3354"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厂区排水为雨污分流制</w:t>
                  </w:r>
                </w:p>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厂区雨水：</w:t>
                  </w:r>
                  <w:r>
                    <w:rPr>
                      <w:color w:val="auto"/>
                      <w:sz w:val="21"/>
                      <w:highlight w:val="none"/>
                    </w:rPr>
                    <w:t>由道路雨水口收集后汇入厂区雨水管道，并自流排入前河</w:t>
                  </w:r>
                </w:p>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厂内污水：</w:t>
                  </w:r>
                  <w:r>
                    <w:rPr>
                      <w:color w:val="auto"/>
                      <w:sz w:val="21"/>
                      <w:highlight w:val="none"/>
                    </w:rPr>
                    <w:t>厂内生活污水（隔油后的食堂废水）、生产废水（化验室器皿清洗废水、设备冲洗废水、地坪冲洗废水、反冲洗废水）、脱水滤液等经厂内污水管道收集后汇入提升泵房，与进厂污水一并处理</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ageBreakBefore w:val="0"/>
                    <w:widowControl/>
                    <w:kinsoku/>
                    <w:wordWrap/>
                    <w:topLinePunct w:val="0"/>
                    <w:bidi w:val="0"/>
                    <w:ind w:left="0" w:leftChars="0" w:right="0" w:rightChars="0"/>
                    <w:jc w:val="center"/>
                    <w:rPr>
                      <w:color w:val="auto"/>
                      <w:highlight w:val="none"/>
                    </w:rPr>
                  </w:pPr>
                  <w:r>
                    <w:rPr>
                      <w:b/>
                      <w:bCs/>
                      <w:color w:val="auto"/>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给水：</w:t>
                  </w:r>
                  <w:r>
                    <w:rPr>
                      <w:color w:val="auto"/>
                      <w:sz w:val="21"/>
                      <w:highlight w:val="none"/>
                    </w:rPr>
                    <w:t>厂区给水由市政管网提供，给水干管管径DN100，厂区内呈环网状，利于消防和安全供水</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回用水：</w:t>
                  </w:r>
                  <w:r>
                    <w:rPr>
                      <w:color w:val="auto"/>
                      <w:sz w:val="21"/>
                      <w:highlight w:val="none"/>
                    </w:rPr>
                    <w:t>厂内考虑了Q=20m</w:t>
                  </w:r>
                  <w:r>
                    <w:rPr>
                      <w:color w:val="auto"/>
                      <w:sz w:val="21"/>
                      <w:highlight w:val="none"/>
                      <w:vertAlign w:val="superscript"/>
                    </w:rPr>
                    <w:t>3</w:t>
                  </w:r>
                  <w:r>
                    <w:rPr>
                      <w:color w:val="auto"/>
                      <w:sz w:val="21"/>
                      <w:highlight w:val="none"/>
                    </w:rPr>
                    <w:t>/h的中水利用，直接从紫外线消毒渠出水井中取水，主要用于厂内道路、构筑物池体冲洗、绿化、水景等使用</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供电：</w:t>
                  </w:r>
                  <w:r>
                    <w:rPr>
                      <w:color w:val="auto"/>
                      <w:sz w:val="21"/>
                      <w:highlight w:val="none"/>
                    </w:rPr>
                    <w:t>设置两路双电源供电，一路由市政10kV供电，一路由备用电源柴油发电机供电</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仓储及其他</w:t>
                  </w: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污水处理药剂：</w:t>
                  </w:r>
                  <w:r>
                    <w:rPr>
                      <w:color w:val="auto"/>
                      <w:sz w:val="21"/>
                      <w:highlight w:val="none"/>
                    </w:rPr>
                    <w:t>PAM、PFS等存放于脱水机房外</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环境风险</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354"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化学试剂：</w:t>
                  </w:r>
                  <w:r>
                    <w:rPr>
                      <w:color w:val="auto"/>
                      <w:sz w:val="21"/>
                      <w:highlight w:val="none"/>
                    </w:rPr>
                    <w:t>存于化验分析室中的试剂柜储存</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环境风险</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环保工程</w:t>
                  </w:r>
                </w:p>
              </w:tc>
              <w:tc>
                <w:tcPr>
                  <w:tcW w:w="27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废气治理</w:t>
                  </w: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rPr>
                  </w:pPr>
                  <w:r>
                    <w:rPr>
                      <w:color w:val="auto"/>
                      <w:sz w:val="21"/>
                      <w:highlight w:val="none"/>
                    </w:rPr>
                    <w:t>项目一期以厂内恶臭单元（粗细格栅、污泥脱水间、贮泥池）边界外设置100m卫生防护距离</w:t>
                  </w:r>
                  <w:r>
                    <w:rPr>
                      <w:rFonts w:hint="eastAsia"/>
                      <w:color w:val="auto"/>
                      <w:sz w:val="21"/>
                      <w:highlight w:val="none"/>
                      <w:lang w:eastAsia="zh-CN"/>
                    </w:rPr>
                    <w:t>；</w:t>
                  </w:r>
                </w:p>
              </w:tc>
              <w:tc>
                <w:tcPr>
                  <w:tcW w:w="44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rPr>
                  </w:pPr>
                  <w:r>
                    <w:rPr>
                      <w:rFonts w:hint="eastAsia"/>
                      <w:color w:val="auto"/>
                      <w:sz w:val="21"/>
                      <w:highlight w:val="none"/>
                      <w:lang w:val="en-US" w:eastAsia="zh-CN"/>
                    </w:rPr>
                    <w:t>二期以新增恶臭单元（</w:t>
                  </w:r>
                  <w:r>
                    <w:rPr>
                      <w:color w:val="auto"/>
                      <w:sz w:val="21"/>
                      <w:highlight w:val="none"/>
                    </w:rPr>
                    <w:t>MBBR生化池、脱泥机房、贮泥池</w:t>
                  </w:r>
                  <w:r>
                    <w:rPr>
                      <w:rFonts w:hint="eastAsia"/>
                      <w:color w:val="auto"/>
                      <w:sz w:val="21"/>
                      <w:highlight w:val="none"/>
                      <w:lang w:val="en-US" w:eastAsia="zh-CN"/>
                    </w:rPr>
                    <w:t>）</w:t>
                  </w:r>
                  <w:r>
                    <w:rPr>
                      <w:color w:val="auto"/>
                      <w:sz w:val="21"/>
                      <w:highlight w:val="none"/>
                    </w:rPr>
                    <w:t>为起点划50m的卫生防护距离；定期喷洒生物除臭剂；厂界四周设置绿化隔离带，种植对恶臭有吸附作用的乔木</w:t>
                  </w:r>
                </w:p>
              </w:tc>
              <w:tc>
                <w:tcPr>
                  <w:tcW w:w="44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rFonts w:hint="eastAsia" w:eastAsia="宋体"/>
                      <w:b/>
                      <w:bCs/>
                      <w:color w:val="auto"/>
                      <w:sz w:val="21"/>
                      <w:highlight w:val="none"/>
                      <w:lang w:val="en-US" w:eastAsia="zh-CN"/>
                    </w:rPr>
                  </w:pPr>
                  <w:r>
                    <w:rPr>
                      <w:rFonts w:hint="eastAsia"/>
                      <w:b/>
                      <w:bCs/>
                      <w:color w:val="auto"/>
                      <w:sz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highlight w:val="none"/>
                    </w:rPr>
                  </w:pPr>
                </w:p>
                <w:p>
                  <w:pPr>
                    <w:pageBreakBefore w:val="0"/>
                    <w:kinsoku/>
                    <w:wordWrap/>
                    <w:topLinePunct w:val="0"/>
                    <w:bidi w:val="0"/>
                    <w:ind w:left="0" w:leftChars="0" w:right="0" w:rightChars="0"/>
                    <w:rPr>
                      <w:color w:val="auto"/>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rPr>
                  </w:pPr>
                  <w:r>
                    <w:rPr>
                      <w:color w:val="auto"/>
                      <w:sz w:val="21"/>
                      <w:highlight w:val="none"/>
                    </w:rPr>
                    <w:t>食堂油烟经油烟净化器处理后引至综合大楼楼顶排放</w:t>
                  </w:r>
                </w:p>
              </w:tc>
              <w:tc>
                <w:tcPr>
                  <w:tcW w:w="44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废水治理</w:t>
                  </w:r>
                </w:p>
              </w:tc>
              <w:tc>
                <w:tcPr>
                  <w:tcW w:w="3078" w:type="pct"/>
                  <w:vAlign w:val="center"/>
                </w:tcPr>
                <w:p>
                  <w:pPr>
                    <w:pStyle w:val="22"/>
                    <w:pageBreakBefore w:val="0"/>
                    <w:kinsoku/>
                    <w:wordWrap/>
                    <w:topLinePunct w:val="0"/>
                    <w:bidi w:val="0"/>
                    <w:spacing w:after="0"/>
                    <w:ind w:left="0" w:leftChars="0" w:right="0" w:rightChars="0" w:firstLine="0"/>
                    <w:rPr>
                      <w:color w:val="auto"/>
                      <w:sz w:val="21"/>
                      <w:highlight w:val="none"/>
                    </w:rPr>
                  </w:pPr>
                  <w:r>
                    <w:rPr>
                      <w:color w:val="auto"/>
                      <w:sz w:val="21"/>
                      <w:highlight w:val="none"/>
                    </w:rPr>
                    <w:t>厂内生活污水、生产废水（化验室器皿清洗废水、设备冲洗废水、地坪冲洗废水、反冲洗废水）、脱水滤液等经厂内污水管道收集后汇入提升泵房，与进厂污水一并处理</w:t>
                  </w:r>
                </w:p>
              </w:tc>
              <w:tc>
                <w:tcPr>
                  <w:tcW w:w="44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一期已建+二期新建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Cs/>
                      <w:color w:val="auto"/>
                      <w:sz w:val="21"/>
                      <w:highlight w:val="none"/>
                    </w:rPr>
                  </w:pPr>
                  <w:r>
                    <w:rPr>
                      <w:bCs/>
                      <w:color w:val="auto"/>
                      <w:sz w:val="21"/>
                      <w:highlight w:val="none"/>
                    </w:rPr>
                    <w:t>服务范围内的污水通过本项目处理达标后外排前河</w:t>
                  </w:r>
                </w:p>
              </w:tc>
              <w:tc>
                <w:tcPr>
                  <w:tcW w:w="44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511"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415" w:type="pct"/>
                  <w:vMerge w:val="continue"/>
                  <w:vAlign w:val="center"/>
                </w:tcPr>
                <w:p>
                  <w:pPr>
                    <w:pageBreakBefore w:val="0"/>
                    <w:widowControl/>
                    <w:kinsoku/>
                    <w:wordWrap/>
                    <w:topLinePunct w:val="0"/>
                    <w:bidi w:val="0"/>
                    <w:ind w:left="0" w:leftChars="0" w:right="0" w:rightChars="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color w:val="auto"/>
                      <w:sz w:val="21"/>
                      <w:highlight w:val="none"/>
                    </w:rPr>
                    <w:t>食堂废水经油水分离器隔油处理后经厂内污水管道收集后汇入提升泵房，与进厂污水一并处理</w:t>
                  </w:r>
                </w:p>
              </w:tc>
              <w:tc>
                <w:tcPr>
                  <w:tcW w:w="440" w:type="pct"/>
                  <w:vAlign w:val="center"/>
                </w:tcPr>
                <w:p>
                  <w:pPr>
                    <w:pageBreakBefore w:val="0"/>
                    <w:kinsoku/>
                    <w:wordWrap/>
                    <w:topLinePunct w:val="0"/>
                    <w:bidi w:val="0"/>
                    <w:ind w:left="0" w:leftChars="0" w:right="0" w:rightChars="0"/>
                    <w:jc w:val="center"/>
                    <w:rPr>
                      <w:color w:val="auto"/>
                      <w:highlight w:val="none"/>
                    </w:rPr>
                  </w:pP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食堂废油脂</w:t>
                  </w:r>
                </w:p>
              </w:tc>
              <w:tc>
                <w:tcPr>
                  <w:tcW w:w="415" w:type="pc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Cs/>
                      <w:color w:val="auto"/>
                      <w:sz w:val="21"/>
                      <w:highlight w:val="none"/>
                    </w:rPr>
                  </w:pPr>
                  <w:r>
                    <w:rPr>
                      <w:bCs/>
                      <w:color w:val="auto"/>
                      <w:sz w:val="21"/>
                      <w:highlight w:val="none"/>
                    </w:rPr>
                    <w:t>进水口已配备有流量、pH、SS、COD、NH</w:t>
                  </w:r>
                  <w:r>
                    <w:rPr>
                      <w:bCs/>
                      <w:color w:val="auto"/>
                      <w:sz w:val="21"/>
                      <w:highlight w:val="none"/>
                      <w:vertAlign w:val="subscript"/>
                    </w:rPr>
                    <w:t>3</w:t>
                  </w:r>
                  <w:r>
                    <w:rPr>
                      <w:bCs/>
                      <w:color w:val="auto"/>
                      <w:sz w:val="21"/>
                      <w:highlight w:val="none"/>
                    </w:rPr>
                    <w:t>-N在线监测设备</w:t>
                  </w:r>
                </w:p>
              </w:tc>
              <w:tc>
                <w:tcPr>
                  <w:tcW w:w="44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511" w:type="pct"/>
                  <w:vAlign w:val="center"/>
                </w:tcPr>
                <w:p>
                  <w:pPr>
                    <w:pageBreakBefore w:val="0"/>
                    <w:kinsoku/>
                    <w:wordWrap/>
                    <w:topLinePunct w:val="0"/>
                    <w:bidi w:val="0"/>
                    <w:ind w:left="0" w:leftChars="0" w:right="0" w:rightChars="0"/>
                    <w:jc w:val="center"/>
                    <w:rPr>
                      <w:color w:val="auto"/>
                      <w:kern w:val="0"/>
                      <w:highlight w:val="none"/>
                    </w:rPr>
                  </w:pPr>
                  <w:r>
                    <w:rPr>
                      <w:color w:val="auto"/>
                      <w:highlight w:val="none"/>
                    </w:rPr>
                    <w:t>化验废液</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Style w:val="22"/>
                    <w:pageBreakBefore w:val="0"/>
                    <w:kinsoku/>
                    <w:wordWrap/>
                    <w:topLinePunct w:val="0"/>
                    <w:bidi w:val="0"/>
                    <w:spacing w:after="0"/>
                    <w:ind w:left="0" w:leftChars="0" w:right="0" w:rightChars="0" w:firstLine="0"/>
                    <w:rPr>
                      <w:bCs/>
                      <w:color w:val="auto"/>
                      <w:sz w:val="21"/>
                      <w:highlight w:val="none"/>
                    </w:rPr>
                  </w:pPr>
                  <w:r>
                    <w:rPr>
                      <w:bCs/>
                      <w:color w:val="auto"/>
                      <w:sz w:val="21"/>
                      <w:highlight w:val="none"/>
                    </w:rPr>
                    <w:t>出水口已配备有流量、pH、SS、COD、NH</w:t>
                  </w:r>
                  <w:r>
                    <w:rPr>
                      <w:bCs/>
                      <w:color w:val="auto"/>
                      <w:sz w:val="21"/>
                      <w:highlight w:val="none"/>
                      <w:vertAlign w:val="subscript"/>
                    </w:rPr>
                    <w:t>3</w:t>
                  </w:r>
                  <w:r>
                    <w:rPr>
                      <w:bCs/>
                      <w:color w:val="auto"/>
                      <w:sz w:val="21"/>
                      <w:highlight w:val="none"/>
                    </w:rPr>
                    <w:t>-N、总氮、总磷、水温在线监测设备</w:t>
                  </w:r>
                </w:p>
              </w:tc>
              <w:tc>
                <w:tcPr>
                  <w:tcW w:w="44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511" w:type="pct"/>
                  <w:vAlign w:val="center"/>
                </w:tcPr>
                <w:p>
                  <w:pPr>
                    <w:pageBreakBefore w:val="0"/>
                    <w:kinsoku/>
                    <w:wordWrap/>
                    <w:topLinePunct w:val="0"/>
                    <w:bidi w:val="0"/>
                    <w:ind w:left="0" w:leftChars="0" w:right="0" w:rightChars="0"/>
                    <w:jc w:val="center"/>
                    <w:rPr>
                      <w:color w:val="auto"/>
                      <w:kern w:val="0"/>
                      <w:highlight w:val="none"/>
                    </w:rPr>
                  </w:pPr>
                  <w:r>
                    <w:rPr>
                      <w:color w:val="auto"/>
                      <w:highlight w:val="none"/>
                    </w:rPr>
                    <w:t>化验废液</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噪声治理</w:t>
                  </w:r>
                </w:p>
              </w:tc>
              <w:tc>
                <w:tcPr>
                  <w:tcW w:w="3078" w:type="pct"/>
                  <w:vAlign w:val="center"/>
                </w:tcPr>
                <w:p>
                  <w:pPr>
                    <w:pageBreakBefore w:val="0"/>
                    <w:kinsoku/>
                    <w:wordWrap/>
                    <w:topLinePunct w:val="0"/>
                    <w:bidi w:val="0"/>
                    <w:ind w:left="0" w:leftChars="0" w:right="0" w:rightChars="0"/>
                    <w:jc w:val="left"/>
                    <w:rPr>
                      <w:color w:val="auto"/>
                      <w:highlight w:val="none"/>
                    </w:rPr>
                  </w:pPr>
                  <w:r>
                    <w:rPr>
                      <w:color w:val="auto"/>
                      <w:highlight w:val="none"/>
                    </w:rPr>
                    <w:t>提升泵、搅拌机、潜水搅拌机、潜污泵、板框式压滤机、鼓风机、反洗水泵等通过选用低噪设备，采取地下或半地下安置方式；水泵、风机等高噪声设备均设置减震措施</w:t>
                  </w:r>
                </w:p>
              </w:tc>
              <w:tc>
                <w:tcPr>
                  <w:tcW w:w="440"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color w:val="auto"/>
                      <w:highlight w:val="none"/>
                    </w:rPr>
                  </w:pPr>
                  <w:r>
                    <w:rPr>
                      <w:color w:val="auto"/>
                      <w:highlight w:val="none"/>
                    </w:rPr>
                    <w:t>鼓风机房风机进出口安装消声器，整体安装隔音罩</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固废治理</w:t>
                  </w:r>
                </w:p>
              </w:tc>
              <w:tc>
                <w:tcPr>
                  <w:tcW w:w="3078"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生活垃圾：</w:t>
                  </w:r>
                  <w:r>
                    <w:rPr>
                      <w:rFonts w:hint="eastAsia"/>
                      <w:color w:val="auto"/>
                      <w:highlight w:val="none"/>
                      <w:lang w:eastAsia="zh-CN"/>
                    </w:rPr>
                    <w:t>交由环卫部门统一处置</w:t>
                  </w:r>
                </w:p>
              </w:tc>
              <w:tc>
                <w:tcPr>
                  <w:tcW w:w="440"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b/>
                      <w:bCs/>
                      <w:color w:val="auto"/>
                      <w:highlight w:val="none"/>
                    </w:rPr>
                  </w:pPr>
                  <w:r>
                    <w:rPr>
                      <w:b/>
                      <w:bCs/>
                      <w:color w:val="auto"/>
                      <w:highlight w:val="none"/>
                    </w:rPr>
                    <w:t>餐厨垃圾：</w:t>
                  </w:r>
                  <w:r>
                    <w:rPr>
                      <w:rFonts w:hint="eastAsia"/>
                      <w:color w:val="auto"/>
                      <w:highlight w:val="none"/>
                      <w:lang w:eastAsia="zh-CN"/>
                    </w:rPr>
                    <w:t>交由</w:t>
                  </w:r>
                  <w:r>
                    <w:rPr>
                      <w:rFonts w:hint="eastAsia"/>
                      <w:color w:val="auto"/>
                      <w:szCs w:val="21"/>
                      <w:highlight w:val="none"/>
                      <w:lang w:val="en-US" w:eastAsia="zh-CN"/>
                    </w:rPr>
                    <w:t>有资质的单位回收</w:t>
                  </w:r>
                </w:p>
              </w:tc>
              <w:tc>
                <w:tcPr>
                  <w:tcW w:w="440"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rFonts w:hint="eastAsia" w:eastAsia="宋体"/>
                      <w:color w:val="auto"/>
                      <w:sz w:val="21"/>
                      <w:highlight w:val="none"/>
                      <w:lang w:val="en-US" w:eastAsia="zh-CN"/>
                    </w:rPr>
                  </w:pPr>
                  <w:r>
                    <w:rPr>
                      <w:rFonts w:hint="eastAsia"/>
                      <w:color w:val="auto"/>
                      <w:sz w:val="21"/>
                      <w:highlight w:val="none"/>
                      <w:lang w:val="en-US" w:eastAsia="zh-CN"/>
                    </w:rPr>
                    <w:t>/</w:t>
                  </w:r>
                </w:p>
              </w:tc>
              <w:tc>
                <w:tcPr>
                  <w:tcW w:w="415" w:type="pct"/>
                  <w:vAlign w:val="center"/>
                </w:tcPr>
                <w:p>
                  <w:pPr>
                    <w:pageBreakBefore w:val="0"/>
                    <w:kinsoku/>
                    <w:wordWrap/>
                    <w:topLinePunct w:val="0"/>
                    <w:bidi w:val="0"/>
                    <w:ind w:left="0" w:leftChars="0" w:right="0" w:rightChars="0"/>
                    <w:jc w:val="center"/>
                    <w:rPr>
                      <w:b/>
                      <w:bCs/>
                      <w:color w:val="auto"/>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rFonts w:hint="eastAsia" w:eastAsia="宋体"/>
                      <w:color w:val="auto"/>
                      <w:highlight w:val="none"/>
                      <w:lang w:eastAsia="zh-CN"/>
                    </w:rPr>
                  </w:pPr>
                  <w:r>
                    <w:rPr>
                      <w:b/>
                      <w:bCs/>
                      <w:color w:val="auto"/>
                      <w:highlight w:val="none"/>
                    </w:rPr>
                    <w:t>栅渣及沉砂：</w:t>
                  </w:r>
                  <w:r>
                    <w:rPr>
                      <w:color w:val="auto"/>
                      <w:highlight w:val="none"/>
                    </w:rPr>
                    <w:t>栅渣及沉砂</w:t>
                  </w:r>
                  <w:r>
                    <w:rPr>
                      <w:rFonts w:hint="eastAsia"/>
                      <w:color w:val="auto"/>
                      <w:highlight w:val="none"/>
                      <w:lang w:eastAsia="zh-CN"/>
                    </w:rPr>
                    <w:t>交由环卫部门统一处置</w:t>
                  </w:r>
                </w:p>
              </w:tc>
              <w:tc>
                <w:tcPr>
                  <w:tcW w:w="440" w:type="pct"/>
                  <w:vAlign w:val="center"/>
                </w:tcPr>
                <w:p>
                  <w:pPr>
                    <w:pageBreakBefore w:val="0"/>
                    <w:kinsoku/>
                    <w:wordWrap/>
                    <w:topLinePunct w:val="0"/>
                    <w:bidi w:val="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b/>
                      <w:bCs/>
                      <w:color w:val="auto"/>
                      <w:highlight w:val="none"/>
                    </w:rPr>
                  </w:pPr>
                  <w:r>
                    <w:rPr>
                      <w:b/>
                      <w:bCs/>
                      <w:color w:val="auto"/>
                      <w:highlight w:val="none"/>
                    </w:rPr>
                    <w:t>污泥：</w:t>
                  </w:r>
                  <w:r>
                    <w:rPr>
                      <w:color w:val="auto"/>
                      <w:highlight w:val="none"/>
                    </w:rPr>
                    <w:t>污泥根据后期其危险特性鉴别结果确定其最终处置方式</w:t>
                  </w:r>
                  <w:r>
                    <w:rPr>
                      <w:rFonts w:hint="eastAsia"/>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44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废包装材料：</w:t>
                  </w:r>
                  <w:r>
                    <w:rPr>
                      <w:color w:val="auto"/>
                      <w:highlight w:val="none"/>
                    </w:rPr>
                    <w:t>废包装材料定期交由废品收购站回收</w:t>
                  </w:r>
                </w:p>
              </w:tc>
              <w:tc>
                <w:tcPr>
                  <w:tcW w:w="440"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w:t>
                  </w:r>
                </w:p>
              </w:tc>
              <w:tc>
                <w:tcPr>
                  <w:tcW w:w="41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rFonts w:ascii="Times New Roman" w:hAnsi="Times New Roman" w:eastAsia="宋体" w:cs="Times New Roman"/>
                      <w:b/>
                      <w:bCs/>
                      <w:color w:val="auto"/>
                      <w:kern w:val="2"/>
                      <w:sz w:val="21"/>
                      <w:szCs w:val="21"/>
                      <w:highlight w:val="none"/>
                      <w:lang w:val="en-US" w:eastAsia="zh-CN" w:bidi="ar-SA"/>
                    </w:rPr>
                  </w:pPr>
                  <w:r>
                    <w:rPr>
                      <w:b/>
                      <w:bCs/>
                      <w:color w:val="auto"/>
                      <w:highlight w:val="none"/>
                    </w:rPr>
                    <w:t>化验废液（包含化验室废液与在线监测系统废液）、废机油：</w:t>
                  </w:r>
                  <w:r>
                    <w:rPr>
                      <w:rFonts w:hint="eastAsia"/>
                      <w:b w:val="0"/>
                      <w:bCs w:val="0"/>
                      <w:color w:val="auto"/>
                      <w:highlight w:val="none"/>
                      <w:lang w:val="en-US" w:eastAsia="zh-CN"/>
                    </w:rPr>
                    <w:t>暂存于</w:t>
                  </w:r>
                  <w:r>
                    <w:rPr>
                      <w:color w:val="auto"/>
                      <w:highlight w:val="none"/>
                    </w:rPr>
                    <w:t>一期已建设2间建筑面积均25m</w:t>
                  </w:r>
                  <w:r>
                    <w:rPr>
                      <w:color w:val="auto"/>
                      <w:highlight w:val="none"/>
                      <w:vertAlign w:val="superscript"/>
                    </w:rPr>
                    <w:t>2</w:t>
                  </w:r>
                  <w:r>
                    <w:rPr>
                      <w:color w:val="auto"/>
                      <w:highlight w:val="none"/>
                    </w:rPr>
                    <w:t>的危废暂存间，用于分别暂存化验废液（化验室废液与在线监测系统废液）和废机油，</w:t>
                  </w:r>
                  <w:r>
                    <w:rPr>
                      <w:rFonts w:hint="eastAsia"/>
                      <w:color w:val="auto"/>
                      <w:highlight w:val="none"/>
                      <w:lang w:val="en-US" w:eastAsia="zh-CN"/>
                    </w:rPr>
                    <w:t>最终</w:t>
                  </w:r>
                  <w:r>
                    <w:rPr>
                      <w:color w:val="auto"/>
                      <w:highlight w:val="none"/>
                    </w:rPr>
                    <w:t>交由南充嘉源环保科技有限责任公司处置</w:t>
                  </w:r>
                </w:p>
              </w:tc>
              <w:tc>
                <w:tcPr>
                  <w:tcW w:w="440" w:type="pct"/>
                  <w:vAlign w:val="center"/>
                </w:tcPr>
                <w:p>
                  <w:pPr>
                    <w:pStyle w:val="22"/>
                    <w:pageBreakBefore w:val="0"/>
                    <w:kinsoku/>
                    <w:wordWrap/>
                    <w:topLinePunct w:val="0"/>
                    <w:bidi w:val="0"/>
                    <w:spacing w:after="0"/>
                    <w:ind w:left="0" w:leftChars="0" w:right="0" w:righ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firstLineChars="0"/>
                    <w:jc w:val="center"/>
                    <w:rPr>
                      <w:rFonts w:ascii="Times New Roman" w:hAnsi="Times New Roman" w:eastAsia="宋体" w:cs="Times New Roman"/>
                      <w:b/>
                      <w:bCs/>
                      <w:color w:val="auto"/>
                      <w:kern w:val="0"/>
                      <w:sz w:val="21"/>
                      <w:szCs w:val="21"/>
                      <w:highlight w:val="none"/>
                      <w:lang w:val="en-US" w:eastAsia="zh-CN" w:bidi="ar-SA"/>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rFonts w:hint="eastAsia" w:eastAsia="宋体"/>
                      <w:b/>
                      <w:bCs/>
                      <w:color w:val="auto"/>
                      <w:highlight w:val="none"/>
                      <w:lang w:eastAsia="zh-CN"/>
                    </w:rPr>
                  </w:pPr>
                  <w:r>
                    <w:rPr>
                      <w:rFonts w:hint="eastAsia"/>
                      <w:b/>
                      <w:bCs/>
                      <w:color w:val="auto"/>
                      <w:highlight w:val="none"/>
                    </w:rPr>
                    <w:t>废紫外灯管</w:t>
                  </w:r>
                  <w:r>
                    <w:rPr>
                      <w:rFonts w:hint="eastAsia"/>
                      <w:b/>
                      <w:bCs/>
                      <w:color w:val="auto"/>
                      <w:highlight w:val="none"/>
                      <w:lang w:eastAsia="zh-CN"/>
                    </w:rPr>
                    <w:t>：</w:t>
                  </w:r>
                  <w:r>
                    <w:rPr>
                      <w:rFonts w:hint="eastAsia"/>
                      <w:color w:val="auto"/>
                      <w:sz w:val="21"/>
                      <w:szCs w:val="21"/>
                      <w:highlight w:val="none"/>
                      <w:lang w:val="en-US" w:eastAsia="zh-CN" w:bidi="ar"/>
                    </w:rPr>
                    <w:t>在暂存化验废液的危废暂存间内划出2m</w:t>
                  </w:r>
                  <w:r>
                    <w:rPr>
                      <w:rFonts w:hint="eastAsia"/>
                      <w:color w:val="auto"/>
                      <w:sz w:val="21"/>
                      <w:szCs w:val="21"/>
                      <w:highlight w:val="none"/>
                      <w:vertAlign w:val="superscript"/>
                      <w:lang w:val="en-US" w:eastAsia="zh-CN" w:bidi="ar"/>
                    </w:rPr>
                    <w:t>2</w:t>
                  </w:r>
                  <w:r>
                    <w:rPr>
                      <w:rFonts w:hint="eastAsia"/>
                      <w:color w:val="auto"/>
                      <w:sz w:val="21"/>
                      <w:szCs w:val="21"/>
                      <w:highlight w:val="none"/>
                      <w:lang w:val="en-US" w:eastAsia="zh-CN" w:bidi="ar"/>
                    </w:rPr>
                    <w:t>供后期废紫外灯管暂存使用，严禁混堆。</w:t>
                  </w:r>
                </w:p>
              </w:tc>
              <w:tc>
                <w:tcPr>
                  <w:tcW w:w="440" w:type="pct"/>
                  <w:vAlign w:val="center"/>
                </w:tcPr>
                <w:p>
                  <w:pPr>
                    <w:pStyle w:val="22"/>
                    <w:pageBreakBefore w:val="0"/>
                    <w:kinsoku/>
                    <w:wordWrap/>
                    <w:topLinePunct w:val="0"/>
                    <w:bidi w:val="0"/>
                    <w:spacing w:after="0"/>
                    <w:ind w:left="0" w:leftChars="0" w:right="0" w:righ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firstLineChars="0"/>
                    <w:jc w:val="center"/>
                    <w:rPr>
                      <w:rFonts w:ascii="Times New Roman" w:hAnsi="Times New Roman" w:eastAsia="宋体" w:cs="Times New Roman"/>
                      <w:b/>
                      <w:bCs/>
                      <w:color w:val="auto"/>
                      <w:kern w:val="0"/>
                      <w:sz w:val="21"/>
                      <w:szCs w:val="21"/>
                      <w:highlight w:val="none"/>
                      <w:lang w:val="en-US" w:eastAsia="zh-CN" w:bidi="ar-SA"/>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地下水防范</w:t>
                  </w:r>
                </w:p>
              </w:tc>
              <w:tc>
                <w:tcPr>
                  <w:tcW w:w="3078"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重点防渗区：</w:t>
                  </w:r>
                  <w:r>
                    <w:rPr>
                      <w:color w:val="auto"/>
                      <w:highlight w:val="none"/>
                    </w:rPr>
                    <w:t>项目粗格栅及提升泵房、细格栅及旋流沉砂池、厌氧池、氧化沟、一期二沉池和污泥回流泵井等已采取基础及底板垫层C15防水混凝土+P6等级的C30防水混凝土进行重点防渗；危废暂存间地面及墙裙已采取基础及底板垫层C15防水混凝土+P6等级的C30防水混凝土+2mm环氧树脂进行重点防渗</w:t>
                  </w:r>
                </w:p>
                <w:p>
                  <w:pPr>
                    <w:pageBreakBefore w:val="0"/>
                    <w:kinsoku/>
                    <w:wordWrap/>
                    <w:topLinePunct w:val="0"/>
                    <w:bidi w:val="0"/>
                    <w:ind w:left="0" w:leftChars="0" w:right="0" w:rightChars="0"/>
                    <w:jc w:val="left"/>
                    <w:rPr>
                      <w:color w:val="auto"/>
                      <w:highlight w:val="none"/>
                    </w:rPr>
                  </w:pPr>
                  <w:r>
                    <w:rPr>
                      <w:b/>
                      <w:bCs/>
                      <w:color w:val="auto"/>
                      <w:highlight w:val="none"/>
                    </w:rPr>
                    <w:t>一般防渗区：</w:t>
                  </w:r>
                  <w:r>
                    <w:rPr>
                      <w:color w:val="auto"/>
                      <w:highlight w:val="none"/>
                    </w:rPr>
                    <w:t>项目配电房（含柴油发电机房）、综合大楼、机修及库房等已采取基础及底板垫层C15防水混凝土+C30混凝土</w:t>
                  </w:r>
                </w:p>
                <w:p>
                  <w:pPr>
                    <w:pageBreakBefore w:val="0"/>
                    <w:kinsoku/>
                    <w:wordWrap/>
                    <w:topLinePunct w:val="0"/>
                    <w:bidi w:val="0"/>
                    <w:ind w:left="0" w:leftChars="0" w:right="0" w:rightChars="0"/>
                    <w:jc w:val="left"/>
                    <w:rPr>
                      <w:color w:val="auto"/>
                      <w:highlight w:val="none"/>
                    </w:rPr>
                  </w:pPr>
                  <w:r>
                    <w:rPr>
                      <w:b/>
                      <w:bCs/>
                      <w:color w:val="auto"/>
                      <w:highlight w:val="none"/>
                    </w:rPr>
                    <w:t>简单防渗区：</w:t>
                  </w:r>
                  <w:r>
                    <w:rPr>
                      <w:color w:val="auto"/>
                      <w:highlight w:val="none"/>
                    </w:rPr>
                    <w:t>项目门卫及值班室、厂区道路等已采取地面硬化进行简单防渗</w:t>
                  </w:r>
                </w:p>
              </w:tc>
              <w:tc>
                <w:tcPr>
                  <w:tcW w:w="440"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环境风险</w:t>
                  </w:r>
                </w:p>
              </w:tc>
              <w:tc>
                <w:tcPr>
                  <w:tcW w:w="41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78"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重点防渗区：</w:t>
                  </w:r>
                  <w:r>
                    <w:rPr>
                      <w:color w:val="auto"/>
                      <w:highlight w:val="none"/>
                    </w:rPr>
                    <w:t>MBBR池、二沉池、污泥泵井、絮凝池、转鼓滤池、脱泥机房及加药间等采取基础及底板垫层C15防水混凝土+P6等级的C30防水混凝土，柴油发电机房地面采取基础及底板垫层C15防水混凝土+C30混凝土+2mm环氧树脂进行重点防渗</w:t>
                  </w:r>
                </w:p>
                <w:p>
                  <w:pPr>
                    <w:pageBreakBefore w:val="0"/>
                    <w:kinsoku/>
                    <w:wordWrap/>
                    <w:topLinePunct w:val="0"/>
                    <w:bidi w:val="0"/>
                    <w:ind w:left="0" w:leftChars="0" w:right="0" w:rightChars="0"/>
                    <w:jc w:val="left"/>
                    <w:rPr>
                      <w:color w:val="auto"/>
                      <w:highlight w:val="none"/>
                    </w:rPr>
                  </w:pPr>
                  <w:r>
                    <w:rPr>
                      <w:b/>
                      <w:bCs/>
                      <w:color w:val="auto"/>
                      <w:highlight w:val="none"/>
                    </w:rPr>
                    <w:t>一般防渗区：</w:t>
                  </w:r>
                  <w:r>
                    <w:rPr>
                      <w:color w:val="auto"/>
                      <w:highlight w:val="none"/>
                    </w:rPr>
                    <w:t>紫外线消毒渠、鼓风机房、进出水在线监测室等采取基础及底板垫层C15防水混凝土+C30混凝土</w:t>
                  </w:r>
                </w:p>
              </w:tc>
              <w:tc>
                <w:tcPr>
                  <w:tcW w:w="440"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11"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41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7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绿化</w:t>
                  </w:r>
                </w:p>
              </w:tc>
              <w:tc>
                <w:tcPr>
                  <w:tcW w:w="3078" w:type="pct"/>
                  <w:vAlign w:val="center"/>
                </w:tcPr>
                <w:p>
                  <w:pPr>
                    <w:pageBreakBefore w:val="0"/>
                    <w:kinsoku/>
                    <w:wordWrap/>
                    <w:topLinePunct w:val="0"/>
                    <w:bidi w:val="0"/>
                    <w:ind w:left="0" w:leftChars="0" w:right="0" w:rightChars="0"/>
                    <w:jc w:val="left"/>
                    <w:rPr>
                      <w:color w:val="auto"/>
                      <w:highlight w:val="none"/>
                    </w:rPr>
                  </w:pPr>
                  <w:r>
                    <w:rPr>
                      <w:color w:val="auto"/>
                      <w:highlight w:val="none"/>
                    </w:rPr>
                    <w:t>厂前区广场是绿化设计的重点，种植草皮及适宜本地气候植物，厂区围墙周边种植较为高大乔木，厂内以种植草皮花卉为主</w:t>
                  </w:r>
                </w:p>
              </w:tc>
              <w:tc>
                <w:tcPr>
                  <w:tcW w:w="44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41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一期已建</w:t>
                  </w: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2、主要构建筑物</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根据设计方案，项目构建筑物主要建设情况见下表。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lang w:bidi="ar"/>
              </w:rPr>
              <w:t>表2-3</w:t>
            </w:r>
            <w:r>
              <w:rPr>
                <w:rFonts w:hint="eastAsia" w:eastAsia="黑体"/>
                <w:color w:val="auto"/>
                <w:highlight w:val="none"/>
                <w:lang w:bidi="ar"/>
              </w:rPr>
              <w:t xml:space="preserve"> </w:t>
            </w:r>
            <w:r>
              <w:rPr>
                <w:rFonts w:eastAsia="黑体"/>
                <w:color w:val="auto"/>
                <w:highlight w:val="none"/>
                <w:lang w:bidi="ar"/>
              </w:rPr>
              <w:t>项目构建筑物工程一览表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3389"/>
              <w:gridCol w:w="3316"/>
              <w:gridCol w:w="749"/>
              <w:gridCol w:w="650"/>
              <w:gridCol w:w="1098"/>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序号</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名称</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规格</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单位</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数量</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结构形式</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粗格栅及提升泵房（合建）</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9.9×4.5×7.1/5.6×9.4×8.5m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设计规模2万m</w:t>
                  </w:r>
                  <w:r>
                    <w:rPr>
                      <w:color w:val="auto"/>
                      <w:highlight w:val="none"/>
                      <w:vertAlign w:val="superscript"/>
                      <w:lang w:bidi="ar"/>
                    </w:rPr>
                    <w:t>3</w:t>
                  </w:r>
                  <w:r>
                    <w:rPr>
                      <w:color w:val="auto"/>
                      <w:highlight w:val="none"/>
                      <w:lang w:bidi="ar"/>
                    </w:rPr>
                    <w:t>/d，土建利用现状，更换设备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细格栅及旋流沉砂池（合建）</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16.0×2.9×1.8m，∅2130</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设计规模2万m</w:t>
                  </w:r>
                  <w:r>
                    <w:rPr>
                      <w:color w:val="auto"/>
                      <w:highlight w:val="none"/>
                      <w:vertAlign w:val="superscript"/>
                      <w:lang w:bidi="ar"/>
                    </w:rPr>
                    <w:t>3</w:t>
                  </w:r>
                  <w:r>
                    <w:rPr>
                      <w:color w:val="auto"/>
                      <w:highlight w:val="none"/>
                      <w:lang w:bidi="ar"/>
                    </w:rPr>
                    <w:t>/d，土建利用现状，更换设备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厌氧池（现状）</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12.0×10.0×6.0m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设计规模1万m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氧化沟（现状）</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36.0×24.0×4.0m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设计规模1万m</w:t>
                  </w:r>
                  <w:r>
                    <w:rPr>
                      <w:color w:val="auto"/>
                      <w:highlight w:val="none"/>
                      <w:vertAlign w:val="superscript"/>
                      <w:lang w:bidi="ar"/>
                    </w:rPr>
                    <w:t>3</w:t>
                  </w:r>
                  <w:r>
                    <w:rPr>
                      <w:color w:val="auto"/>
                      <w:highlight w:val="none"/>
                      <w:lang w:bidi="ar"/>
                    </w:rPr>
                    <w:t>/d，土建利用现状，更换设备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MBBR池（新建）</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32.0×28.1×7.0m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设计规模1万m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6</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二沉池</w:t>
                  </w:r>
                  <w:r>
                    <w:rPr>
                      <w:color w:val="auto"/>
                      <w:kern w:val="2"/>
                      <w:sz w:val="21"/>
                      <w:highlight w:val="none"/>
                      <w:lang w:bidi="ar"/>
                    </w:rPr>
                    <w:t>（现状）</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∅29m，H=5.5m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设计规模1万m</w:t>
                  </w:r>
                  <w:r>
                    <w:rPr>
                      <w:color w:val="auto"/>
                      <w:highlight w:val="none"/>
                      <w:vertAlign w:val="superscript"/>
                    </w:rPr>
                    <w:t>3</w:t>
                  </w:r>
                  <w:r>
                    <w:rPr>
                      <w:color w:val="auto"/>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回流污泥泵井</w:t>
                  </w:r>
                  <w:r>
                    <w:rPr>
                      <w:color w:val="auto"/>
                      <w:kern w:val="2"/>
                      <w:sz w:val="21"/>
                      <w:highlight w:val="none"/>
                      <w:lang w:bidi="ar"/>
                    </w:rPr>
                    <w:t>（现状）</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6.5×5.5×5.1m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设计规模1万m</w:t>
                  </w:r>
                  <w:r>
                    <w:rPr>
                      <w:color w:val="auto"/>
                      <w:highlight w:val="none"/>
                      <w:vertAlign w:val="superscript"/>
                    </w:rPr>
                    <w:t>3</w:t>
                  </w:r>
                  <w:r>
                    <w:rPr>
                      <w:color w:val="auto"/>
                      <w:highlight w:val="none"/>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w:t>
                  </w:r>
                </w:p>
              </w:tc>
              <w:tc>
                <w:tcPr>
                  <w:tcW w:w="126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二沉池（新建）</w:t>
                  </w:r>
                </w:p>
              </w:tc>
              <w:tc>
                <w:tcPr>
                  <w:tcW w:w="12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∅23m，H=5.0m</w:t>
                  </w:r>
                </w:p>
              </w:tc>
              <w:tc>
                <w:tcPr>
                  <w:tcW w:w="27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4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vMerge w:val="restart"/>
                  <w:tcBorders>
                    <w:top w:val="single" w:color="auto" w:sz="4" w:space="0"/>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设计规模1万m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9</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污泥泵井（新建）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∅7m，H=5.05m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10</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絮凝池（新建）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14.7×11.8×6.0m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vMerge w:val="restar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合建，设计规模2万m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11</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转鼓滤池间（新建）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10.2×11.05×3.45m，地上建筑7.5m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vMerge w:val="continue"/>
                  <w:shd w:val="clear" w:color="auto" w:fill="auto"/>
                  <w:vAlign w:val="center"/>
                </w:tcPr>
                <w:p>
                  <w:pPr>
                    <w:pageBreakBefore w:val="0"/>
                    <w:kinsoku/>
                    <w:wordWrap/>
                    <w:topLinePunct w:val="0"/>
                    <w:bidi w:val="0"/>
                    <w:ind w:left="0" w:leftChars="0" w:right="0" w:rightChars="0"/>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12</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紫外线消毒渠（现状拆除）</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14.15×3.0×（2.9-1.75）m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13</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紫外线消毒渠（新建）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12.35×3.4×1.56m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设计规模2万m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14</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脱泥机房及加药间（现状拆除）</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18.6×7.2×6.6m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15</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脱泥机房及加药间（新建）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35.0×15.0×9.0m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lang w:bidi="ar"/>
                    </w:rPr>
                    <w:t>设计规模2万m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16</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贮泥池（现状拆除）</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5.25×3.0×5.1m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lang w:bidi="ar"/>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17</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贮泥池（新建）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6.3×3.0×3.3m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座</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钢筋砼</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设计规模2万m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18</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鼓风机房（新建）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13.2×7.8×7.2m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设计规模2万m</w:t>
                  </w:r>
                  <w:r>
                    <w:rPr>
                      <w:color w:val="auto"/>
                      <w:highlight w:val="none"/>
                      <w:vertAlign w:val="superscript"/>
                      <w:lang w:bidi="ar"/>
                    </w:rPr>
                    <w:t>3</w:t>
                  </w:r>
                  <w:r>
                    <w:rPr>
                      <w:color w:val="auto"/>
                      <w:highlight w:val="none"/>
                      <w:lang w:bidi="ar"/>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19</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进、出水在线监测室（新建）</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5.0×5.0×4.2m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进水、出水各1栋，含危废间，现状在线监测板房拆除，监测仪表，利旧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机修及库房（现有）</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1F，15.6×6.0×5.1m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21</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配电房（现有）</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1F，</w:t>
                  </w:r>
                  <w:r>
                    <w:rPr>
                      <w:color w:val="auto"/>
                      <w:highlight w:val="none"/>
                    </w:rPr>
                    <w:t>20.1×10.8×4.5m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22</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危废暂存间（现有）</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1F，50m</w:t>
                  </w:r>
                  <w:r>
                    <w:rPr>
                      <w:color w:val="auto"/>
                      <w:highlight w:val="none"/>
                      <w:vertAlign w:val="superscript"/>
                      <w:lang w:bidi="ar"/>
                    </w:rPr>
                    <w:t>2</w:t>
                  </w:r>
                  <w:r>
                    <w:rPr>
                      <w:color w:val="auto"/>
                      <w:highlight w:val="none"/>
                    </w:rPr>
                    <w:t>×3.0m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23</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综合大楼（现有）</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2F，36.0×12.0×7.2m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24</w:t>
                  </w:r>
                </w:p>
              </w:tc>
              <w:tc>
                <w:tcPr>
                  <w:tcW w:w="126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门卫及值班室（现有）</w:t>
                  </w:r>
                </w:p>
              </w:tc>
              <w:tc>
                <w:tcPr>
                  <w:tcW w:w="123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4.2×3.9×3.2m</w:t>
                  </w:r>
                </w:p>
              </w:tc>
              <w:tc>
                <w:tcPr>
                  <w:tcW w:w="27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栋</w:t>
                  </w:r>
                </w:p>
              </w:tc>
              <w:tc>
                <w:tcPr>
                  <w:tcW w:w="24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4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框架</w:t>
                  </w:r>
                </w:p>
              </w:tc>
              <w:tc>
                <w:tcPr>
                  <w:tcW w:w="129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利旧</w:t>
                  </w: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四、主要生产设备及原辅材料</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1、主要设备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根据建设单位提供的设计资料，现有项目的设备继续使用，本次项目的设备均为新增，具体设备见下表。</w:t>
            </w:r>
          </w:p>
          <w:p>
            <w:pPr>
              <w:pageBreakBefore w:val="0"/>
              <w:kinsoku/>
              <w:wordWrap/>
              <w:topLinePunct w:val="0"/>
              <w:bidi w:val="0"/>
              <w:spacing w:line="360" w:lineRule="auto"/>
              <w:ind w:left="0" w:leftChars="0" w:right="0" w:rightChars="0"/>
              <w:jc w:val="center"/>
              <w:rPr>
                <w:rFonts w:eastAsia="黑体"/>
                <w:color w:val="auto"/>
                <w:highlight w:val="none"/>
              </w:rPr>
            </w:pPr>
          </w:p>
          <w:p>
            <w:pPr>
              <w:pageBreakBefore w:val="0"/>
              <w:kinsoku/>
              <w:wordWrap/>
              <w:topLinePunct w:val="0"/>
              <w:bidi w:val="0"/>
              <w:spacing w:line="360" w:lineRule="auto"/>
              <w:ind w:left="0" w:leftChars="0" w:right="0" w:rightChars="0"/>
              <w:jc w:val="center"/>
              <w:rPr>
                <w:rFonts w:eastAsia="黑体"/>
                <w:color w:val="auto"/>
                <w:highlight w:val="none"/>
              </w:rPr>
            </w:pP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表2-4</w:t>
            </w:r>
            <w:r>
              <w:rPr>
                <w:rFonts w:hint="eastAsia" w:eastAsia="黑体"/>
                <w:color w:val="auto"/>
                <w:highlight w:val="none"/>
              </w:rPr>
              <w:t xml:space="preserve"> </w:t>
            </w:r>
            <w:r>
              <w:rPr>
                <w:rFonts w:eastAsia="黑体"/>
                <w:color w:val="auto"/>
                <w:highlight w:val="none"/>
              </w:rPr>
              <w:t>本项目主要生产单元及生产设施表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737"/>
              <w:gridCol w:w="4222"/>
              <w:gridCol w:w="733"/>
              <w:gridCol w:w="704"/>
              <w:gridCol w:w="736"/>
              <w:gridCol w:w="3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构筑物</w:t>
                  </w:r>
                </w:p>
              </w:tc>
              <w:tc>
                <w:tcPr>
                  <w:tcW w:w="1018"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设备名称</w:t>
                  </w:r>
                </w:p>
              </w:tc>
              <w:tc>
                <w:tcPr>
                  <w:tcW w:w="1571"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型号及规格</w:t>
                  </w:r>
                </w:p>
              </w:tc>
              <w:tc>
                <w:tcPr>
                  <w:tcW w:w="809" w:type="pct"/>
                  <w:gridSpan w:val="3"/>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设备台套数</w:t>
                  </w:r>
                </w:p>
              </w:tc>
              <w:tc>
                <w:tcPr>
                  <w:tcW w:w="1355"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b/>
                      <w:bCs/>
                      <w:color w:val="auto"/>
                      <w:highlight w:val="none"/>
                    </w:rPr>
                  </w:pPr>
                </w:p>
              </w:tc>
              <w:tc>
                <w:tcPr>
                  <w:tcW w:w="1018" w:type="pct"/>
                  <w:vMerge w:val="continue"/>
                  <w:vAlign w:val="center"/>
                </w:tcPr>
                <w:p>
                  <w:pPr>
                    <w:pageBreakBefore w:val="0"/>
                    <w:kinsoku/>
                    <w:wordWrap/>
                    <w:topLinePunct w:val="0"/>
                    <w:bidi w:val="0"/>
                    <w:ind w:left="0" w:leftChars="0" w:right="0" w:rightChars="0"/>
                    <w:jc w:val="center"/>
                    <w:rPr>
                      <w:b/>
                      <w:bCs/>
                      <w:color w:val="auto"/>
                      <w:highlight w:val="none"/>
                    </w:rPr>
                  </w:pPr>
                </w:p>
              </w:tc>
              <w:tc>
                <w:tcPr>
                  <w:tcW w:w="1571" w:type="pct"/>
                  <w:vMerge w:val="continue"/>
                  <w:vAlign w:val="center"/>
                </w:tcPr>
                <w:p>
                  <w:pPr>
                    <w:pageBreakBefore w:val="0"/>
                    <w:kinsoku/>
                    <w:wordWrap/>
                    <w:topLinePunct w:val="0"/>
                    <w:bidi w:val="0"/>
                    <w:ind w:left="0" w:leftChars="0" w:right="0" w:rightChars="0"/>
                    <w:jc w:val="center"/>
                    <w:rPr>
                      <w:b/>
                      <w:bCs/>
                      <w:color w:val="auto"/>
                      <w:highlight w:val="none"/>
                    </w:rPr>
                  </w:pPr>
                </w:p>
              </w:tc>
              <w:tc>
                <w:tcPr>
                  <w:tcW w:w="27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扩建前</w:t>
                  </w:r>
                </w:p>
              </w:tc>
              <w:tc>
                <w:tcPr>
                  <w:tcW w:w="262"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扩建后</w:t>
                  </w:r>
                </w:p>
              </w:tc>
              <w:tc>
                <w:tcPr>
                  <w:tcW w:w="27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新增</w:t>
                  </w:r>
                </w:p>
              </w:tc>
              <w:tc>
                <w:tcPr>
                  <w:tcW w:w="1355" w:type="pct"/>
                  <w:vMerge w:val="continue"/>
                  <w:vAlign w:val="center"/>
                </w:tcPr>
                <w:p>
                  <w:pPr>
                    <w:pageBreakBefore w:val="0"/>
                    <w:kinsoku/>
                    <w:wordWrap/>
                    <w:topLinePunct w:val="0"/>
                    <w:bidi w:val="0"/>
                    <w:ind w:left="0" w:leftChars="0" w:right="0" w:rightChars="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粗格栅井及提升泵房</w:t>
                  </w: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回转式粗格栅机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B=0.8m，渠深7.1m，水深1.05m，N=1.5kW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回转式粗格栅机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B=0.7m</w:t>
                  </w:r>
                  <w:r>
                    <w:rPr>
                      <w:rStyle w:val="46"/>
                      <w:rFonts w:hint="default" w:ascii="Times New Roman" w:hAnsi="Times New Roman" w:cs="Times New Roman"/>
                      <w:color w:val="auto"/>
                      <w:sz w:val="21"/>
                      <w:szCs w:val="21"/>
                      <w:highlight w:val="none"/>
                      <w:lang w:bidi="ar"/>
                    </w:rPr>
                    <w:t>，</w:t>
                  </w:r>
                  <w:r>
                    <w:rPr>
                      <w:color w:val="auto"/>
                      <w:kern w:val="0"/>
                      <w:highlight w:val="none"/>
                      <w:lang w:bidi="ar"/>
                    </w:rPr>
                    <w:t>b=20mm</w:t>
                  </w:r>
                  <w:r>
                    <w:rPr>
                      <w:rStyle w:val="46"/>
                      <w:rFonts w:hint="default" w:ascii="Times New Roman" w:hAnsi="Times New Roman" w:cs="Times New Roman"/>
                      <w:color w:val="auto"/>
                      <w:sz w:val="21"/>
                      <w:szCs w:val="21"/>
                      <w:highlight w:val="none"/>
                      <w:lang w:bidi="ar"/>
                    </w:rPr>
                    <w:t>，</w:t>
                  </w:r>
                  <w:r>
                    <w:rPr>
                      <w:color w:val="auto"/>
                      <w:kern w:val="0"/>
                      <w:highlight w:val="none"/>
                      <w:lang w:bidi="ar"/>
                    </w:rPr>
                    <w:t>α=75°</w:t>
                  </w:r>
                  <w:r>
                    <w:rPr>
                      <w:rStyle w:val="46"/>
                      <w:rFonts w:hint="default" w:ascii="Times New Roman" w:hAnsi="Times New Roman" w:cs="Times New Roman"/>
                      <w:color w:val="auto"/>
                      <w:sz w:val="21"/>
                      <w:szCs w:val="21"/>
                      <w:highlight w:val="none"/>
                      <w:lang w:bidi="ar"/>
                    </w:rPr>
                    <w:t>，</w:t>
                  </w:r>
                  <w:r>
                    <w:rPr>
                      <w:color w:val="auto"/>
                      <w:kern w:val="0"/>
                      <w:highlight w:val="none"/>
                      <w:lang w:bidi="ar"/>
                    </w:rPr>
                    <w:t>H=9.10m</w:t>
                  </w:r>
                  <w:r>
                    <w:rPr>
                      <w:rStyle w:val="46"/>
                      <w:rFonts w:hint="default" w:ascii="Times New Roman" w:hAnsi="Times New Roman" w:cs="Times New Roman"/>
                      <w:color w:val="auto"/>
                      <w:sz w:val="21"/>
                      <w:szCs w:val="21"/>
                      <w:highlight w:val="none"/>
                      <w:lang w:bidi="ar"/>
                    </w:rPr>
                    <w:t>（池内深），</w:t>
                  </w:r>
                  <w:r>
                    <w:rPr>
                      <w:color w:val="auto"/>
                      <w:kern w:val="0"/>
                      <w:highlight w:val="none"/>
                      <w:lang w:bidi="ar"/>
                    </w:rPr>
                    <w:t>N=1.5kW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0台</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潜水泵</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单泵流量Q=315m</w:t>
                  </w:r>
                  <w:r>
                    <w:rPr>
                      <w:color w:val="auto"/>
                      <w:highlight w:val="none"/>
                      <w:vertAlign w:val="superscript"/>
                    </w:rPr>
                    <w:t>3</w:t>
                  </w:r>
                  <w:r>
                    <w:rPr>
                      <w:color w:val="auto"/>
                      <w:highlight w:val="none"/>
                    </w:rPr>
                    <w:t>/h，扬程H=15m，N=30kW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2台</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潜水泵</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单泵流量Q=525m</w:t>
                  </w:r>
                  <w:r>
                    <w:rPr>
                      <w:color w:val="auto"/>
                      <w:highlight w:val="none"/>
                      <w:vertAlign w:val="superscript"/>
                    </w:rPr>
                    <w:t>3</w:t>
                  </w:r>
                  <w:r>
                    <w:rPr>
                      <w:color w:val="auto"/>
                      <w:highlight w:val="none"/>
                    </w:rPr>
                    <w:t>/h，扬程H=15m，N=37kW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4台</w:t>
                  </w:r>
                </w:p>
              </w:tc>
              <w:tc>
                <w:tcPr>
                  <w:tcW w:w="273" w:type="pct"/>
                  <w:vAlign w:val="center"/>
                </w:tcPr>
                <w:p>
                  <w:pPr>
                    <w:pageBreakBefore w:val="0"/>
                    <w:kinsoku/>
                    <w:wordWrap/>
                    <w:topLinePunct w:val="0"/>
                    <w:bidi w:val="0"/>
                    <w:ind w:left="0" w:leftChars="0" w:right="0" w:rightChars="0"/>
                    <w:jc w:val="center"/>
                    <w:rPr>
                      <w:b/>
                      <w:bCs/>
                      <w:color w:val="auto"/>
                      <w:highlight w:val="none"/>
                    </w:rPr>
                  </w:pPr>
                  <w:r>
                    <w:rPr>
                      <w:color w:val="auto"/>
                      <w:highlight w:val="none"/>
                    </w:rPr>
                    <w:t>4台</w:t>
                  </w:r>
                </w:p>
              </w:tc>
              <w:tc>
                <w:tcPr>
                  <w:tcW w:w="1355" w:type="pct"/>
                  <w:vAlign w:val="center"/>
                </w:tcPr>
                <w:p>
                  <w:pPr>
                    <w:pageBreakBefore w:val="0"/>
                    <w:kinsoku/>
                    <w:wordWrap/>
                    <w:topLinePunct w:val="0"/>
                    <w:bidi w:val="0"/>
                    <w:ind w:left="0" w:leftChars="0" w:right="0" w:rightChars="0"/>
                    <w:jc w:val="center"/>
                    <w:rPr>
                      <w:color w:val="auto"/>
                      <w:kern w:val="0"/>
                      <w:highlight w:val="none"/>
                      <w:lang w:bidi="ar"/>
                    </w:rPr>
                  </w:pPr>
                  <w:r>
                    <w:rPr>
                      <w:color w:val="auto"/>
                      <w:kern w:val="0"/>
                      <w:highlight w:val="none"/>
                      <w:lang w:bidi="ar"/>
                    </w:rPr>
                    <w:t>3用1备，更换现状潜污泵，配控制柜，进口或合资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细格栅及旋流沉砂池</w:t>
                  </w: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循环齿耙式格栅除污机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B=1.1m，H=1.4m，b=5min，</w:t>
                  </w:r>
                  <w:r>
                    <w:rPr>
                      <w:color w:val="auto"/>
                      <w:kern w:val="0"/>
                      <w:highlight w:val="none"/>
                      <w:lang w:bidi="ar"/>
                    </w:rPr>
                    <w:t>α=60°，N=1.1</w:t>
                  </w:r>
                  <w:r>
                    <w:rPr>
                      <w:color w:val="auto"/>
                      <w:highlight w:val="none"/>
                    </w:rPr>
                    <w:t>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2台</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循环齿耙式格栅除污机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B=1.2m</w:t>
                  </w:r>
                  <w:r>
                    <w:rPr>
                      <w:rStyle w:val="46"/>
                      <w:rFonts w:hint="default" w:ascii="Times New Roman" w:hAnsi="Times New Roman" w:cs="Times New Roman"/>
                      <w:color w:val="auto"/>
                      <w:sz w:val="21"/>
                      <w:szCs w:val="21"/>
                      <w:highlight w:val="none"/>
                      <w:lang w:bidi="ar"/>
                    </w:rPr>
                    <w:t>，</w:t>
                  </w:r>
                  <w:r>
                    <w:rPr>
                      <w:color w:val="auto"/>
                      <w:kern w:val="0"/>
                      <w:highlight w:val="none"/>
                      <w:lang w:bidi="ar"/>
                    </w:rPr>
                    <w:t>e=5mm</w:t>
                  </w:r>
                  <w:r>
                    <w:rPr>
                      <w:rStyle w:val="46"/>
                      <w:rFonts w:hint="default" w:ascii="Times New Roman" w:hAnsi="Times New Roman" w:cs="Times New Roman"/>
                      <w:color w:val="auto"/>
                      <w:sz w:val="21"/>
                      <w:szCs w:val="21"/>
                      <w:highlight w:val="none"/>
                      <w:lang w:bidi="ar"/>
                    </w:rPr>
                    <w:t>，</w:t>
                  </w:r>
                  <w:r>
                    <w:rPr>
                      <w:color w:val="auto"/>
                      <w:kern w:val="0"/>
                      <w:highlight w:val="none"/>
                      <w:lang w:bidi="ar"/>
                    </w:rPr>
                    <w:t>α=75°</w:t>
                  </w:r>
                  <w:r>
                    <w:rPr>
                      <w:rStyle w:val="46"/>
                      <w:rFonts w:hint="default" w:ascii="Times New Roman" w:hAnsi="Times New Roman" w:cs="Times New Roman"/>
                      <w:color w:val="auto"/>
                      <w:sz w:val="21"/>
                      <w:szCs w:val="21"/>
                      <w:highlight w:val="none"/>
                      <w:lang w:bidi="ar"/>
                    </w:rPr>
                    <w:t>，</w:t>
                  </w:r>
                  <w:r>
                    <w:rPr>
                      <w:color w:val="auto"/>
                      <w:kern w:val="0"/>
                      <w:highlight w:val="none"/>
                      <w:lang w:bidi="ar"/>
                    </w:rPr>
                    <w:t>H=1.8m</w:t>
                  </w:r>
                  <w:r>
                    <w:rPr>
                      <w:rStyle w:val="46"/>
                      <w:rFonts w:hint="default" w:ascii="Times New Roman" w:hAnsi="Times New Roman" w:cs="Times New Roman"/>
                      <w:color w:val="auto"/>
                      <w:sz w:val="21"/>
                      <w:szCs w:val="21"/>
                      <w:highlight w:val="none"/>
                      <w:lang w:bidi="ar"/>
                    </w:rPr>
                    <w:t>，</w:t>
                  </w:r>
                  <w:r>
                    <w:rPr>
                      <w:color w:val="auto"/>
                      <w:kern w:val="0"/>
                      <w:highlight w:val="none"/>
                      <w:lang w:bidi="ar"/>
                    </w:rPr>
                    <w:t>N=1.1kW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2台</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2台</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螺旋砂水分离器</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Q=5～12L/s，N=0.37kW，v=5r/min</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355" w:type="pct"/>
                  <w:vAlign w:val="center"/>
                </w:tcPr>
                <w:p>
                  <w:pPr>
                    <w:pageBreakBefore w:val="0"/>
                    <w:kinsoku/>
                    <w:wordWrap/>
                    <w:topLinePunct w:val="0"/>
                    <w:bidi w:val="0"/>
                    <w:ind w:left="0" w:leftChars="0" w:right="0" w:rightChars="0"/>
                    <w:jc w:val="center"/>
                    <w:rPr>
                      <w:b/>
                      <w:bCs/>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螺旋砂水分离器</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Q=5～12L/s，N=0.37kW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1台</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1台</w:t>
                  </w:r>
                </w:p>
              </w:tc>
              <w:tc>
                <w:tcPr>
                  <w:tcW w:w="1355" w:type="pct"/>
                  <w:vAlign w:val="center"/>
                </w:tcPr>
                <w:p>
                  <w:pPr>
                    <w:pageBreakBefore w:val="0"/>
                    <w:kinsoku/>
                    <w:wordWrap/>
                    <w:topLinePunct w:val="0"/>
                    <w:bidi w:val="0"/>
                    <w:ind w:left="0" w:leftChars="0" w:right="0" w:rightChars="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无轴螺旋输送机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H=350，L=2.5m，</w:t>
                  </w:r>
                  <w:r>
                    <w:rPr>
                      <w:color w:val="auto"/>
                      <w:kern w:val="0"/>
                      <w:highlight w:val="none"/>
                      <w:lang w:bidi="ar"/>
                    </w:rPr>
                    <w:t>N=1.5</w:t>
                  </w:r>
                  <w:r>
                    <w:rPr>
                      <w:color w:val="auto"/>
                      <w:highlight w:val="none"/>
                    </w:rPr>
                    <w:t>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1台</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1台</w:t>
                  </w:r>
                </w:p>
              </w:tc>
              <w:tc>
                <w:tcPr>
                  <w:tcW w:w="1355" w:type="pct"/>
                  <w:vAlign w:val="center"/>
                </w:tcPr>
                <w:p>
                  <w:pPr>
                    <w:pageBreakBefore w:val="0"/>
                    <w:kinsoku/>
                    <w:wordWrap/>
                    <w:topLinePunct w:val="0"/>
                    <w:bidi w:val="0"/>
                    <w:ind w:left="0" w:leftChars="0" w:right="0" w:rightChars="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罗茨风机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Q=2.4m</w:t>
                  </w:r>
                  <w:r>
                    <w:rPr>
                      <w:color w:val="auto"/>
                      <w:highlight w:val="none"/>
                      <w:vertAlign w:val="superscript"/>
                    </w:rPr>
                    <w:t>3</w:t>
                  </w:r>
                  <w:r>
                    <w:rPr>
                      <w:color w:val="auto"/>
                      <w:highlight w:val="none"/>
                    </w:rPr>
                    <w:t>/h，风压=39.2KPa，N=2.2kW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2台</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2台</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液位差计</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0～0.5m</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4台</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4台</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pH计/T</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4～14pH</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1套</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SS仪</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0～500mg/L</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1套</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钟式提砂装置</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∅=3050mm，</w:t>
                  </w:r>
                  <w:r>
                    <w:rPr>
                      <w:color w:val="auto"/>
                      <w:highlight w:val="none"/>
                    </w:rPr>
                    <w:t>Q=115m</w:t>
                  </w:r>
                  <w:r>
                    <w:rPr>
                      <w:color w:val="auto"/>
                      <w:highlight w:val="none"/>
                      <w:vertAlign w:val="superscript"/>
                    </w:rPr>
                    <w:t>3</w:t>
                  </w:r>
                  <w:r>
                    <w:rPr>
                      <w:color w:val="auto"/>
                      <w:highlight w:val="none"/>
                    </w:rPr>
                    <w:t>/h，叶轮转速12～20r/min，N=1.1kW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厌氧池</w:t>
                  </w: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潜水搅拌器</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φ</w:t>
                  </w:r>
                  <w:r>
                    <w:rPr>
                      <w:color w:val="auto"/>
                      <w:kern w:val="0"/>
                      <w:highlight w:val="none"/>
                      <w:lang w:bidi="ar"/>
                    </w:rPr>
                    <w:t>=180，</w:t>
                  </w:r>
                  <w:r>
                    <w:rPr>
                      <w:color w:val="auto"/>
                      <w:highlight w:val="none"/>
                    </w:rPr>
                    <w:t>η=1350rpm，N=2.2kW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置于厌氧池，螺栓固定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ORP仪</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-500</w:t>
                  </w:r>
                  <w:r>
                    <w:rPr>
                      <w:color w:val="auto"/>
                      <w:kern w:val="0"/>
                      <w:highlight w:val="none"/>
                      <w:lang w:bidi="ar"/>
                    </w:rPr>
                    <w:t>mV</w:t>
                  </w:r>
                  <w:r>
                    <w:rPr>
                      <w:color w:val="auto"/>
                      <w:highlight w:val="none"/>
                    </w:rPr>
                    <w:t>～+500</w:t>
                  </w:r>
                  <w:r>
                    <w:rPr>
                      <w:color w:val="auto"/>
                      <w:kern w:val="0"/>
                      <w:highlight w:val="none"/>
                      <w:lang w:bidi="ar"/>
                    </w:rPr>
                    <w:t>mV</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氧化沟</w:t>
                  </w: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转盘曝气机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N=11kW，转盘数17，水平转跨度3.7m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倒伞形表曝机</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叶轮直径2250mm，N=22kW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管式微孔曝气器</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外径63mm，L=1m，8～10m</w:t>
                  </w:r>
                  <w:r>
                    <w:rPr>
                      <w:color w:val="auto"/>
                      <w:highlight w:val="none"/>
                      <w:vertAlign w:val="superscript"/>
                    </w:rPr>
                    <w:t>3</w:t>
                  </w:r>
                  <w:r>
                    <w:rPr>
                      <w:color w:val="auto"/>
                      <w:highlight w:val="none"/>
                    </w:rPr>
                    <w:t>/m·h，微孔孔径1.1mm，气泡直径≤2.1mm，氧利用效率≥35%（4m水深），充氧能力≥1.5kgO</w:t>
                  </w:r>
                  <w:r>
                    <w:rPr>
                      <w:color w:val="auto"/>
                      <w:highlight w:val="none"/>
                      <w:vertAlign w:val="subscript"/>
                    </w:rPr>
                    <w:t>2</w:t>
                  </w:r>
                  <w:r>
                    <w:rPr>
                      <w:color w:val="auto"/>
                      <w:highlight w:val="none"/>
                    </w:rPr>
                    <w:t>/m</w:t>
                  </w:r>
                  <w:r>
                    <w:rPr>
                      <w:color w:val="auto"/>
                      <w:highlight w:val="none"/>
                      <w:vertAlign w:val="superscript"/>
                    </w:rPr>
                    <w:t>3</w:t>
                  </w:r>
                  <w:r>
                    <w:rPr>
                      <w:color w:val="auto"/>
                      <w:highlight w:val="none"/>
                    </w:rPr>
                    <w:t>·h</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512个</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512个</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曝气器管道、管配件及连接件均由曝气器厂家成套提供并指导安装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推进器</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φ</w:t>
                  </w:r>
                  <w:r>
                    <w:rPr>
                      <w:color w:val="auto"/>
                      <w:kern w:val="0"/>
                      <w:highlight w:val="none"/>
                      <w:lang w:bidi="ar"/>
                    </w:rPr>
                    <w:t>=2200，</w:t>
                  </w:r>
                  <w:r>
                    <w:rPr>
                      <w:color w:val="auto"/>
                      <w:highlight w:val="none"/>
                    </w:rPr>
                    <w:t>N=2.2kW</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6套</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置于缺氧池、好氧池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矩形活动堰板</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2.0×1.0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DO仪</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0-10mg/L</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MLSS仪</w:t>
                  </w:r>
                </w:p>
              </w:tc>
              <w:tc>
                <w:tcPr>
                  <w:tcW w:w="157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0-10g/L</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MBBR池</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水下搅拌器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额定功率3.5kW，桨叶直径∅500，F≥800N，转速306L/min</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进口或合资，用于预脱硝区；2用1备，冷备用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水下搅拌器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叶轮直径∅=600，F≥1340N，N=6.5kW，n=293rpm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进口或合资，用于厌氧区；2用1备，冷备用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潜水推流器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叶轮直径∅=2100，F≥2450N，N=3.5kW，n=44rpm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进口或合资，用于缺氧区；4用1备，冷备用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潜水推流器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N=5.0kW（参考）</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进口或合资，用于好氧区；4用1备，冷备用；需由MBBR填料厂家二次设计后配套提供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内回流泵（浆叶式）</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Q=210m</w:t>
                  </w:r>
                  <w:r>
                    <w:rPr>
                      <w:color w:val="auto"/>
                      <w:kern w:val="0"/>
                      <w:highlight w:val="none"/>
                      <w:vertAlign w:val="superscript"/>
                      <w:lang w:bidi="ar"/>
                    </w:rPr>
                    <w:t>3</w:t>
                  </w:r>
                  <w:r>
                    <w:rPr>
                      <w:color w:val="auto"/>
                      <w:kern w:val="0"/>
                      <w:highlight w:val="none"/>
                      <w:lang w:bidi="ar"/>
                    </w:rPr>
                    <w:t>/h，H=1.0m，N=3.0kW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4用1备，冷备用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回流污泥泵（轴流泵）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Q=210m</w:t>
                  </w:r>
                  <w:r>
                    <w:rPr>
                      <w:color w:val="auto"/>
                      <w:kern w:val="0"/>
                      <w:highlight w:val="none"/>
                      <w:vertAlign w:val="superscript"/>
                      <w:lang w:bidi="ar"/>
                    </w:rPr>
                    <w:t>3</w:t>
                  </w:r>
                  <w:r>
                    <w:rPr>
                      <w:color w:val="auto"/>
                      <w:kern w:val="0"/>
                      <w:highlight w:val="none"/>
                      <w:lang w:bidi="ar"/>
                    </w:rPr>
                    <w:t>/h，H=4.0m，N=5.5kW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2用1备，冷备用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剩余污泥泵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Q=11m</w:t>
                  </w:r>
                  <w:r>
                    <w:rPr>
                      <w:color w:val="auto"/>
                      <w:kern w:val="0"/>
                      <w:highlight w:val="none"/>
                      <w:vertAlign w:val="superscript"/>
                      <w:lang w:bidi="ar"/>
                    </w:rPr>
                    <w:t>3</w:t>
                  </w:r>
                  <w:r>
                    <w:rPr>
                      <w:color w:val="auto"/>
                      <w:kern w:val="0"/>
                      <w:highlight w:val="none"/>
                      <w:lang w:bidi="ar"/>
                    </w:rPr>
                    <w:t>/h，H=15.0m，N=1.5kW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电动葫芦</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MD{1}1电动葫芦，N=（1.5+0.4）kW，运行电机N=0.4×2kW，T=1.0t，H=9m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手动方形铸铁镶铜闸板</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A×B=500×400，附壁式，反向受力</w:t>
                  </w:r>
                  <w:r>
                    <w:rPr>
                      <w:color w:val="auto"/>
                      <w:kern w:val="0"/>
                      <w:highlight w:val="none"/>
                      <w:lang w:bidi="ar"/>
                    </w:rPr>
                    <w:br w:type="textWrapping"/>
                  </w:r>
                  <w:r>
                    <w:rPr>
                      <w:color w:val="auto"/>
                      <w:kern w:val="0"/>
                      <w:highlight w:val="none"/>
                      <w:lang w:bidi="ar"/>
                    </w:rPr>
                    <w:t>H=1500，H{水头}=850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用于曝气池进水渠，附启闭机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手动方形铸铁镶铜闸板</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A×B=900×400，附壁式，反向受力，H=1500，H{水头}=850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用于污泥回流渠，附启闭机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手动圆形铸铁镶铜闸板</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∅600，法兰式，双向受力∅600，H=4750mm，H{水头}=3550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用于曝气池出水井，附启闭机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MLSS仪</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0～20g/L，机械清洗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安装于回流污泥泵井内，统计于自控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DO仪</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0～5mg/L</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ORP仪</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-500mV～+500mV</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8套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8套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MLSS仪</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0～20g/L，机械清洗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移动式潜污泵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Q=100m</w:t>
                  </w:r>
                  <w:r>
                    <w:rPr>
                      <w:color w:val="auto"/>
                      <w:kern w:val="0"/>
                      <w:highlight w:val="none"/>
                      <w:vertAlign w:val="superscript"/>
                      <w:lang w:bidi="ar"/>
                    </w:rPr>
                    <w:t>3</w:t>
                  </w:r>
                  <w:r>
                    <w:rPr>
                      <w:color w:val="auto"/>
                      <w:kern w:val="0"/>
                      <w:highlight w:val="none"/>
                      <w:lang w:bidi="ar"/>
                    </w:rPr>
                    <w:t>/h，H=8m，N=4.0kW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放空用，备于库房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悬浮填料</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∅25×12mm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350m</w:t>
                  </w:r>
                  <w:r>
                    <w:rPr>
                      <w:color w:val="auto"/>
                      <w:kern w:val="0"/>
                      <w:highlight w:val="none"/>
                      <w:vertAlign w:val="superscript"/>
                      <w:lang w:bidi="ar"/>
                    </w:rPr>
                    <w:t>3</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350m</w:t>
                  </w:r>
                  <w:r>
                    <w:rPr>
                      <w:color w:val="auto"/>
                      <w:kern w:val="0"/>
                      <w:highlight w:val="none"/>
                      <w:vertAlign w:val="superscript"/>
                      <w:lang w:bidi="ar"/>
                    </w:rPr>
                    <w:t>3</w:t>
                  </w:r>
                </w:p>
              </w:tc>
              <w:tc>
                <w:tcPr>
                  <w:tcW w:w="1355"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该部分工程内容以及好氧池推流器应整体打包，施工前应先确认悬浮填料厂家，并由其进行二次设计，复核无误后方可施工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进水拦截筛网</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平板型，每套10平方米</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出水拦截筛网</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平板型，每套10平方米</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管式微孔曝气器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有效长度1m，氧转移效率不低于31%，通气量范围40～327L/min</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300个</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300个</w:t>
                  </w:r>
                </w:p>
              </w:tc>
              <w:tc>
                <w:tcPr>
                  <w:tcW w:w="1355"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二沉池及污泥回流泵井（一期）</w:t>
                  </w: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中心传动刮吸泥机</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φ</w:t>
                  </w:r>
                  <w:r>
                    <w:rPr>
                      <w:color w:val="auto"/>
                      <w:kern w:val="0"/>
                      <w:highlight w:val="none"/>
                      <w:lang w:bidi="ar"/>
                    </w:rPr>
                    <w:t>=29，N=0.75kW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1台</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潜污泵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Q=420m</w:t>
                  </w:r>
                  <w:r>
                    <w:rPr>
                      <w:color w:val="auto"/>
                      <w:kern w:val="0"/>
                      <w:highlight w:val="none"/>
                      <w:vertAlign w:val="superscript"/>
                      <w:lang w:bidi="ar"/>
                    </w:rPr>
                    <w:t>3</w:t>
                  </w:r>
                  <w:r>
                    <w:rPr>
                      <w:color w:val="auto"/>
                      <w:kern w:val="0"/>
                      <w:highlight w:val="none"/>
                      <w:lang w:bidi="ar"/>
                    </w:rPr>
                    <w:t>/h，H=7m，N=15kW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手动套筒式排泥阀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DN500，最大启闭高度1000mm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配备手动启闭机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超声波液位计</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剩余污泥泵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Q=25m</w:t>
                  </w:r>
                  <w:r>
                    <w:rPr>
                      <w:color w:val="auto"/>
                      <w:kern w:val="0"/>
                      <w:highlight w:val="none"/>
                      <w:vertAlign w:val="superscript"/>
                      <w:lang w:bidi="ar"/>
                    </w:rPr>
                    <w:t>3</w:t>
                  </w:r>
                  <w:r>
                    <w:rPr>
                      <w:color w:val="auto"/>
                      <w:kern w:val="0"/>
                      <w:highlight w:val="none"/>
                      <w:lang w:bidi="ar"/>
                    </w:rPr>
                    <w:t>/h，H=5m，N=3kW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冷备一台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二沉池及污泥泵井（二期）</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半桥式周边传动刮泥机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池内径∅</w:t>
                  </w:r>
                  <w:r>
                    <w:rPr>
                      <w:color w:val="auto"/>
                      <w:kern w:val="0"/>
                      <w:highlight w:val="none"/>
                      <w:lang w:bidi="ar"/>
                    </w:rPr>
                    <w:t>18m，</w:t>
                  </w:r>
                  <w:r>
                    <w:rPr>
                      <w:rStyle w:val="46"/>
                      <w:rFonts w:hint="default" w:ascii="Times New Roman" w:hAnsi="Times New Roman" w:cs="Times New Roman"/>
                      <w:color w:val="auto"/>
                      <w:sz w:val="21"/>
                      <w:szCs w:val="21"/>
                      <w:highlight w:val="none"/>
                      <w:lang w:bidi="ar"/>
                    </w:rPr>
                    <w:t>池边总高</w:t>
                  </w:r>
                  <w:r>
                    <w:rPr>
                      <w:color w:val="auto"/>
                      <w:kern w:val="0"/>
                      <w:highlight w:val="none"/>
                      <w:lang w:bidi="ar"/>
                    </w:rPr>
                    <w:t>5.25m</w:t>
                  </w:r>
                  <w:r>
                    <w:rPr>
                      <w:rStyle w:val="46"/>
                      <w:rFonts w:hint="default" w:ascii="Times New Roman" w:hAnsi="Times New Roman" w:cs="Times New Roman"/>
                      <w:color w:val="auto"/>
                      <w:sz w:val="21"/>
                      <w:szCs w:val="21"/>
                      <w:highlight w:val="none"/>
                      <w:lang w:bidi="ar"/>
                    </w:rPr>
                    <w:t>，周边线速</w:t>
                  </w:r>
                  <w:r>
                    <w:rPr>
                      <w:color w:val="auto"/>
                      <w:kern w:val="0"/>
                      <w:highlight w:val="none"/>
                      <w:lang w:bidi="ar"/>
                    </w:rPr>
                    <w:t>V=1-3m/min</w:t>
                  </w:r>
                  <w:r>
                    <w:rPr>
                      <w:rStyle w:val="46"/>
                      <w:rFonts w:hint="default" w:ascii="Times New Roman" w:hAnsi="Times New Roman" w:cs="Times New Roman"/>
                      <w:color w:val="auto"/>
                      <w:sz w:val="21"/>
                      <w:szCs w:val="21"/>
                      <w:highlight w:val="none"/>
                      <w:lang w:bidi="ar"/>
                    </w:rPr>
                    <w:t>，</w:t>
                  </w:r>
                  <w:r>
                    <w:rPr>
                      <w:color w:val="auto"/>
                      <w:kern w:val="0"/>
                      <w:highlight w:val="none"/>
                      <w:lang w:bidi="ar"/>
                    </w:rPr>
                    <w:t>N=0.55kW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2套</w:t>
                  </w:r>
                </w:p>
              </w:tc>
              <w:tc>
                <w:tcPr>
                  <w:tcW w:w="135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配成套电控箱，IP55，成套工作桥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中心传动单管吸泥机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污泥回流泵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Q=230.00m</w:t>
                  </w:r>
                  <w:r>
                    <w:rPr>
                      <w:color w:val="auto"/>
                      <w:kern w:val="0"/>
                      <w:highlight w:val="none"/>
                      <w:vertAlign w:val="superscript"/>
                      <w:lang w:bidi="ar"/>
                    </w:rPr>
                    <w:t>3</w:t>
                  </w:r>
                  <w:r>
                    <w:rPr>
                      <w:color w:val="auto"/>
                      <w:kern w:val="0"/>
                      <w:highlight w:val="none"/>
                      <w:lang w:bidi="ar"/>
                    </w:rPr>
                    <w:t>/h</w:t>
                  </w:r>
                  <w:r>
                    <w:rPr>
                      <w:rStyle w:val="46"/>
                      <w:rFonts w:hint="default" w:ascii="Times New Roman" w:hAnsi="Times New Roman" w:cs="Times New Roman"/>
                      <w:color w:val="auto"/>
                      <w:sz w:val="21"/>
                      <w:szCs w:val="21"/>
                      <w:highlight w:val="none"/>
                      <w:lang w:bidi="ar"/>
                    </w:rPr>
                    <w:t>，</w:t>
                  </w:r>
                  <w:r>
                    <w:rPr>
                      <w:color w:val="auto"/>
                      <w:kern w:val="0"/>
                      <w:highlight w:val="none"/>
                      <w:lang w:bidi="ar"/>
                    </w:rPr>
                    <w:t>H=8m</w:t>
                  </w:r>
                  <w:r>
                    <w:rPr>
                      <w:rStyle w:val="46"/>
                      <w:rFonts w:hint="default" w:ascii="Times New Roman" w:hAnsi="Times New Roman" w:cs="Times New Roman"/>
                      <w:color w:val="auto"/>
                      <w:sz w:val="21"/>
                      <w:szCs w:val="21"/>
                      <w:highlight w:val="none"/>
                      <w:lang w:bidi="ar"/>
                    </w:rPr>
                    <w:t>，</w:t>
                  </w:r>
                  <w:r>
                    <w:rPr>
                      <w:color w:val="auto"/>
                      <w:kern w:val="0"/>
                      <w:highlight w:val="none"/>
                      <w:lang w:bidi="ar"/>
                    </w:rPr>
                    <w:t>N=7.5kW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3台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3台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两用一备，全部变频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剩余污泥泵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Q=35m</w:t>
                  </w:r>
                  <w:r>
                    <w:rPr>
                      <w:color w:val="auto"/>
                      <w:kern w:val="0"/>
                      <w:highlight w:val="none"/>
                      <w:vertAlign w:val="superscript"/>
                      <w:lang w:bidi="ar"/>
                    </w:rPr>
                    <w:t>3</w:t>
                  </w:r>
                  <w:r>
                    <w:rPr>
                      <w:color w:val="auto"/>
                      <w:kern w:val="0"/>
                      <w:highlight w:val="none"/>
                      <w:lang w:bidi="ar"/>
                    </w:rPr>
                    <w:t>/h</w:t>
                  </w:r>
                  <w:r>
                    <w:rPr>
                      <w:rStyle w:val="46"/>
                      <w:rFonts w:hint="default" w:ascii="Times New Roman" w:hAnsi="Times New Roman" w:cs="Times New Roman"/>
                      <w:color w:val="auto"/>
                      <w:sz w:val="21"/>
                      <w:szCs w:val="21"/>
                      <w:highlight w:val="none"/>
                      <w:lang w:bidi="ar"/>
                    </w:rPr>
                    <w:t>，</w:t>
                  </w:r>
                  <w:r>
                    <w:rPr>
                      <w:color w:val="auto"/>
                      <w:kern w:val="0"/>
                      <w:highlight w:val="none"/>
                      <w:lang w:bidi="ar"/>
                    </w:rPr>
                    <w:t>H=10m</w:t>
                  </w:r>
                  <w:r>
                    <w:rPr>
                      <w:rStyle w:val="46"/>
                      <w:rFonts w:hint="default" w:ascii="Times New Roman" w:hAnsi="Times New Roman" w:cs="Times New Roman"/>
                      <w:color w:val="auto"/>
                      <w:sz w:val="21"/>
                      <w:szCs w:val="21"/>
                      <w:highlight w:val="none"/>
                      <w:lang w:bidi="ar"/>
                    </w:rPr>
                    <w:t>，</w:t>
                  </w:r>
                  <w:r>
                    <w:rPr>
                      <w:color w:val="auto"/>
                      <w:kern w:val="0"/>
                      <w:highlight w:val="none"/>
                      <w:lang w:bidi="ar"/>
                    </w:rPr>
                    <w:t>N=3.0kW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1用1备，全部变频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手动葫芦</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起吊重量</w:t>
                  </w:r>
                  <w:r>
                    <w:rPr>
                      <w:color w:val="auto"/>
                      <w:kern w:val="0"/>
                      <w:highlight w:val="none"/>
                      <w:lang w:bidi="ar"/>
                    </w:rPr>
                    <w:t>1.0</w:t>
                  </w:r>
                  <w:r>
                    <w:rPr>
                      <w:rStyle w:val="46"/>
                      <w:rFonts w:hint="default" w:ascii="Times New Roman" w:hAnsi="Times New Roman" w:cs="Times New Roman"/>
                      <w:color w:val="auto"/>
                      <w:sz w:val="21"/>
                      <w:szCs w:val="21"/>
                      <w:highlight w:val="none"/>
                      <w:lang w:bidi="ar"/>
                    </w:rPr>
                    <w:t>吨</w:t>
                  </w:r>
                  <w:r>
                    <w:rPr>
                      <w:color w:val="auto"/>
                      <w:kern w:val="0"/>
                      <w:highlight w:val="none"/>
                      <w:lang w:bidi="ar"/>
                    </w:rPr>
                    <w:t>，</w:t>
                  </w:r>
                  <w:r>
                    <w:rPr>
                      <w:rStyle w:val="46"/>
                      <w:rFonts w:hint="default" w:ascii="Times New Roman" w:hAnsi="Times New Roman" w:cs="Times New Roman"/>
                      <w:color w:val="auto"/>
                      <w:sz w:val="21"/>
                      <w:szCs w:val="21"/>
                      <w:highlight w:val="none"/>
                      <w:lang w:bidi="ar"/>
                    </w:rPr>
                    <w:t>起吊高度</w:t>
                  </w:r>
                  <w:r>
                    <w:rPr>
                      <w:color w:val="auto"/>
                      <w:kern w:val="0"/>
                      <w:highlight w:val="none"/>
                      <w:lang w:bidi="ar"/>
                    </w:rPr>
                    <w:t>10m</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配有</w:t>
                  </w:r>
                  <w:r>
                    <w:rPr>
                      <w:color w:val="auto"/>
                      <w:kern w:val="0"/>
                      <w:highlight w:val="none"/>
                      <w:lang w:bidi="ar"/>
                    </w:rPr>
                    <w:t>28B</w:t>
                  </w:r>
                  <w:r>
                    <w:rPr>
                      <w:rStyle w:val="46"/>
                      <w:rFonts w:hint="default" w:ascii="Times New Roman" w:hAnsi="Times New Roman" w:cs="Times New Roman"/>
                      <w:color w:val="auto"/>
                      <w:sz w:val="21"/>
                      <w:szCs w:val="21"/>
                      <w:highlight w:val="none"/>
                      <w:lang w:bidi="ar"/>
                    </w:rPr>
                    <w:t>型环行工字钢轨道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圆形闸门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DN500，</w:t>
                  </w:r>
                  <w:r>
                    <w:rPr>
                      <w:rStyle w:val="46"/>
                      <w:rFonts w:hint="default" w:ascii="Times New Roman" w:hAnsi="Times New Roman" w:cs="Times New Roman"/>
                      <w:color w:val="auto"/>
                      <w:sz w:val="21"/>
                      <w:szCs w:val="21"/>
                      <w:highlight w:val="none"/>
                      <w:lang w:bidi="ar"/>
                    </w:rPr>
                    <w:t>正向承压水头</w:t>
                  </w:r>
                  <w:r>
                    <w:rPr>
                      <w:color w:val="auto"/>
                      <w:kern w:val="0"/>
                      <w:highlight w:val="none"/>
                      <w:lang w:bidi="ar"/>
                    </w:rPr>
                    <w:t>4.5m</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附壁式，配套手动启闭机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弹性座封闸阀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DN200，0.6MPa</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弹性座封闸阀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DN100，0.6MPa</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橡胶瓣止回阀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DN200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橡胶瓣止回阀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DN100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橡胶柔性接头</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DN200</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橡胶柔性接头</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DN100</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弹性座封闸阀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DN200，0.6MPa</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放空管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圆形闸门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DN500，</w:t>
                  </w:r>
                  <w:r>
                    <w:rPr>
                      <w:rStyle w:val="46"/>
                      <w:rFonts w:hint="default" w:ascii="Times New Roman" w:hAnsi="Times New Roman" w:cs="Times New Roman"/>
                      <w:color w:val="auto"/>
                      <w:sz w:val="21"/>
                      <w:szCs w:val="21"/>
                      <w:highlight w:val="none"/>
                      <w:lang w:bidi="ar"/>
                    </w:rPr>
                    <w:t>正向承压水头</w:t>
                  </w:r>
                  <w:r>
                    <w:rPr>
                      <w:color w:val="auto"/>
                      <w:kern w:val="0"/>
                      <w:highlight w:val="none"/>
                      <w:lang w:bidi="ar"/>
                    </w:rPr>
                    <w:t>1.525m</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附壁式，配套手动启闭机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三角形出水堰板</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B×L=300×2806mm，δ=3</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含配套螺栓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浮渣挡板</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δ=3</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含渣斗、挡板支撑、配套螺栓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渣筒</w:t>
                  </w:r>
                </w:p>
              </w:tc>
              <w:tc>
                <w:tcPr>
                  <w:tcW w:w="1571" w:type="pct"/>
                  <w:vAlign w:val="center"/>
                </w:tcPr>
                <w:p>
                  <w:pPr>
                    <w:pageBreakBefore w:val="0"/>
                    <w:widowControl/>
                    <w:kinsoku/>
                    <w:wordWrap/>
                    <w:topLinePunct w:val="0"/>
                    <w:bidi w:val="0"/>
                    <w:ind w:left="0" w:leftChars="0" w:right="0" w:rightChars="0"/>
                    <w:jc w:val="center"/>
                    <w:rPr>
                      <w:color w:val="auto"/>
                      <w:highlight w:val="none"/>
                    </w:rPr>
                  </w:pP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详渣筒大样图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套筒调节阀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N=0.37kW</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配套手动启闭机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电磁流量计</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DN500，0～1000m</w:t>
                  </w:r>
                  <w:r>
                    <w:rPr>
                      <w:color w:val="auto"/>
                      <w:kern w:val="0"/>
                      <w:highlight w:val="none"/>
                      <w:vertAlign w:val="superscript"/>
                      <w:lang w:bidi="ar"/>
                    </w:rPr>
                    <w:t>3</w:t>
                  </w:r>
                  <w:r>
                    <w:rPr>
                      <w:color w:val="auto"/>
                      <w:kern w:val="0"/>
                      <w:highlight w:val="none"/>
                      <w:lang w:bidi="ar"/>
                    </w:rPr>
                    <w:t>/h</w:t>
                  </w:r>
                  <w:r>
                    <w:rPr>
                      <w:rStyle w:val="46"/>
                      <w:rFonts w:hint="default" w:ascii="Times New Roman" w:hAnsi="Times New Roman" w:cs="Times New Roman"/>
                      <w:color w:val="auto"/>
                      <w:sz w:val="21"/>
                      <w:szCs w:val="21"/>
                      <w:highlight w:val="none"/>
                      <w:lang w:bidi="ar"/>
                    </w:rPr>
                    <w:t>，输出</w:t>
                  </w:r>
                  <w:r>
                    <w:rPr>
                      <w:color w:val="auto"/>
                      <w:kern w:val="0"/>
                      <w:highlight w:val="none"/>
                      <w:lang w:bidi="ar"/>
                    </w:rPr>
                    <w:t>4～20mA</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计入自控，详见厂内管线图纸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电磁流量计</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DN100，0～100m</w:t>
                  </w:r>
                  <w:r>
                    <w:rPr>
                      <w:color w:val="auto"/>
                      <w:kern w:val="0"/>
                      <w:highlight w:val="none"/>
                      <w:vertAlign w:val="superscript"/>
                      <w:lang w:bidi="ar"/>
                    </w:rPr>
                    <w:t>3</w:t>
                  </w:r>
                  <w:r>
                    <w:rPr>
                      <w:color w:val="auto"/>
                      <w:kern w:val="0"/>
                      <w:highlight w:val="none"/>
                      <w:lang w:bidi="ar"/>
                    </w:rPr>
                    <w:t>/h</w:t>
                  </w:r>
                  <w:r>
                    <w:rPr>
                      <w:rStyle w:val="46"/>
                      <w:rFonts w:hint="default" w:ascii="Times New Roman" w:hAnsi="Times New Roman" w:cs="Times New Roman"/>
                      <w:color w:val="auto"/>
                      <w:sz w:val="21"/>
                      <w:szCs w:val="21"/>
                      <w:highlight w:val="none"/>
                      <w:lang w:bidi="ar"/>
                    </w:rPr>
                    <w:t>，输出</w:t>
                  </w:r>
                  <w:r>
                    <w:rPr>
                      <w:color w:val="auto"/>
                      <w:kern w:val="0"/>
                      <w:highlight w:val="none"/>
                      <w:lang w:bidi="ar"/>
                    </w:rPr>
                    <w:t>4～20mA</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超声波液位计</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量程</w:t>
                  </w:r>
                  <w:r>
                    <w:rPr>
                      <w:color w:val="auto"/>
                      <w:kern w:val="0"/>
                      <w:highlight w:val="none"/>
                      <w:lang w:bidi="ar"/>
                    </w:rPr>
                    <w:t>0～10m</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计入自控，放置于污泥泵池内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污泥界面分析仪</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量程</w:t>
                  </w:r>
                  <w:r>
                    <w:rPr>
                      <w:color w:val="auto"/>
                      <w:kern w:val="0"/>
                      <w:highlight w:val="none"/>
                      <w:lang w:bidi="ar"/>
                    </w:rPr>
                    <w:t>0～10m</w:t>
                  </w:r>
                  <w:r>
                    <w:rPr>
                      <w:rStyle w:val="46"/>
                      <w:rFonts w:hint="default" w:ascii="Times New Roman" w:hAnsi="Times New Roman" w:cs="Times New Roman"/>
                      <w:color w:val="auto"/>
                      <w:sz w:val="21"/>
                      <w:szCs w:val="21"/>
                      <w:highlight w:val="none"/>
                      <w:lang w:bidi="ar"/>
                    </w:rPr>
                    <w:t>，输出</w:t>
                  </w:r>
                  <w:r>
                    <w:rPr>
                      <w:color w:val="auto"/>
                      <w:kern w:val="0"/>
                      <w:highlight w:val="none"/>
                      <w:lang w:bidi="ar"/>
                    </w:rPr>
                    <w:t>4～20mA</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计入自控，放置于污泥泵池内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污泥浓度分析仪</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量程</w:t>
                  </w:r>
                  <w:r>
                    <w:rPr>
                      <w:color w:val="auto"/>
                      <w:kern w:val="0"/>
                      <w:highlight w:val="none"/>
                      <w:lang w:bidi="ar"/>
                    </w:rPr>
                    <w:t>0</w:t>
                  </w:r>
                  <w:r>
                    <w:rPr>
                      <w:rStyle w:val="46"/>
                      <w:rFonts w:hint="default" w:ascii="Times New Roman" w:hAnsi="Times New Roman" w:cs="Times New Roman"/>
                      <w:color w:val="auto"/>
                      <w:sz w:val="21"/>
                      <w:szCs w:val="21"/>
                      <w:highlight w:val="none"/>
                      <w:lang w:bidi="ar"/>
                    </w:rPr>
                    <w:t>～</w:t>
                  </w:r>
                  <w:r>
                    <w:rPr>
                      <w:color w:val="auto"/>
                      <w:kern w:val="0"/>
                      <w:highlight w:val="none"/>
                      <w:lang w:bidi="ar"/>
                    </w:rPr>
                    <w:t>30000mg/L</w:t>
                  </w:r>
                  <w:r>
                    <w:rPr>
                      <w:rStyle w:val="46"/>
                      <w:rFonts w:hint="default" w:ascii="Times New Roman" w:hAnsi="Times New Roman" w:cs="Times New Roman"/>
                      <w:color w:val="auto"/>
                      <w:sz w:val="21"/>
                      <w:szCs w:val="21"/>
                      <w:highlight w:val="none"/>
                      <w:lang w:bidi="ar"/>
                    </w:rPr>
                    <w:t>，输出</w:t>
                  </w:r>
                  <w:r>
                    <w:rPr>
                      <w:color w:val="auto"/>
                      <w:kern w:val="0"/>
                      <w:highlight w:val="none"/>
                      <w:lang w:bidi="ar"/>
                    </w:rPr>
                    <w:t>4～20mA</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电磁流量计井</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w:t>
                  </w:r>
                  <w:r>
                    <w:rPr>
                      <w:color w:val="auto"/>
                      <w:kern w:val="0"/>
                      <w:highlight w:val="none"/>
                      <w:lang w:bidi="ar"/>
                    </w:rPr>
                    <w:t>1200</w:t>
                  </w:r>
                  <w:r>
                    <w:rPr>
                      <w:rStyle w:val="46"/>
                      <w:rFonts w:hint="default" w:ascii="Times New Roman" w:hAnsi="Times New Roman" w:cs="Times New Roman"/>
                      <w:color w:val="auto"/>
                      <w:sz w:val="21"/>
                      <w:szCs w:val="21"/>
                      <w:highlight w:val="none"/>
                      <w:lang w:bidi="ar"/>
                    </w:rPr>
                    <w:t>，</w:t>
                  </w:r>
                  <w:r>
                    <w:rPr>
                      <w:color w:val="auto"/>
                      <w:kern w:val="0"/>
                      <w:highlight w:val="none"/>
                      <w:lang w:bidi="ar"/>
                    </w:rPr>
                    <w:t>H=1500mm</w:t>
                  </w:r>
                </w:p>
              </w:tc>
              <w:tc>
                <w:tcPr>
                  <w:tcW w:w="273"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座</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座</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详见</w:t>
                  </w:r>
                  <w:r>
                    <w:rPr>
                      <w:color w:val="auto"/>
                      <w:kern w:val="0"/>
                      <w:highlight w:val="none"/>
                      <w:lang w:bidi="ar"/>
                    </w:rPr>
                    <w:t>07MS101-2/14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絮凝池</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立轴式搅拌机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N=5.5kW，双层叶轮，叶轮直径∅1200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用于进水搅拌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铸铁镶铜圆闸门（双向受压）</w:t>
                  </w:r>
                </w:p>
              </w:tc>
              <w:tc>
                <w:tcPr>
                  <w:tcW w:w="1571" w:type="pct"/>
                  <w:vAlign w:val="center"/>
                </w:tcPr>
                <w:p>
                  <w:pPr>
                    <w:pageBreakBefore w:val="0"/>
                    <w:widowControl/>
                    <w:kinsoku/>
                    <w:wordWrap/>
                    <w:topLinePunct w:val="0"/>
                    <w:bidi w:val="0"/>
                    <w:ind w:left="0" w:leftChars="0" w:right="0" w:rightChars="0"/>
                    <w:jc w:val="center"/>
                    <w:rPr>
                      <w:color w:val="auto"/>
                      <w:highlight w:val="none"/>
                    </w:rPr>
                  </w:pP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上开式，配一体化电动头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铸铁镶铜方闸门（正向受压）</w:t>
                  </w:r>
                </w:p>
              </w:tc>
              <w:tc>
                <w:tcPr>
                  <w:tcW w:w="1571" w:type="pct"/>
                  <w:vAlign w:val="center"/>
                </w:tcPr>
                <w:p>
                  <w:pPr>
                    <w:pageBreakBefore w:val="0"/>
                    <w:widowControl/>
                    <w:kinsoku/>
                    <w:wordWrap/>
                    <w:topLinePunct w:val="0"/>
                    <w:bidi w:val="0"/>
                    <w:ind w:left="0" w:leftChars="0" w:right="0" w:rightChars="0"/>
                    <w:jc w:val="center"/>
                    <w:rPr>
                      <w:color w:val="auto"/>
                      <w:highlight w:val="none"/>
                    </w:rPr>
                  </w:pP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上开式，配一体化电动头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铸铁镶铜方闸门（双向受压）</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800mm×800mm，H=1.5m，N=1.5kW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下开式，配一体化电动头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液动角式隔膜排泥阀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DN200，P=1.0MPa</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配套相应的电磁换向阀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电磁换向阀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YC24D</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排泥管排泥阀控制用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手动双法兰软密封蝶阀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DN200，P=1.0MPa</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手动蝶阀，检修排泥阀时用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斗式网格A型</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L=1.5m，B=3.0m，竖向间距0.5m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60套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60套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斗式网格B型</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L=1.5m，B=3.0m，竖向间距0.5m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45套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45套</w:t>
                  </w:r>
                </w:p>
              </w:tc>
              <w:tc>
                <w:tcPr>
                  <w:tcW w:w="1355" w:type="pct"/>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转鼓滤池间</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转鼓微过滤器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型号：RMF10000</w:t>
                  </w:r>
                  <w:r>
                    <w:rPr>
                      <w:rStyle w:val="46"/>
                      <w:rFonts w:hint="default" w:ascii="Times New Roman" w:hAnsi="Times New Roman" w:cs="Times New Roman"/>
                      <w:color w:val="auto"/>
                      <w:sz w:val="21"/>
                      <w:szCs w:val="21"/>
                      <w:highlight w:val="none"/>
                      <w:lang w:bidi="ar"/>
                    </w:rPr>
                    <w:t>，正常处理流量</w:t>
                  </w:r>
                  <w:r>
                    <w:rPr>
                      <w:color w:val="auto"/>
                      <w:kern w:val="0"/>
                      <w:highlight w:val="none"/>
                      <w:lang w:bidi="ar"/>
                    </w:rPr>
                    <w:t>10000m</w:t>
                  </w:r>
                  <w:r>
                    <w:rPr>
                      <w:color w:val="auto"/>
                      <w:kern w:val="0"/>
                      <w:highlight w:val="none"/>
                      <w:vertAlign w:val="superscript"/>
                      <w:lang w:bidi="ar"/>
                    </w:rPr>
                    <w:t>3</w:t>
                  </w:r>
                  <w:r>
                    <w:rPr>
                      <w:color w:val="auto"/>
                      <w:kern w:val="0"/>
                      <w:highlight w:val="none"/>
                      <w:lang w:bidi="ar"/>
                    </w:rPr>
                    <w:t>/d</w:t>
                  </w:r>
                  <w:r>
                    <w:rPr>
                      <w:rStyle w:val="46"/>
                      <w:rFonts w:hint="default" w:ascii="Times New Roman" w:hAnsi="Times New Roman" w:cs="Times New Roman"/>
                      <w:color w:val="auto"/>
                      <w:sz w:val="21"/>
                      <w:szCs w:val="21"/>
                      <w:highlight w:val="none"/>
                      <w:lang w:bidi="ar"/>
                    </w:rPr>
                    <w:t>，外形尺寸</w:t>
                  </w:r>
                  <w:r>
                    <w:rPr>
                      <w:color w:val="auto"/>
                      <w:kern w:val="0"/>
                      <w:highlight w:val="none"/>
                      <w:lang w:bidi="ar"/>
                    </w:rPr>
                    <w:t>L×B×H</w:t>
                  </w:r>
                  <w:r>
                    <w:rPr>
                      <w:rStyle w:val="46"/>
                      <w:rFonts w:hint="default" w:ascii="Times New Roman" w:hAnsi="Times New Roman" w:cs="Times New Roman"/>
                      <w:color w:val="auto"/>
                      <w:sz w:val="21"/>
                      <w:szCs w:val="21"/>
                      <w:highlight w:val="none"/>
                      <w:lang w:bidi="ar"/>
                    </w:rPr>
                    <w:t>＝</w:t>
                  </w:r>
                  <w:r>
                    <w:rPr>
                      <w:color w:val="auto"/>
                      <w:kern w:val="0"/>
                      <w:highlight w:val="none"/>
                      <w:lang w:bidi="ar"/>
                    </w:rPr>
                    <w:t>3680</w:t>
                  </w:r>
                  <w:r>
                    <w:rPr>
                      <w:rStyle w:val="46"/>
                      <w:rFonts w:hint="default" w:ascii="Times New Roman" w:hAnsi="Times New Roman" w:cs="Times New Roman"/>
                      <w:color w:val="auto"/>
                      <w:sz w:val="21"/>
                      <w:szCs w:val="21"/>
                      <w:highlight w:val="none"/>
                      <w:lang w:bidi="ar"/>
                    </w:rPr>
                    <w:t>×</w:t>
                  </w:r>
                  <w:r>
                    <w:rPr>
                      <w:color w:val="auto"/>
                      <w:kern w:val="0"/>
                      <w:highlight w:val="none"/>
                      <w:lang w:bidi="ar"/>
                    </w:rPr>
                    <w:t>1500</w:t>
                  </w:r>
                  <w:r>
                    <w:rPr>
                      <w:rStyle w:val="46"/>
                      <w:rFonts w:hint="default" w:ascii="Times New Roman" w:hAnsi="Times New Roman" w:cs="Times New Roman"/>
                      <w:color w:val="auto"/>
                      <w:sz w:val="21"/>
                      <w:szCs w:val="21"/>
                      <w:highlight w:val="none"/>
                      <w:lang w:bidi="ar"/>
                    </w:rPr>
                    <w:t>×</w:t>
                  </w:r>
                  <w:r>
                    <w:rPr>
                      <w:color w:val="auto"/>
                      <w:kern w:val="0"/>
                      <w:highlight w:val="none"/>
                      <w:lang w:bidi="ar"/>
                    </w:rPr>
                    <w:t>2066mm</w:t>
                  </w:r>
                  <w:r>
                    <w:rPr>
                      <w:rStyle w:val="46"/>
                      <w:rFonts w:hint="default" w:ascii="Times New Roman" w:hAnsi="Times New Roman" w:cs="Times New Roman"/>
                      <w:color w:val="auto"/>
                      <w:sz w:val="21"/>
                      <w:szCs w:val="21"/>
                      <w:highlight w:val="none"/>
                      <w:lang w:bidi="ar"/>
                    </w:rPr>
                    <w:t>，减速机功率：</w:t>
                  </w:r>
                  <w:r>
                    <w:rPr>
                      <w:color w:val="auto"/>
                      <w:kern w:val="0"/>
                      <w:highlight w:val="none"/>
                      <w:lang w:bidi="ar"/>
                    </w:rPr>
                    <w:t>0.75kW，</w:t>
                  </w:r>
                  <w:r>
                    <w:rPr>
                      <w:rStyle w:val="46"/>
                      <w:rFonts w:hint="default" w:ascii="Times New Roman" w:hAnsi="Times New Roman" w:cs="Times New Roman"/>
                      <w:color w:val="auto"/>
                      <w:sz w:val="21"/>
                      <w:szCs w:val="21"/>
                      <w:highlight w:val="none"/>
                      <w:lang w:bidi="ar"/>
                    </w:rPr>
                    <w:t>反冲洗水泵：</w:t>
                  </w:r>
                  <w:r>
                    <w:rPr>
                      <w:color w:val="auto"/>
                      <w:kern w:val="0"/>
                      <w:highlight w:val="none"/>
                      <w:lang w:bidi="ar"/>
                    </w:rPr>
                    <w:t>1.5kW</w:t>
                  </w:r>
                  <w:r>
                    <w:rPr>
                      <w:rStyle w:val="46"/>
                      <w:rFonts w:hint="default" w:ascii="Times New Roman" w:hAnsi="Times New Roman" w:cs="Times New Roman"/>
                      <w:color w:val="auto"/>
                      <w:sz w:val="21"/>
                      <w:szCs w:val="21"/>
                      <w:highlight w:val="none"/>
                      <w:lang w:bidi="ar"/>
                    </w:rPr>
                    <w:t>，齿轮组联接，不宜采用皮带以及链条传动联接方式，动态</w:t>
                  </w:r>
                  <w:r>
                    <w:rPr>
                      <w:color w:val="auto"/>
                      <w:kern w:val="0"/>
                      <w:highlight w:val="none"/>
                      <w:lang w:bidi="ar"/>
                    </w:rPr>
                    <w:t>FKM</w:t>
                  </w:r>
                  <w:r>
                    <w:rPr>
                      <w:rStyle w:val="46"/>
                      <w:rFonts w:hint="default" w:ascii="Times New Roman" w:hAnsi="Times New Roman" w:cs="Times New Roman"/>
                      <w:color w:val="auto"/>
                      <w:sz w:val="21"/>
                      <w:szCs w:val="21"/>
                      <w:highlight w:val="none"/>
                      <w:lang w:bidi="ar"/>
                    </w:rPr>
                    <w:t>旋转密封</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进口或合资，</w:t>
                  </w:r>
                  <w:r>
                    <w:rPr>
                      <w:rStyle w:val="46"/>
                      <w:rFonts w:hint="default" w:ascii="Times New Roman" w:hAnsi="Times New Roman" w:cs="Times New Roman"/>
                      <w:color w:val="auto"/>
                      <w:sz w:val="21"/>
                      <w:szCs w:val="21"/>
                      <w:highlight w:val="none"/>
                      <w:lang w:bidi="ar"/>
                    </w:rPr>
                    <w:t>孔径小于</w:t>
                  </w:r>
                  <w:r>
                    <w:rPr>
                      <w:color w:val="auto"/>
                      <w:kern w:val="0"/>
                      <w:highlight w:val="none"/>
                      <w:lang w:bidi="ar"/>
                    </w:rPr>
                    <w:t>0.02mm</w:t>
                  </w:r>
                  <w:r>
                    <w:rPr>
                      <w:color w:val="auto"/>
                      <w:kern w:val="0"/>
                      <w:highlight w:val="none"/>
                      <w:lang w:bidi="ar"/>
                    </w:rPr>
                    <w:br w:type="textWrapping"/>
                  </w:r>
                  <w:r>
                    <w:rPr>
                      <w:color w:val="auto"/>
                      <w:kern w:val="0"/>
                      <w:highlight w:val="none"/>
                      <w:lang w:bidi="ar"/>
                    </w:rPr>
                    <w:t>（</w:t>
                  </w:r>
                  <w:r>
                    <w:rPr>
                      <w:rStyle w:val="46"/>
                      <w:rFonts w:hint="default" w:ascii="Times New Roman" w:hAnsi="Times New Roman" w:cs="Times New Roman"/>
                      <w:color w:val="auto"/>
                      <w:sz w:val="21"/>
                      <w:szCs w:val="21"/>
                      <w:highlight w:val="none"/>
                      <w:lang w:bidi="ar"/>
                    </w:rPr>
                    <w:t>径向和纬向</w:t>
                  </w:r>
                  <w:r>
                    <w:rPr>
                      <w:color w:val="auto"/>
                      <w:kern w:val="0"/>
                      <w:highlight w:val="none"/>
                      <w:lang w:bidi="ar"/>
                    </w:rPr>
                    <w:t>）</w:t>
                  </w:r>
                  <w:r>
                    <w:rPr>
                      <w:rStyle w:val="46"/>
                      <w:rFonts w:hint="default" w:ascii="Times New Roman" w:hAnsi="Times New Roman" w:cs="Times New Roman"/>
                      <w:color w:val="auto"/>
                      <w:sz w:val="21"/>
                      <w:szCs w:val="21"/>
                      <w:highlight w:val="none"/>
                      <w:lang w:bidi="ar"/>
                    </w:rPr>
                    <w:t>均要大于</w:t>
                  </w:r>
                  <w:r>
                    <w:rPr>
                      <w:color w:val="auto"/>
                      <w:kern w:val="0"/>
                      <w:highlight w:val="none"/>
                      <w:lang w:bidi="ar"/>
                    </w:rPr>
                    <w:t>0.04mm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核心过滤模块</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单片滤网面积0.24</w:t>
                  </w:r>
                  <w:r>
                    <w:rPr>
                      <w:rStyle w:val="46"/>
                      <w:rFonts w:hint="default" w:ascii="Times New Roman" w:hAnsi="Times New Roman" w:cs="Times New Roman"/>
                      <w:color w:val="auto"/>
                      <w:sz w:val="21"/>
                      <w:szCs w:val="21"/>
                      <w:highlight w:val="none"/>
                      <w:lang w:bidi="ar"/>
                    </w:rPr>
                    <w:t>平方米</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片</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核心过滤网原装进口，</w:t>
                  </w:r>
                  <w:r>
                    <w:rPr>
                      <w:rStyle w:val="46"/>
                      <w:rFonts w:hint="default" w:ascii="Times New Roman" w:hAnsi="Times New Roman" w:cs="Times New Roman"/>
                      <w:color w:val="auto"/>
                      <w:sz w:val="21"/>
                      <w:szCs w:val="21"/>
                      <w:highlight w:val="none"/>
                      <w:lang w:bidi="ar"/>
                    </w:rPr>
                    <w:t>材质</w:t>
                  </w:r>
                  <w:r>
                    <w:rPr>
                      <w:color w:val="auto"/>
                      <w:kern w:val="0"/>
                      <w:highlight w:val="none"/>
                      <w:lang w:bidi="ar"/>
                    </w:rPr>
                    <w:t>316L，</w:t>
                  </w:r>
                  <w:r>
                    <w:rPr>
                      <w:rStyle w:val="46"/>
                      <w:rFonts w:hint="default" w:ascii="Times New Roman" w:hAnsi="Times New Roman" w:cs="Times New Roman"/>
                      <w:color w:val="auto"/>
                      <w:sz w:val="21"/>
                      <w:szCs w:val="21"/>
                      <w:highlight w:val="none"/>
                      <w:lang w:bidi="ar"/>
                    </w:rPr>
                    <w:t>过滤精度</w:t>
                  </w:r>
                  <w:r>
                    <w:rPr>
                      <w:color w:val="auto"/>
                      <w:kern w:val="0"/>
                      <w:highlight w:val="none"/>
                      <w:lang w:bidi="ar"/>
                    </w:rPr>
                    <w:t>10um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驱动系统</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减速机功率0.75kW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反冲洗系统</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反冲洗水泵功率1.5kW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控制系统</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PLC控制系统</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手电两用铸铁镶</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∅1000</w:t>
                  </w:r>
                  <w:r>
                    <w:rPr>
                      <w:rStyle w:val="46"/>
                      <w:rFonts w:hint="default" w:ascii="Times New Roman" w:hAnsi="Times New Roman" w:cs="Times New Roman"/>
                      <w:color w:val="auto"/>
                      <w:sz w:val="21"/>
                      <w:szCs w:val="21"/>
                      <w:highlight w:val="none"/>
                      <w:lang w:bidi="ar"/>
                    </w:rPr>
                    <w:t>，</w:t>
                  </w:r>
                  <w:r>
                    <w:rPr>
                      <w:color w:val="auto"/>
                      <w:kern w:val="0"/>
                      <w:highlight w:val="none"/>
                      <w:lang w:bidi="ar"/>
                    </w:rPr>
                    <w:t>H=2300</w:t>
                  </w:r>
                  <w:r>
                    <w:rPr>
                      <w:rStyle w:val="46"/>
                      <w:rFonts w:hint="default" w:ascii="Times New Roman" w:hAnsi="Times New Roman" w:cs="Times New Roman"/>
                      <w:color w:val="auto"/>
                      <w:sz w:val="21"/>
                      <w:szCs w:val="21"/>
                      <w:highlight w:val="none"/>
                      <w:lang w:bidi="ar"/>
                    </w:rPr>
                    <w:t>，上开式，双向受力</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手动蝶阀</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DN600，PN=1.0MPa</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4个</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4个</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可曲挠橡胶接头</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DN600，PN=1.0MPa</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4个</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4个</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地埋式可曲挠橡胶接头</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DN800，PN=1.0MPa</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2个</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2个</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紫外线消毒渠</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紫外线消毒系统</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N=14kW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rStyle w:val="48"/>
                      <w:rFonts w:hint="default" w:ascii="Times New Roman" w:hAnsi="Times New Roman" w:cs="Times New Roman"/>
                      <w:color w:val="auto"/>
                      <w:sz w:val="21"/>
                      <w:szCs w:val="21"/>
                      <w:highlight w:val="none"/>
                      <w:lang w:bidi="ar"/>
                    </w:rPr>
                  </w:pPr>
                  <w:r>
                    <w:rPr>
                      <w:rStyle w:val="48"/>
                      <w:rFonts w:hint="default" w:ascii="Times New Roman" w:hAnsi="Times New Roman" w:cs="Times New Roman"/>
                      <w:color w:val="auto"/>
                      <w:sz w:val="21"/>
                      <w:szCs w:val="21"/>
                      <w:highlight w:val="none"/>
                      <w:lang w:bidi="ar"/>
                    </w:rPr>
                    <w:t>中水泵</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Q=20</w:t>
                  </w:r>
                  <w:r>
                    <w:rPr>
                      <w:rStyle w:val="49"/>
                      <w:color w:val="auto"/>
                      <w:sz w:val="21"/>
                      <w:szCs w:val="21"/>
                      <w:highlight w:val="none"/>
                      <w:lang w:bidi="ar"/>
                    </w:rPr>
                    <w:t>m</w:t>
                  </w:r>
                  <w:r>
                    <w:rPr>
                      <w:rStyle w:val="49"/>
                      <w:color w:val="auto"/>
                      <w:sz w:val="21"/>
                      <w:szCs w:val="21"/>
                      <w:highlight w:val="none"/>
                      <w:vertAlign w:val="superscript"/>
                      <w:lang w:bidi="ar"/>
                    </w:rPr>
                    <w:t>3</w:t>
                  </w:r>
                  <w:r>
                    <w:rPr>
                      <w:rStyle w:val="49"/>
                      <w:color w:val="auto"/>
                      <w:sz w:val="21"/>
                      <w:szCs w:val="21"/>
                      <w:highlight w:val="none"/>
                      <w:lang w:bidi="ar"/>
                    </w:rPr>
                    <w:t>/h，H=35m，N=4</w:t>
                  </w:r>
                  <w:r>
                    <w:rPr>
                      <w:color w:val="auto"/>
                      <w:kern w:val="0"/>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1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紫外线消毒模块</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Q=1.0</w:t>
                  </w:r>
                  <w:r>
                    <w:rPr>
                      <w:rStyle w:val="48"/>
                      <w:rFonts w:hint="default" w:ascii="Times New Roman" w:hAnsi="Times New Roman" w:cs="Times New Roman"/>
                      <w:color w:val="auto"/>
                      <w:sz w:val="21"/>
                      <w:szCs w:val="21"/>
                      <w:highlight w:val="none"/>
                      <w:lang w:bidi="ar"/>
                    </w:rPr>
                    <w:t>万</w:t>
                  </w:r>
                  <w:r>
                    <w:rPr>
                      <w:rStyle w:val="49"/>
                      <w:color w:val="auto"/>
                      <w:sz w:val="21"/>
                      <w:szCs w:val="21"/>
                      <w:highlight w:val="none"/>
                      <w:lang w:bidi="ar"/>
                    </w:rPr>
                    <w:t>m</w:t>
                  </w:r>
                  <w:r>
                    <w:rPr>
                      <w:rStyle w:val="49"/>
                      <w:color w:val="auto"/>
                      <w:sz w:val="21"/>
                      <w:szCs w:val="21"/>
                      <w:highlight w:val="none"/>
                      <w:vertAlign w:val="superscript"/>
                      <w:lang w:bidi="ar"/>
                    </w:rPr>
                    <w:t>3</w:t>
                  </w:r>
                  <w:r>
                    <w:rPr>
                      <w:rStyle w:val="49"/>
                      <w:color w:val="auto"/>
                      <w:sz w:val="21"/>
                      <w:szCs w:val="21"/>
                      <w:highlight w:val="none"/>
                      <w:lang w:bidi="ar"/>
                    </w:rPr>
                    <w:t>/d</w:t>
                  </w:r>
                  <w:r>
                    <w:rPr>
                      <w:rStyle w:val="48"/>
                      <w:rFonts w:hint="default" w:ascii="Times New Roman" w:hAnsi="Times New Roman" w:cs="Times New Roman"/>
                      <w:color w:val="auto"/>
                      <w:sz w:val="21"/>
                      <w:szCs w:val="21"/>
                      <w:highlight w:val="none"/>
                      <w:lang w:bidi="ar"/>
                    </w:rPr>
                    <w:t>，</w:t>
                  </w:r>
                  <w:r>
                    <w:rPr>
                      <w:rStyle w:val="49"/>
                      <w:color w:val="auto"/>
                      <w:sz w:val="21"/>
                      <w:szCs w:val="21"/>
                      <w:highlight w:val="none"/>
                      <w:lang w:bidi="ar"/>
                    </w:rPr>
                    <w:t>Kz=1.89</w:t>
                  </w:r>
                  <w:r>
                    <w:rPr>
                      <w:rStyle w:val="48"/>
                      <w:rFonts w:hint="default" w:ascii="Times New Roman" w:hAnsi="Times New Roman" w:cs="Times New Roman"/>
                      <w:color w:val="auto"/>
                      <w:sz w:val="21"/>
                      <w:szCs w:val="21"/>
                      <w:highlight w:val="none"/>
                      <w:lang w:bidi="ar"/>
                    </w:rPr>
                    <w:t>，总共</w:t>
                  </w:r>
                  <w:r>
                    <w:rPr>
                      <w:rStyle w:val="49"/>
                      <w:color w:val="auto"/>
                      <w:sz w:val="21"/>
                      <w:szCs w:val="21"/>
                      <w:highlight w:val="none"/>
                      <w:lang w:bidi="ar"/>
                    </w:rPr>
                    <w:t>8</w:t>
                  </w:r>
                  <w:r>
                    <w:rPr>
                      <w:rStyle w:val="48"/>
                      <w:rFonts w:hint="default" w:ascii="Times New Roman" w:hAnsi="Times New Roman" w:cs="Times New Roman"/>
                      <w:color w:val="auto"/>
                      <w:sz w:val="21"/>
                      <w:szCs w:val="21"/>
                      <w:highlight w:val="none"/>
                      <w:lang w:bidi="ar"/>
                    </w:rPr>
                    <w:t>个模块，每个模块</w:t>
                  </w:r>
                  <w:r>
                    <w:rPr>
                      <w:rStyle w:val="49"/>
                      <w:color w:val="auto"/>
                      <w:sz w:val="21"/>
                      <w:szCs w:val="21"/>
                      <w:highlight w:val="none"/>
                      <w:lang w:bidi="ar"/>
                    </w:rPr>
                    <w:t>10</w:t>
                  </w:r>
                  <w:r>
                    <w:rPr>
                      <w:rStyle w:val="48"/>
                      <w:rFonts w:hint="default" w:ascii="Times New Roman" w:hAnsi="Times New Roman" w:cs="Times New Roman"/>
                      <w:color w:val="auto"/>
                      <w:sz w:val="21"/>
                      <w:szCs w:val="21"/>
                      <w:highlight w:val="none"/>
                      <w:lang w:bidi="ar"/>
                    </w:rPr>
                    <w:t>支灯管，总装机功率</w:t>
                  </w:r>
                  <w:r>
                    <w:rPr>
                      <w:rStyle w:val="49"/>
                      <w:color w:val="auto"/>
                      <w:sz w:val="21"/>
                      <w:szCs w:val="21"/>
                      <w:highlight w:val="none"/>
                      <w:lang w:bidi="ar"/>
                    </w:rPr>
                    <w:t>7.0kW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8"/>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8"/>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回用潜水泵</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Q=30m</w:t>
                  </w:r>
                  <w:r>
                    <w:rPr>
                      <w:rStyle w:val="49"/>
                      <w:color w:val="auto"/>
                      <w:sz w:val="21"/>
                      <w:szCs w:val="21"/>
                      <w:highlight w:val="none"/>
                      <w:vertAlign w:val="superscript"/>
                      <w:lang w:bidi="ar"/>
                    </w:rPr>
                    <w:t>3</w:t>
                  </w:r>
                  <w:r>
                    <w:rPr>
                      <w:color w:val="auto"/>
                      <w:kern w:val="0"/>
                      <w:highlight w:val="none"/>
                      <w:lang w:bidi="ar"/>
                    </w:rPr>
                    <w:t>/h</w:t>
                  </w:r>
                  <w:r>
                    <w:rPr>
                      <w:rStyle w:val="48"/>
                      <w:rFonts w:hint="default" w:ascii="Times New Roman" w:hAnsi="Times New Roman" w:cs="Times New Roman"/>
                      <w:color w:val="auto"/>
                      <w:sz w:val="21"/>
                      <w:szCs w:val="21"/>
                      <w:highlight w:val="none"/>
                      <w:lang w:bidi="ar"/>
                    </w:rPr>
                    <w:t>，</w:t>
                  </w:r>
                  <w:r>
                    <w:rPr>
                      <w:rStyle w:val="49"/>
                      <w:color w:val="auto"/>
                      <w:sz w:val="21"/>
                      <w:szCs w:val="21"/>
                      <w:highlight w:val="none"/>
                      <w:lang w:bidi="ar"/>
                    </w:rPr>
                    <w:t>H=11m</w:t>
                  </w:r>
                  <w:r>
                    <w:rPr>
                      <w:rStyle w:val="48"/>
                      <w:rFonts w:hint="default" w:ascii="Times New Roman" w:hAnsi="Times New Roman" w:cs="Times New Roman"/>
                      <w:color w:val="auto"/>
                      <w:sz w:val="21"/>
                      <w:szCs w:val="21"/>
                      <w:highlight w:val="none"/>
                      <w:lang w:bidi="ar"/>
                    </w:rPr>
                    <w:t>，</w:t>
                  </w:r>
                  <w:r>
                    <w:rPr>
                      <w:rStyle w:val="49"/>
                      <w:color w:val="auto"/>
                      <w:sz w:val="21"/>
                      <w:szCs w:val="21"/>
                      <w:highlight w:val="none"/>
                      <w:lang w:bidi="ar"/>
                    </w:rPr>
                    <w:t>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8"/>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8"/>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成品巴氏计量槽</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测量范围</w:t>
                  </w:r>
                  <w:r>
                    <w:rPr>
                      <w:rStyle w:val="49"/>
                      <w:color w:val="auto"/>
                      <w:sz w:val="21"/>
                      <w:szCs w:val="21"/>
                      <w:highlight w:val="none"/>
                      <w:lang w:bidi="ar"/>
                    </w:rPr>
                    <w:t>0.055～0.65m</w:t>
                  </w:r>
                  <w:r>
                    <w:rPr>
                      <w:rStyle w:val="49"/>
                      <w:color w:val="auto"/>
                      <w:sz w:val="21"/>
                      <w:szCs w:val="21"/>
                      <w:highlight w:val="none"/>
                      <w:vertAlign w:val="superscript"/>
                      <w:lang w:bidi="ar"/>
                    </w:rPr>
                    <w:t>3</w:t>
                  </w:r>
                  <w:r>
                    <w:rPr>
                      <w:rStyle w:val="49"/>
                      <w:color w:val="auto"/>
                      <w:sz w:val="21"/>
                      <w:szCs w:val="21"/>
                      <w:highlight w:val="none"/>
                      <w:lang w:bidi="ar"/>
                    </w:rPr>
                    <w:t>/s</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8"/>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8"/>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超声波液位计</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48"/>
                      <w:rFonts w:hint="default" w:ascii="Times New Roman" w:hAnsi="Times New Roman" w:cs="Times New Roman"/>
                      <w:color w:val="auto"/>
                      <w:sz w:val="21"/>
                      <w:szCs w:val="21"/>
                      <w:highlight w:val="none"/>
                      <w:lang w:bidi="ar"/>
                    </w:rPr>
                    <w:t>控制液位范围为</w:t>
                  </w:r>
                  <w:r>
                    <w:rPr>
                      <w:rStyle w:val="49"/>
                      <w:color w:val="auto"/>
                      <w:sz w:val="21"/>
                      <w:szCs w:val="21"/>
                      <w:highlight w:val="none"/>
                      <w:lang w:bidi="ar"/>
                    </w:rPr>
                    <w:t>0～10m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8"/>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8"/>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放置于巴氏计量槽内，计入自控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脱水机房</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带式浓缩脱水一体机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带宽B=2.0m，处理能力Q=40～80</w:t>
                  </w:r>
                  <w:r>
                    <w:rPr>
                      <w:rStyle w:val="49"/>
                      <w:color w:val="auto"/>
                      <w:sz w:val="21"/>
                      <w:szCs w:val="21"/>
                      <w:highlight w:val="none"/>
                      <w:lang w:bidi="ar"/>
                    </w:rPr>
                    <w:t>m</w:t>
                  </w:r>
                  <w:r>
                    <w:rPr>
                      <w:rStyle w:val="49"/>
                      <w:color w:val="auto"/>
                      <w:sz w:val="21"/>
                      <w:szCs w:val="21"/>
                      <w:highlight w:val="none"/>
                      <w:vertAlign w:val="superscript"/>
                      <w:lang w:bidi="ar"/>
                    </w:rPr>
                    <w:t>3</w:t>
                  </w:r>
                  <w:r>
                    <w:rPr>
                      <w:rStyle w:val="49"/>
                      <w:color w:val="auto"/>
                      <w:sz w:val="21"/>
                      <w:szCs w:val="21"/>
                      <w:highlight w:val="none"/>
                      <w:lang w:bidi="ar"/>
                    </w:rPr>
                    <w:t>/hr，进泥含固率0.8%，泥饼含固率≥20%，N=4.5kW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8"/>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空压机</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Q=0.088m</w:t>
                  </w:r>
                  <w:r>
                    <w:rPr>
                      <w:rStyle w:val="49"/>
                      <w:color w:val="auto"/>
                      <w:sz w:val="21"/>
                      <w:szCs w:val="21"/>
                      <w:highlight w:val="none"/>
                      <w:vertAlign w:val="superscript"/>
                      <w:lang w:bidi="ar"/>
                    </w:rPr>
                    <w:t>3</w:t>
                  </w:r>
                  <w:r>
                    <w:rPr>
                      <w:color w:val="auto"/>
                      <w:kern w:val="0"/>
                      <w:highlight w:val="none"/>
                      <w:lang w:bidi="ar"/>
                    </w:rPr>
                    <w:t>/min，P=0.7MPa，N=2.2</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絮凝剂自动配置系统</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N=2.94</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8"/>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加药螺杆泵</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Q=0.50～1.50m</w:t>
                  </w:r>
                  <w:r>
                    <w:rPr>
                      <w:color w:val="auto"/>
                      <w:kern w:val="0"/>
                      <w:highlight w:val="none"/>
                      <w:vertAlign w:val="superscript"/>
                      <w:lang w:bidi="ar"/>
                    </w:rPr>
                    <w:t>3</w:t>
                  </w:r>
                  <w:r>
                    <w:rPr>
                      <w:color w:val="auto"/>
                      <w:kern w:val="0"/>
                      <w:highlight w:val="none"/>
                      <w:lang w:bidi="ar"/>
                    </w:rPr>
                    <w:t>/hr，P=0.2Mpa，N=0.55</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污泥絮凝槽</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N=0.37</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除磷装置</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溶药罐1.5m</w:t>
                  </w:r>
                  <w:r>
                    <w:rPr>
                      <w:color w:val="auto"/>
                      <w:kern w:val="0"/>
                      <w:highlight w:val="none"/>
                      <w:vertAlign w:val="superscript"/>
                      <w:lang w:bidi="ar"/>
                    </w:rPr>
                    <w:t>3</w:t>
                  </w:r>
                  <w:r>
                    <w:rPr>
                      <w:color w:val="auto"/>
                      <w:kern w:val="0"/>
                      <w:highlight w:val="none"/>
                      <w:lang w:bidi="ar"/>
                    </w:rPr>
                    <w:t>，储药罐2.0m</w:t>
                  </w:r>
                  <w:r>
                    <w:rPr>
                      <w:color w:val="auto"/>
                      <w:kern w:val="0"/>
                      <w:highlight w:val="none"/>
                      <w:vertAlign w:val="superscript"/>
                      <w:lang w:bidi="ar"/>
                    </w:rPr>
                    <w:t>3</w:t>
                  </w:r>
                  <w:r>
                    <w:rPr>
                      <w:color w:val="auto"/>
                      <w:kern w:val="0"/>
                      <w:highlight w:val="none"/>
                      <w:lang w:bidi="ar"/>
                    </w:rPr>
                    <w:t>，配套搅拌机功率1.1</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1套</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药剂计量泵</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Q=250L/h，N-0.75</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无轴螺旋输送机</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49"/>
                      <w:color w:val="auto"/>
                      <w:sz w:val="21"/>
                      <w:szCs w:val="21"/>
                      <w:highlight w:val="none"/>
                      <w:lang w:bidi="ar"/>
                    </w:rPr>
                    <w:t>Q=1-3m</w:t>
                  </w:r>
                  <w:r>
                    <w:rPr>
                      <w:rStyle w:val="49"/>
                      <w:color w:val="auto"/>
                      <w:sz w:val="21"/>
                      <w:szCs w:val="21"/>
                      <w:highlight w:val="none"/>
                      <w:vertAlign w:val="superscript"/>
                      <w:lang w:bidi="ar"/>
                    </w:rPr>
                    <w:t>3</w:t>
                  </w:r>
                  <w:r>
                    <w:rPr>
                      <w:rStyle w:val="49"/>
                      <w:color w:val="auto"/>
                      <w:sz w:val="21"/>
                      <w:szCs w:val="21"/>
                      <w:highlight w:val="none"/>
                      <w:lang w:bidi="ar"/>
                    </w:rPr>
                    <w:t>/hr，N-3.0kW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电磁流量计</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DN80，P=0.2MPa，介质：污泥</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电磁流量计</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DN20，P=0.2MPa，介质：液体PAM</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轴流风机</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n=1450rpm，Q=5700m</w:t>
                  </w:r>
                  <w:r>
                    <w:rPr>
                      <w:color w:val="auto"/>
                      <w:kern w:val="0"/>
                      <w:highlight w:val="none"/>
                      <w:vertAlign w:val="superscript"/>
                      <w:lang w:bidi="ar"/>
                    </w:rPr>
                    <w:t>3</w:t>
                  </w:r>
                  <w:r>
                    <w:rPr>
                      <w:color w:val="auto"/>
                      <w:kern w:val="0"/>
                      <w:highlight w:val="none"/>
                      <w:lang w:bidi="ar"/>
                    </w:rPr>
                    <w:t>/h，N=0.37</w:t>
                  </w:r>
                  <w:r>
                    <w:rPr>
                      <w:rStyle w:val="49"/>
                      <w:color w:val="auto"/>
                      <w:sz w:val="21"/>
                      <w:szCs w:val="21"/>
                      <w:highlight w:val="none"/>
                      <w:lang w:bidi="ar"/>
                    </w:rPr>
                    <w:t>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反冲洗水泵</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Q-25m</w:t>
                  </w:r>
                  <w:r>
                    <w:rPr>
                      <w:color w:val="auto"/>
                      <w:kern w:val="0"/>
                      <w:highlight w:val="none"/>
                      <w:vertAlign w:val="superscript"/>
                      <w:lang w:bidi="ar"/>
                    </w:rPr>
                    <w:t>3</w:t>
                  </w:r>
                  <w:r>
                    <w:rPr>
                      <w:color w:val="auto"/>
                      <w:kern w:val="0"/>
                      <w:highlight w:val="none"/>
                      <w:lang w:bidi="ar"/>
                    </w:rPr>
                    <w:t>/hr，P=0.66Mpa，N=75kW</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2台</w:t>
                  </w:r>
                </w:p>
              </w:tc>
              <w:tc>
                <w:tcPr>
                  <w:tcW w:w="26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355"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椭叠式污泥浓缩机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处理能力360～600kgDS/h；N=1.5kW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进泥含水率99.2%，出泥含水率95%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PAM螺杆泵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Q=1000L/h，H=0.4Mpa，N=1.5kW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由PAM制备装置配套，合资或以上品牌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PAM絮凝剂自动溶药装置</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制备能力1.0kg/h，N=2.2kW，投加浓度0.1%</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石灰料仓</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有效容积：30立方米，输送量4立方/小时，N=4.37kW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调理池搅拌机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调理池有效体积27m</w:t>
                  </w:r>
                  <w:r>
                    <w:rPr>
                      <w:color w:val="auto"/>
                      <w:kern w:val="0"/>
                      <w:highlight w:val="none"/>
                      <w:vertAlign w:val="superscript"/>
                      <w:lang w:bidi="ar"/>
                    </w:rPr>
                    <w:t>3</w:t>
                  </w:r>
                  <w:r>
                    <w:rPr>
                      <w:color w:val="auto"/>
                      <w:kern w:val="0"/>
                      <w:highlight w:val="none"/>
                      <w:lang w:bidi="ar"/>
                    </w:rPr>
                    <w:t>，N=3.0kW、输出转数44r/min</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互为备用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聚合硫酸铁自动溶药装置</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储罐体积2000L，PE材质桶装式，N=0.75kW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2箱加药互为备作，1箱投加时，另一箱备用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聚合硫酸铁计量泵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Q=1500L/h，H=4.5Bar，N=0.75kW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变频调速，1用1备，至调理池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压榨机进料螺杆泵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Q=25～30m</w:t>
                  </w:r>
                  <w:r>
                    <w:rPr>
                      <w:color w:val="auto"/>
                      <w:kern w:val="0"/>
                      <w:highlight w:val="none"/>
                      <w:vertAlign w:val="superscript"/>
                      <w:lang w:bidi="ar"/>
                    </w:rPr>
                    <w:t>3</w:t>
                  </w:r>
                  <w:r>
                    <w:rPr>
                      <w:color w:val="auto"/>
                      <w:kern w:val="0"/>
                      <w:highlight w:val="none"/>
                      <w:lang w:bidi="ar"/>
                    </w:rPr>
                    <w:t>/h，H=0.8MPa，N=22kW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含配套附件，重型变频调速，用于压滤机进泥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侧杠式隔膜板框压滤机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处理绝干污量2.0t/d，一天12小时；N=3.0kW，出泥含水率≤60%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合资或以上品牌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水平皮带输送机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皮带宽度1000mm、L=8.0m、N=7.5kW、α=0°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出泥含水率60%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储水罐（清洗、压榨）</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罐体：PE材质、5000L，设备底座、支架，桶装式</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配套人梯、水位计、电信号管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高压清洗水泵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Q=178L/min，压力90bar，N=30kW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隔膜挤压水泵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Q=10m</w:t>
                  </w:r>
                  <w:r>
                    <w:rPr>
                      <w:color w:val="auto"/>
                      <w:kern w:val="0"/>
                      <w:highlight w:val="none"/>
                      <w:vertAlign w:val="superscript"/>
                      <w:lang w:bidi="ar"/>
                    </w:rPr>
                    <w:t>3</w:t>
                  </w:r>
                  <w:r>
                    <w:rPr>
                      <w:color w:val="auto"/>
                      <w:kern w:val="0"/>
                      <w:highlight w:val="none"/>
                      <w:lang w:bidi="ar"/>
                    </w:rPr>
                    <w:t>/h，h=15bar，N=7.5kW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储气罐</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储罐体积5.0m</w:t>
                  </w:r>
                  <w:r>
                    <w:rPr>
                      <w:color w:val="auto"/>
                      <w:kern w:val="0"/>
                      <w:highlight w:val="none"/>
                      <w:vertAlign w:val="superscript"/>
                      <w:lang w:bidi="ar"/>
                    </w:rPr>
                    <w:t>3</w:t>
                  </w:r>
                  <w:r>
                    <w:rPr>
                      <w:color w:val="auto"/>
                      <w:kern w:val="0"/>
                      <w:highlight w:val="none"/>
                      <w:lang w:bidi="ar"/>
                    </w:rPr>
                    <w:t>，压力16bar</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空压机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Q=1.7m</w:t>
                  </w:r>
                  <w:r>
                    <w:rPr>
                      <w:color w:val="auto"/>
                      <w:kern w:val="0"/>
                      <w:highlight w:val="none"/>
                      <w:vertAlign w:val="superscript"/>
                      <w:lang w:bidi="ar"/>
                    </w:rPr>
                    <w:t>3</w:t>
                  </w:r>
                  <w:r>
                    <w:rPr>
                      <w:color w:val="auto"/>
                      <w:kern w:val="0"/>
                      <w:highlight w:val="none"/>
                      <w:lang w:bidi="ar"/>
                    </w:rPr>
                    <w:t>/min，压力13bar，功率15kW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含配套三级过滤器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冷干机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与空压机配套，0.5kW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空压机配套提供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倾斜皮带输送机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皮带宽度1000mm、L=8.0m、N=7.5kW、α=25°</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污泥含水率60%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电动单梁悬挂桥式起重机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起重量G=3.0t，跨度7m，N=5.5kW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配MD{1}1-6D型电动葫芦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轴流风机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Q=5117m</w:t>
                  </w:r>
                  <w:r>
                    <w:rPr>
                      <w:color w:val="auto"/>
                      <w:kern w:val="0"/>
                      <w:highlight w:val="none"/>
                      <w:vertAlign w:val="superscript"/>
                      <w:lang w:bidi="ar"/>
                    </w:rPr>
                    <w:t>3</w:t>
                  </w:r>
                  <w:r>
                    <w:rPr>
                      <w:color w:val="auto"/>
                      <w:kern w:val="0"/>
                      <w:highlight w:val="none"/>
                      <w:lang w:bidi="ar"/>
                    </w:rPr>
                    <w:t>/h，N=0.37kW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贮泥池</w:t>
                  </w: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进泥螺杆泵</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Q=40m</w:t>
                  </w:r>
                  <w:r>
                    <w:rPr>
                      <w:color w:val="auto"/>
                      <w:kern w:val="0"/>
                      <w:highlight w:val="none"/>
                      <w:vertAlign w:val="superscript"/>
                      <w:lang w:bidi="ar"/>
                    </w:rPr>
                    <w:t>3</w:t>
                  </w:r>
                  <w:r>
                    <w:rPr>
                      <w:color w:val="auto"/>
                      <w:kern w:val="0"/>
                      <w:highlight w:val="none"/>
                      <w:lang w:bidi="ar"/>
                    </w:rPr>
                    <w:t>/hr，P=0.5Mpa，n=350rpm，N=0.37kW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1台</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1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潜水搅拌机</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叶轮直径=200mm，n=1450rpm，N=1.5kW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0</w:t>
                  </w:r>
                </w:p>
              </w:tc>
              <w:tc>
                <w:tcPr>
                  <w:tcW w:w="1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潜水搅拌机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叶轮直径200mm，n=1450rpm，N=0.75kW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超声波液位计</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污泥螺杆泵</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Q=50～70m</w:t>
                  </w:r>
                  <w:r>
                    <w:rPr>
                      <w:color w:val="auto"/>
                      <w:kern w:val="0"/>
                      <w:highlight w:val="none"/>
                      <w:vertAlign w:val="superscript"/>
                      <w:lang w:bidi="ar"/>
                    </w:rPr>
                    <w:t>3</w:t>
                  </w:r>
                  <w:r>
                    <w:rPr>
                      <w:color w:val="auto"/>
                      <w:kern w:val="0"/>
                      <w:highlight w:val="none"/>
                      <w:lang w:bidi="ar"/>
                    </w:rPr>
                    <w:t>/h</w:t>
                  </w:r>
                  <w:r>
                    <w:rPr>
                      <w:rStyle w:val="46"/>
                      <w:rFonts w:hint="default" w:ascii="Times New Roman" w:hAnsi="Times New Roman" w:cs="Times New Roman"/>
                      <w:color w:val="auto"/>
                      <w:sz w:val="21"/>
                      <w:szCs w:val="21"/>
                      <w:highlight w:val="none"/>
                      <w:lang w:bidi="ar"/>
                    </w:rPr>
                    <w:t>，</w:t>
                  </w:r>
                  <w:r>
                    <w:rPr>
                      <w:color w:val="auto"/>
                      <w:kern w:val="0"/>
                      <w:highlight w:val="none"/>
                      <w:lang w:bidi="ar"/>
                    </w:rPr>
                    <w:t>P=0.4MPa</w:t>
                  </w:r>
                  <w:r>
                    <w:rPr>
                      <w:rStyle w:val="46"/>
                      <w:rFonts w:hint="default" w:ascii="Times New Roman" w:hAnsi="Times New Roman" w:cs="Times New Roman"/>
                      <w:color w:val="auto"/>
                      <w:sz w:val="21"/>
                      <w:szCs w:val="21"/>
                      <w:highlight w:val="none"/>
                      <w:lang w:bidi="ar"/>
                    </w:rPr>
                    <w:t>，</w:t>
                  </w:r>
                  <w:r>
                    <w:rPr>
                      <w:color w:val="auto"/>
                      <w:kern w:val="0"/>
                      <w:highlight w:val="none"/>
                      <w:lang w:bidi="ar"/>
                    </w:rPr>
                    <w:t>N=15kW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变频，共两台，1用1备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电磁流量计</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Q=70m</w:t>
                  </w:r>
                  <w:r>
                    <w:rPr>
                      <w:color w:val="auto"/>
                      <w:kern w:val="0"/>
                      <w:highlight w:val="none"/>
                      <w:vertAlign w:val="superscript"/>
                      <w:lang w:bidi="ar"/>
                    </w:rPr>
                    <w:t>3</w:t>
                  </w:r>
                  <w:r>
                    <w:rPr>
                      <w:color w:val="auto"/>
                      <w:kern w:val="0"/>
                      <w:highlight w:val="none"/>
                      <w:lang w:bidi="ar"/>
                    </w:rPr>
                    <w:t>/h，DN=100mm</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鼓风机</w:t>
                  </w: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正压容积式无油变频螺杆鼓风机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风量48.6m</w:t>
                  </w:r>
                  <w:r>
                    <w:rPr>
                      <w:color w:val="auto"/>
                      <w:kern w:val="0"/>
                      <w:highlight w:val="none"/>
                      <w:vertAlign w:val="superscript"/>
                      <w:lang w:bidi="ar"/>
                    </w:rPr>
                    <w:t>3</w:t>
                  </w:r>
                  <w:r>
                    <w:rPr>
                      <w:color w:val="auto"/>
                      <w:kern w:val="0"/>
                      <w:highlight w:val="none"/>
                      <w:lang w:bidi="ar"/>
                    </w:rPr>
                    <w:t>/min</w:t>
                  </w:r>
                  <w:r>
                    <w:rPr>
                      <w:rStyle w:val="46"/>
                      <w:rFonts w:hint="default" w:ascii="Times New Roman" w:hAnsi="Times New Roman" w:cs="Times New Roman"/>
                      <w:color w:val="auto"/>
                      <w:sz w:val="21"/>
                      <w:szCs w:val="21"/>
                      <w:highlight w:val="none"/>
                      <w:lang w:bidi="ar"/>
                    </w:rPr>
                    <w:t>，出口压力</w:t>
                  </w:r>
                  <w:r>
                    <w:rPr>
                      <w:color w:val="auto"/>
                      <w:kern w:val="0"/>
                      <w:highlight w:val="none"/>
                      <w:lang w:bidi="ar"/>
                    </w:rPr>
                    <w:t>73.5kPa</w:t>
                  </w:r>
                  <w:r>
                    <w:rPr>
                      <w:rStyle w:val="46"/>
                      <w:rFonts w:hint="default" w:ascii="Times New Roman" w:hAnsi="Times New Roman" w:cs="Times New Roman"/>
                      <w:color w:val="auto"/>
                      <w:sz w:val="21"/>
                      <w:szCs w:val="21"/>
                      <w:highlight w:val="none"/>
                      <w:lang w:bidi="ar"/>
                    </w:rPr>
                    <w:t>，</w:t>
                  </w:r>
                  <w:r>
                    <w:rPr>
                      <w:color w:val="auto"/>
                      <w:kern w:val="0"/>
                      <w:highlight w:val="none"/>
                      <w:lang w:bidi="ar"/>
                    </w:rPr>
                    <w:t>N=90kW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1用</w:t>
                  </w:r>
                  <w:r>
                    <w:rPr>
                      <w:color w:val="auto"/>
                      <w:kern w:val="0"/>
                      <w:highlight w:val="none"/>
                      <w:lang w:bidi="ar"/>
                    </w:rPr>
                    <w:t>1</w:t>
                  </w:r>
                  <w:r>
                    <w:rPr>
                      <w:rStyle w:val="46"/>
                      <w:rFonts w:hint="default" w:ascii="Times New Roman" w:hAnsi="Times New Roman" w:cs="Times New Roman"/>
                      <w:color w:val="auto"/>
                      <w:sz w:val="21"/>
                      <w:szCs w:val="21"/>
                      <w:highlight w:val="none"/>
                      <w:lang w:bidi="ar"/>
                    </w:rPr>
                    <w:t>备，考虑同时开启</w:t>
                  </w:r>
                  <w:r>
                    <w:rPr>
                      <w:color w:val="auto"/>
                      <w:kern w:val="0"/>
                      <w:highlight w:val="none"/>
                      <w:lang w:bidi="ar"/>
                    </w:rPr>
                    <w:t>；</w:t>
                  </w:r>
                  <w:r>
                    <w:rPr>
                      <w:rStyle w:val="46"/>
                      <w:rFonts w:hint="default" w:ascii="Times New Roman" w:hAnsi="Times New Roman" w:cs="Times New Roman"/>
                      <w:color w:val="auto"/>
                      <w:sz w:val="21"/>
                      <w:szCs w:val="21"/>
                      <w:highlight w:val="none"/>
                      <w:lang w:bidi="ar"/>
                    </w:rPr>
                    <w:t>自带控制柜，自带变频器，计入自控</w:t>
                  </w:r>
                  <w:r>
                    <w:rPr>
                      <w:color w:val="auto"/>
                      <w:kern w:val="0"/>
                      <w:highlight w:val="none"/>
                      <w:lang w:bidi="ar"/>
                    </w:rPr>
                    <w:t>；</w:t>
                  </w:r>
                  <w:r>
                    <w:rPr>
                      <w:rStyle w:val="46"/>
                      <w:rFonts w:hint="default" w:ascii="Times New Roman" w:hAnsi="Times New Roman" w:cs="Times New Roman"/>
                      <w:color w:val="auto"/>
                      <w:sz w:val="21"/>
                      <w:szCs w:val="21"/>
                      <w:highlight w:val="none"/>
                      <w:lang w:bidi="ar"/>
                    </w:rPr>
                    <w:t>厂家配套进气过滤消声器、压力表、排气消声器、安全阀、逆止阀、放空阀、出口弹性接管等附件</w:t>
                  </w:r>
                  <w:r>
                    <w:rPr>
                      <w:color w:val="auto"/>
                      <w:kern w:val="0"/>
                      <w:highlight w:val="none"/>
                      <w:lang w:bidi="ar"/>
                    </w:rPr>
                    <w:t>，</w:t>
                  </w:r>
                  <w:r>
                    <w:rPr>
                      <w:rStyle w:val="46"/>
                      <w:rFonts w:hint="default" w:ascii="Times New Roman" w:hAnsi="Times New Roman" w:cs="Times New Roman"/>
                      <w:color w:val="auto"/>
                      <w:sz w:val="21"/>
                      <w:szCs w:val="21"/>
                      <w:highlight w:val="none"/>
                      <w:lang w:bidi="ar"/>
                    </w:rPr>
                    <w:t>集成在机箱内。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正压容积式无油变频螺杆鼓风机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风量48.6m</w:t>
                  </w:r>
                  <w:r>
                    <w:rPr>
                      <w:color w:val="auto"/>
                      <w:kern w:val="0"/>
                      <w:highlight w:val="none"/>
                      <w:vertAlign w:val="superscript"/>
                      <w:lang w:bidi="ar"/>
                    </w:rPr>
                    <w:t>3</w:t>
                  </w:r>
                  <w:r>
                    <w:rPr>
                      <w:color w:val="auto"/>
                      <w:kern w:val="0"/>
                      <w:highlight w:val="none"/>
                      <w:lang w:bidi="ar"/>
                    </w:rPr>
                    <w:t>/min</w:t>
                  </w:r>
                  <w:r>
                    <w:rPr>
                      <w:rStyle w:val="46"/>
                      <w:rFonts w:hint="default" w:ascii="Times New Roman" w:hAnsi="Times New Roman" w:cs="Times New Roman"/>
                      <w:color w:val="auto"/>
                      <w:sz w:val="21"/>
                      <w:szCs w:val="21"/>
                      <w:highlight w:val="none"/>
                      <w:lang w:bidi="ar"/>
                    </w:rPr>
                    <w:t>，出口压力</w:t>
                  </w:r>
                  <w:r>
                    <w:rPr>
                      <w:color w:val="auto"/>
                      <w:kern w:val="0"/>
                      <w:highlight w:val="none"/>
                      <w:lang w:bidi="ar"/>
                    </w:rPr>
                    <w:t>53.5kPa</w:t>
                  </w:r>
                  <w:r>
                    <w:rPr>
                      <w:rStyle w:val="46"/>
                      <w:rFonts w:hint="default" w:ascii="Times New Roman" w:hAnsi="Times New Roman" w:cs="Times New Roman"/>
                      <w:color w:val="auto"/>
                      <w:sz w:val="21"/>
                      <w:szCs w:val="21"/>
                      <w:highlight w:val="none"/>
                      <w:lang w:bidi="ar"/>
                    </w:rPr>
                    <w:t>，</w:t>
                  </w:r>
                  <w:r>
                    <w:rPr>
                      <w:color w:val="auto"/>
                      <w:kern w:val="0"/>
                      <w:highlight w:val="none"/>
                      <w:lang w:bidi="ar"/>
                    </w:rPr>
                    <w:t>N=90kW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考虑同时开启</w:t>
                  </w:r>
                  <w:r>
                    <w:rPr>
                      <w:color w:val="auto"/>
                      <w:kern w:val="0"/>
                      <w:highlight w:val="none"/>
                      <w:lang w:bidi="ar"/>
                    </w:rPr>
                    <w:t>；</w:t>
                  </w:r>
                  <w:r>
                    <w:rPr>
                      <w:rStyle w:val="46"/>
                      <w:rFonts w:hint="default" w:ascii="Times New Roman" w:hAnsi="Times New Roman" w:cs="Times New Roman"/>
                      <w:color w:val="auto"/>
                      <w:sz w:val="21"/>
                      <w:szCs w:val="21"/>
                      <w:highlight w:val="none"/>
                      <w:lang w:bidi="ar"/>
                    </w:rPr>
                    <w:t>自带控制柜，自带变频器，计入自控</w:t>
                  </w:r>
                  <w:r>
                    <w:rPr>
                      <w:color w:val="auto"/>
                      <w:kern w:val="0"/>
                      <w:highlight w:val="none"/>
                      <w:lang w:bidi="ar"/>
                    </w:rPr>
                    <w:t>；</w:t>
                  </w:r>
                  <w:r>
                    <w:rPr>
                      <w:rStyle w:val="46"/>
                      <w:rFonts w:hint="default" w:ascii="Times New Roman" w:hAnsi="Times New Roman" w:cs="Times New Roman"/>
                      <w:color w:val="auto"/>
                      <w:sz w:val="21"/>
                      <w:szCs w:val="21"/>
                      <w:highlight w:val="none"/>
                      <w:lang w:bidi="ar"/>
                    </w:rPr>
                    <w:t>厂家配套进气过滤消声器、压力表、排气消声器、安全阀、逆止阀、放空阀、出口弹性接管等附件，集成在机箱内。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轴流风机</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Q=4426m</w:t>
                  </w:r>
                  <w:r>
                    <w:rPr>
                      <w:color w:val="auto"/>
                      <w:kern w:val="0"/>
                      <w:highlight w:val="none"/>
                      <w:vertAlign w:val="superscript"/>
                      <w:lang w:bidi="ar"/>
                    </w:rPr>
                    <w:t>3</w:t>
                  </w:r>
                  <w:r>
                    <w:rPr>
                      <w:color w:val="auto"/>
                      <w:kern w:val="0"/>
                      <w:highlight w:val="none"/>
                      <w:lang w:bidi="ar"/>
                    </w:rPr>
                    <w:t>/h</w:t>
                  </w:r>
                  <w:r>
                    <w:rPr>
                      <w:rStyle w:val="46"/>
                      <w:rFonts w:hint="default" w:ascii="Times New Roman" w:hAnsi="Times New Roman" w:cs="Times New Roman"/>
                      <w:color w:val="auto"/>
                      <w:sz w:val="21"/>
                      <w:szCs w:val="21"/>
                      <w:highlight w:val="none"/>
                      <w:lang w:bidi="ar"/>
                    </w:rPr>
                    <w:t>，</w:t>
                  </w:r>
                  <w:r>
                    <w:rPr>
                      <w:color w:val="auto"/>
                      <w:kern w:val="0"/>
                      <w:highlight w:val="none"/>
                      <w:lang w:bidi="ar"/>
                    </w:rPr>
                    <w:t>n=2900r/min</w:t>
                  </w:r>
                  <w:r>
                    <w:rPr>
                      <w:rStyle w:val="46"/>
                      <w:rFonts w:hint="default" w:ascii="Times New Roman" w:hAnsi="Times New Roman" w:cs="Times New Roman"/>
                      <w:color w:val="auto"/>
                      <w:sz w:val="21"/>
                      <w:szCs w:val="21"/>
                      <w:highlight w:val="none"/>
                      <w:lang w:bidi="ar"/>
                    </w:rPr>
                    <w:t>，</w:t>
                  </w:r>
                  <w:r>
                    <w:rPr>
                      <w:color w:val="auto"/>
                      <w:kern w:val="0"/>
                      <w:highlight w:val="none"/>
                      <w:lang w:bidi="ar"/>
                    </w:rPr>
                    <w:t>N=0.55kW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w:t>
                  </w:r>
                  <w:r>
                    <w:rPr>
                      <w:rStyle w:val="46"/>
                      <w:rFonts w:hint="default" w:ascii="Times New Roman" w:hAnsi="Times New Roman" w:cs="Times New Roman"/>
                      <w:color w:val="auto"/>
                      <w:sz w:val="21"/>
                      <w:szCs w:val="21"/>
                      <w:highlight w:val="none"/>
                      <w:lang w:bidi="ar"/>
                    </w:rPr>
                    <w:t>台</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w:t>
                  </w:r>
                  <w:r>
                    <w:rPr>
                      <w:rStyle w:val="46"/>
                      <w:rFonts w:hint="default" w:ascii="Times New Roman" w:hAnsi="Times New Roman" w:cs="Times New Roman"/>
                      <w:color w:val="auto"/>
                      <w:sz w:val="21"/>
                      <w:szCs w:val="21"/>
                      <w:highlight w:val="none"/>
                      <w:lang w:bidi="ar"/>
                    </w:rPr>
                    <w:t>台</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电动葫芦</w:t>
                  </w:r>
                </w:p>
              </w:tc>
              <w:tc>
                <w:tcPr>
                  <w:tcW w:w="1571"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起重</w:t>
                  </w:r>
                  <w:r>
                    <w:rPr>
                      <w:color w:val="auto"/>
                      <w:kern w:val="0"/>
                      <w:highlight w:val="none"/>
                      <w:lang w:bidi="ar"/>
                    </w:rPr>
                    <w:t>2t</w:t>
                  </w:r>
                  <w:r>
                    <w:rPr>
                      <w:rStyle w:val="46"/>
                      <w:rFonts w:hint="default" w:ascii="Times New Roman" w:hAnsi="Times New Roman" w:cs="Times New Roman"/>
                      <w:color w:val="auto"/>
                      <w:sz w:val="21"/>
                      <w:szCs w:val="21"/>
                      <w:highlight w:val="none"/>
                      <w:lang w:bidi="ar"/>
                    </w:rPr>
                    <w:t>，起升高度</w:t>
                  </w:r>
                  <w:r>
                    <w:rPr>
                      <w:color w:val="auto"/>
                      <w:kern w:val="0"/>
                      <w:highlight w:val="none"/>
                      <w:lang w:bidi="ar"/>
                    </w:rPr>
                    <w:t>6m</w:t>
                  </w:r>
                  <w:r>
                    <w:rPr>
                      <w:rStyle w:val="46"/>
                      <w:rFonts w:hint="default" w:ascii="Times New Roman" w:hAnsi="Times New Roman" w:cs="Times New Roman"/>
                      <w:color w:val="auto"/>
                      <w:sz w:val="21"/>
                      <w:szCs w:val="21"/>
                      <w:highlight w:val="none"/>
                      <w:lang w:bidi="ar"/>
                    </w:rPr>
                    <w:t>，总功率</w:t>
                  </w:r>
                  <w:r>
                    <w:rPr>
                      <w:color w:val="auto"/>
                      <w:kern w:val="0"/>
                      <w:highlight w:val="none"/>
                      <w:lang w:bidi="ar"/>
                    </w:rPr>
                    <w:t>3.6kW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配套</w:t>
                  </w:r>
                  <w:r>
                    <w:rPr>
                      <w:color w:val="auto"/>
                      <w:kern w:val="0"/>
                      <w:highlight w:val="none"/>
                      <w:lang w:bidi="ar"/>
                    </w:rPr>
                    <w:t>1</w:t>
                  </w:r>
                  <w:r>
                    <w:rPr>
                      <w:rStyle w:val="46"/>
                      <w:rFonts w:hint="default" w:ascii="Times New Roman" w:hAnsi="Times New Roman" w:cs="Times New Roman"/>
                      <w:color w:val="auto"/>
                      <w:sz w:val="21"/>
                      <w:szCs w:val="21"/>
                      <w:highlight w:val="none"/>
                      <w:lang w:bidi="ar"/>
                    </w:rPr>
                    <w:t>根</w:t>
                  </w:r>
                  <w:r>
                    <w:rPr>
                      <w:color w:val="auto"/>
                      <w:kern w:val="0"/>
                      <w:highlight w:val="none"/>
                      <w:lang w:bidi="ar"/>
                    </w:rPr>
                    <w:t>14m</w:t>
                  </w:r>
                  <w:r>
                    <w:rPr>
                      <w:rStyle w:val="46"/>
                      <w:rFonts w:hint="default" w:ascii="Times New Roman" w:hAnsi="Times New Roman" w:cs="Times New Roman"/>
                      <w:color w:val="auto"/>
                      <w:sz w:val="21"/>
                      <w:szCs w:val="21"/>
                      <w:highlight w:val="none"/>
                      <w:lang w:bidi="ar"/>
                    </w:rPr>
                    <w:t>工字钢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在线监测</w:t>
                  </w: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pH仪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SS仪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COD仪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NH</w:t>
                  </w:r>
                  <w:r>
                    <w:rPr>
                      <w:color w:val="auto"/>
                      <w:kern w:val="0"/>
                      <w:highlight w:val="none"/>
                      <w:vertAlign w:val="subscript"/>
                      <w:lang w:bidi="ar"/>
                    </w:rPr>
                    <w:t>3</w:t>
                  </w:r>
                  <w:r>
                    <w:rPr>
                      <w:color w:val="auto"/>
                      <w:kern w:val="0"/>
                      <w:highlight w:val="none"/>
                      <w:lang w:bidi="ar"/>
                    </w:rPr>
                    <w:t>-N仪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2</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总氮仪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总磷仪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水温仪</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备用电源</w:t>
                  </w: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柴油发电机</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420kW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1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用电负荷不足，拆除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4" w:type="pct"/>
                  <w:vMerge w:val="continue"/>
                  <w:vAlign w:val="center"/>
                </w:tcPr>
                <w:p>
                  <w:pPr>
                    <w:pageBreakBefore w:val="0"/>
                    <w:kinsoku/>
                    <w:wordWrap/>
                    <w:topLinePunct w:val="0"/>
                    <w:bidi w:val="0"/>
                    <w:ind w:left="0" w:leftChars="0" w:right="0" w:rightChars="0"/>
                    <w:jc w:val="center"/>
                    <w:rPr>
                      <w:color w:val="auto"/>
                      <w:highlight w:val="none"/>
                    </w:rPr>
                  </w:pPr>
                </w:p>
              </w:tc>
              <w:tc>
                <w:tcPr>
                  <w:tcW w:w="101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柴油发电机组</w:t>
                  </w:r>
                </w:p>
              </w:tc>
              <w:tc>
                <w:tcPr>
                  <w:tcW w:w="1571"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600kW</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c>
                <w:tcPr>
                  <w:tcW w:w="26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273"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1</w:t>
                  </w:r>
                  <w:r>
                    <w:rPr>
                      <w:rStyle w:val="46"/>
                      <w:rFonts w:hint="default" w:ascii="Times New Roman" w:hAnsi="Times New Roman" w:cs="Times New Roman"/>
                      <w:color w:val="auto"/>
                      <w:sz w:val="21"/>
                      <w:szCs w:val="21"/>
                      <w:highlight w:val="none"/>
                      <w:lang w:bidi="ar"/>
                    </w:rPr>
                    <w:t>套</w:t>
                  </w:r>
                </w:p>
              </w:tc>
              <w:tc>
                <w:tcPr>
                  <w:tcW w:w="1355" w:type="pct"/>
                  <w:vAlign w:val="center"/>
                </w:tcPr>
                <w:p>
                  <w:pPr>
                    <w:pageBreakBefore w:val="0"/>
                    <w:widowControl/>
                    <w:kinsoku/>
                    <w:wordWrap/>
                    <w:topLinePunct w:val="0"/>
                    <w:bidi w:val="0"/>
                    <w:ind w:left="0" w:leftChars="0" w:right="0" w:rightChars="0"/>
                    <w:jc w:val="center"/>
                    <w:rPr>
                      <w:color w:val="auto"/>
                      <w:highlight w:val="none"/>
                    </w:rPr>
                  </w:pP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2、主要原辅材料</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本项目建成后，污水总处理能力为2.0万m</w:t>
            </w:r>
            <w:r>
              <w:rPr>
                <w:color w:val="auto"/>
                <w:sz w:val="24"/>
                <w:szCs w:val="24"/>
                <w:highlight w:val="none"/>
                <w:vertAlign w:val="superscript"/>
                <w:lang w:bidi="ar"/>
              </w:rPr>
              <w:t>3</w:t>
            </w:r>
            <w:r>
              <w:rPr>
                <w:color w:val="auto"/>
                <w:sz w:val="24"/>
                <w:szCs w:val="24"/>
                <w:highlight w:val="none"/>
                <w:lang w:bidi="ar"/>
              </w:rPr>
              <w:t>/d，主要原辅材料及能源见下表。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表2-5</w:t>
            </w:r>
            <w:r>
              <w:rPr>
                <w:rFonts w:hint="eastAsia" w:eastAsia="黑体"/>
                <w:color w:val="auto"/>
                <w:highlight w:val="none"/>
              </w:rPr>
              <w:t xml:space="preserve"> </w:t>
            </w:r>
            <w:r>
              <w:rPr>
                <w:rFonts w:eastAsia="黑体"/>
                <w:color w:val="auto"/>
                <w:highlight w:val="none"/>
              </w:rPr>
              <w:t>污水处理主要原辅材料及能耗</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213"/>
              <w:gridCol w:w="1228"/>
              <w:gridCol w:w="1582"/>
              <w:gridCol w:w="1561"/>
              <w:gridCol w:w="1036"/>
              <w:gridCol w:w="1326"/>
              <w:gridCol w:w="2319"/>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序号</w:t>
                  </w:r>
                </w:p>
              </w:tc>
              <w:tc>
                <w:tcPr>
                  <w:tcW w:w="82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名称</w:t>
                  </w:r>
                </w:p>
              </w:tc>
              <w:tc>
                <w:tcPr>
                  <w:tcW w:w="457"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单位</w:t>
                  </w:r>
                </w:p>
              </w:tc>
              <w:tc>
                <w:tcPr>
                  <w:tcW w:w="589"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扩建前年用量</w:t>
                  </w:r>
                </w:p>
              </w:tc>
              <w:tc>
                <w:tcPr>
                  <w:tcW w:w="581"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扩建后年用量</w:t>
                  </w:r>
                </w:p>
              </w:tc>
              <w:tc>
                <w:tcPr>
                  <w:tcW w:w="386"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增减量</w:t>
                  </w:r>
                </w:p>
              </w:tc>
              <w:tc>
                <w:tcPr>
                  <w:tcW w:w="494"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最大储存量</w:t>
                  </w:r>
                </w:p>
              </w:tc>
              <w:tc>
                <w:tcPr>
                  <w:tcW w:w="86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储存方式</w:t>
                  </w:r>
                </w:p>
              </w:tc>
              <w:tc>
                <w:tcPr>
                  <w:tcW w:w="55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聚丙烯酰胺（PAM）</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t/a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2</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4</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+2</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袋装，堆存，25kg/袋</w:t>
                  </w:r>
                </w:p>
              </w:tc>
              <w:tc>
                <w:tcPr>
                  <w:tcW w:w="555"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絮凝剂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2</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聚合硫酸铁（PFS）</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t/a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63</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126</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+63</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袋装，堆存，25kg/袋</w:t>
                  </w:r>
                </w:p>
              </w:tc>
              <w:tc>
                <w:tcPr>
                  <w:tcW w:w="555"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化学沉淀除磷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3</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醋酸钠</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t/a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4</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8</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+4</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2</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袋装，堆存，25kg/袋</w:t>
                  </w:r>
                </w:p>
              </w:tc>
              <w:tc>
                <w:tcPr>
                  <w:tcW w:w="555"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碳源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4</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石灰</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t/a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3</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袋装，堆存，25kg/袋</w:t>
                  </w:r>
                </w:p>
              </w:tc>
              <w:tc>
                <w:tcPr>
                  <w:tcW w:w="555"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污泥脱水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硫酸（1000mL）</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L/a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8</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55" w:type="pct"/>
                  <w:vMerge w:val="restar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污废水水质指标实验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6</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盐酸（500mL）</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L/a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6</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55" w:type="pct"/>
                  <w:vMerge w:val="continue"/>
                  <w:vAlign w:val="center"/>
                </w:tcPr>
                <w:p>
                  <w:pPr>
                    <w:pageBreakBefore w:val="0"/>
                    <w:kinsoku/>
                    <w:wordWrap/>
                    <w:topLinePunct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7</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重铬酸钾（分析纯）</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g/a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150</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150</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55" w:type="pct"/>
                  <w:vMerge w:val="continue"/>
                  <w:vAlign w:val="center"/>
                </w:tcPr>
                <w:p>
                  <w:pPr>
                    <w:pageBreakBefore w:val="0"/>
                    <w:kinsoku/>
                    <w:wordWrap/>
                    <w:topLinePunct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8</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过硫酸钾（分析纯）</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g/a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55" w:type="pct"/>
                  <w:vMerge w:val="continue"/>
                  <w:vAlign w:val="center"/>
                </w:tcPr>
                <w:p>
                  <w:pPr>
                    <w:pageBreakBefore w:val="0"/>
                    <w:kinsoku/>
                    <w:wordWrap/>
                    <w:topLinePunct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9</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钼酸钠（分析纯）</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g/a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150</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150</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55" w:type="pct"/>
                  <w:vMerge w:val="continue"/>
                  <w:vAlign w:val="center"/>
                </w:tcPr>
                <w:p>
                  <w:pPr>
                    <w:pageBreakBefore w:val="0"/>
                    <w:kinsoku/>
                    <w:wordWrap/>
                    <w:topLinePunct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10</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氢氧化钠（分析纯）</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g/a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500</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55" w:type="pct"/>
                  <w:vMerge w:val="continue"/>
                  <w:vAlign w:val="center"/>
                </w:tcPr>
                <w:p>
                  <w:pPr>
                    <w:pageBreakBefore w:val="0"/>
                    <w:kinsoku/>
                    <w:wordWrap/>
                    <w:topLinePunct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11</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电</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万kWh/a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145</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300</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+155</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w:t>
                  </w:r>
                </w:p>
              </w:tc>
              <w:tc>
                <w:tcPr>
                  <w:tcW w:w="555"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12</w:t>
                  </w:r>
                </w:p>
              </w:tc>
              <w:tc>
                <w:tcPr>
                  <w:tcW w:w="8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水</w:t>
                  </w:r>
                </w:p>
              </w:tc>
              <w:tc>
                <w:tcPr>
                  <w:tcW w:w="457"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t/a</w:t>
                  </w:r>
                </w:p>
              </w:tc>
              <w:tc>
                <w:tcPr>
                  <w:tcW w:w="589"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784.75</w:t>
                  </w:r>
                </w:p>
              </w:tc>
              <w:tc>
                <w:tcPr>
                  <w:tcW w:w="58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967.25</w:t>
                  </w:r>
                </w:p>
              </w:tc>
              <w:tc>
                <w:tcPr>
                  <w:tcW w:w="386"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182.5</w:t>
                  </w:r>
                </w:p>
              </w:tc>
              <w:tc>
                <w:tcPr>
                  <w:tcW w:w="494"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w:t>
                  </w:r>
                </w:p>
              </w:tc>
              <w:tc>
                <w:tcPr>
                  <w:tcW w:w="86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w:t>
                  </w:r>
                </w:p>
              </w:tc>
              <w:tc>
                <w:tcPr>
                  <w:tcW w:w="555"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市政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 w:type="pct"/>
                  <w:vAlign w:val="center"/>
                </w:tcPr>
                <w:p>
                  <w:pPr>
                    <w:pageBreakBefore w:val="0"/>
                    <w:kinsoku/>
                    <w:wordWrap/>
                    <w:topLinePunct w:val="0"/>
                    <w:bidi w:val="0"/>
                    <w:ind w:left="0" w:leftChars="0" w:right="0" w:rightChars="0"/>
                    <w:jc w:val="center"/>
                    <w:rPr>
                      <w:rFonts w:hint="default" w:eastAsia="宋体"/>
                      <w:color w:val="auto"/>
                      <w:kern w:val="0"/>
                      <w:highlight w:val="none"/>
                      <w:lang w:val="en-US" w:eastAsia="zh-CN"/>
                    </w:rPr>
                  </w:pPr>
                  <w:r>
                    <w:rPr>
                      <w:rFonts w:hint="eastAsia"/>
                      <w:color w:val="auto"/>
                      <w:kern w:val="0"/>
                      <w:highlight w:val="none"/>
                      <w:lang w:val="en-US" w:eastAsia="zh-CN"/>
                    </w:rPr>
                    <w:t>13</w:t>
                  </w:r>
                </w:p>
              </w:tc>
              <w:tc>
                <w:tcPr>
                  <w:tcW w:w="823" w:type="pct"/>
                  <w:vAlign w:val="center"/>
                </w:tcPr>
                <w:p>
                  <w:pPr>
                    <w:pageBreakBefore w:val="0"/>
                    <w:kinsoku/>
                    <w:wordWrap/>
                    <w:topLinePunct w:val="0"/>
                    <w:bidi w:val="0"/>
                    <w:ind w:left="0" w:leftChars="0" w:right="0" w:rightChars="0"/>
                    <w:jc w:val="center"/>
                    <w:rPr>
                      <w:rFonts w:hint="eastAsia" w:eastAsia="宋体"/>
                      <w:color w:val="auto"/>
                      <w:kern w:val="0"/>
                      <w:highlight w:val="none"/>
                      <w:lang w:val="en-US" w:eastAsia="zh-CN"/>
                    </w:rPr>
                  </w:pPr>
                  <w:r>
                    <w:rPr>
                      <w:rFonts w:hint="eastAsia"/>
                      <w:color w:val="auto"/>
                      <w:kern w:val="0"/>
                      <w:highlight w:val="none"/>
                      <w:lang w:val="en-US" w:eastAsia="zh-CN"/>
                    </w:rPr>
                    <w:t>柴油</w:t>
                  </w:r>
                </w:p>
              </w:tc>
              <w:tc>
                <w:tcPr>
                  <w:tcW w:w="457" w:type="pct"/>
                  <w:vAlign w:val="center"/>
                </w:tcPr>
                <w:p>
                  <w:pPr>
                    <w:pageBreakBefore w:val="0"/>
                    <w:kinsoku/>
                    <w:wordWrap/>
                    <w:topLinePunct w:val="0"/>
                    <w:bidi w:val="0"/>
                    <w:ind w:left="0" w:leftChars="0" w:right="0" w:rightChars="0"/>
                    <w:jc w:val="center"/>
                    <w:rPr>
                      <w:rFonts w:hint="eastAsia" w:eastAsia="宋体"/>
                      <w:color w:val="auto"/>
                      <w:kern w:val="0"/>
                      <w:highlight w:val="none"/>
                      <w:lang w:val="en-US" w:eastAsia="zh-CN"/>
                    </w:rPr>
                  </w:pPr>
                  <w:r>
                    <w:rPr>
                      <w:rFonts w:hint="eastAsia"/>
                      <w:color w:val="auto"/>
                      <w:kern w:val="0"/>
                      <w:highlight w:val="none"/>
                      <w:lang w:val="en-US" w:eastAsia="zh-CN"/>
                    </w:rPr>
                    <w:t>t/a</w:t>
                  </w:r>
                </w:p>
              </w:tc>
              <w:tc>
                <w:tcPr>
                  <w:tcW w:w="589" w:type="pct"/>
                  <w:vAlign w:val="center"/>
                </w:tcPr>
                <w:p>
                  <w:pPr>
                    <w:pageBreakBefore w:val="0"/>
                    <w:kinsoku/>
                    <w:wordWrap/>
                    <w:topLinePunct w:val="0"/>
                    <w:bidi w:val="0"/>
                    <w:ind w:left="0" w:leftChars="0" w:right="0" w:rightChars="0"/>
                    <w:jc w:val="center"/>
                    <w:rPr>
                      <w:rFonts w:hint="eastAsia" w:eastAsia="宋体"/>
                      <w:color w:val="auto"/>
                      <w:kern w:val="0"/>
                      <w:highlight w:val="none"/>
                      <w:lang w:val="en-US" w:eastAsia="zh-CN"/>
                    </w:rPr>
                  </w:pPr>
                  <w:r>
                    <w:rPr>
                      <w:rFonts w:hint="eastAsia"/>
                      <w:color w:val="auto"/>
                      <w:kern w:val="0"/>
                      <w:highlight w:val="none"/>
                      <w:lang w:val="en-US" w:eastAsia="zh-CN"/>
                    </w:rPr>
                    <w:t>0</w:t>
                  </w:r>
                </w:p>
              </w:tc>
              <w:tc>
                <w:tcPr>
                  <w:tcW w:w="581" w:type="pct"/>
                  <w:vAlign w:val="center"/>
                </w:tcPr>
                <w:p>
                  <w:pPr>
                    <w:pageBreakBefore w:val="0"/>
                    <w:kinsoku/>
                    <w:wordWrap/>
                    <w:topLinePunct w:val="0"/>
                    <w:bidi w:val="0"/>
                    <w:ind w:left="0" w:leftChars="0" w:right="0" w:rightChars="0"/>
                    <w:jc w:val="center"/>
                    <w:rPr>
                      <w:rFonts w:hint="default" w:eastAsia="宋体"/>
                      <w:color w:val="auto"/>
                      <w:kern w:val="0"/>
                      <w:highlight w:val="none"/>
                      <w:lang w:val="en-US" w:eastAsia="zh-CN"/>
                    </w:rPr>
                  </w:pPr>
                  <w:r>
                    <w:rPr>
                      <w:rFonts w:hint="eastAsia"/>
                      <w:color w:val="auto"/>
                      <w:kern w:val="0"/>
                      <w:highlight w:val="none"/>
                      <w:lang w:val="en-US" w:eastAsia="zh-CN"/>
                    </w:rPr>
                    <w:t>0.5</w:t>
                  </w:r>
                </w:p>
              </w:tc>
              <w:tc>
                <w:tcPr>
                  <w:tcW w:w="386" w:type="pct"/>
                  <w:vAlign w:val="center"/>
                </w:tcPr>
                <w:p>
                  <w:pPr>
                    <w:pageBreakBefore w:val="0"/>
                    <w:kinsoku/>
                    <w:wordWrap/>
                    <w:topLinePunct w:val="0"/>
                    <w:bidi w:val="0"/>
                    <w:ind w:left="0" w:leftChars="0" w:right="0" w:rightChars="0"/>
                    <w:jc w:val="center"/>
                    <w:rPr>
                      <w:rFonts w:hint="default" w:eastAsia="宋体"/>
                      <w:color w:val="auto"/>
                      <w:kern w:val="0"/>
                      <w:highlight w:val="none"/>
                      <w:lang w:val="en-US" w:eastAsia="zh-CN"/>
                    </w:rPr>
                  </w:pPr>
                  <w:r>
                    <w:rPr>
                      <w:rFonts w:hint="eastAsia"/>
                      <w:color w:val="auto"/>
                      <w:kern w:val="0"/>
                      <w:highlight w:val="none"/>
                      <w:lang w:val="en-US" w:eastAsia="zh-CN"/>
                    </w:rPr>
                    <w:t>+0.5</w:t>
                  </w:r>
                </w:p>
              </w:tc>
              <w:tc>
                <w:tcPr>
                  <w:tcW w:w="494" w:type="pct"/>
                  <w:vAlign w:val="center"/>
                </w:tcPr>
                <w:p>
                  <w:pPr>
                    <w:pageBreakBefore w:val="0"/>
                    <w:kinsoku/>
                    <w:wordWrap/>
                    <w:topLinePunct w:val="0"/>
                    <w:bidi w:val="0"/>
                    <w:ind w:left="0" w:leftChars="0" w:right="0" w:rightChars="0"/>
                    <w:jc w:val="center"/>
                    <w:rPr>
                      <w:rFonts w:hint="default" w:eastAsia="宋体"/>
                      <w:color w:val="auto"/>
                      <w:kern w:val="0"/>
                      <w:highlight w:val="none"/>
                      <w:lang w:val="en-US" w:eastAsia="zh-CN"/>
                    </w:rPr>
                  </w:pPr>
                  <w:r>
                    <w:rPr>
                      <w:rFonts w:hint="eastAsia"/>
                      <w:color w:val="auto"/>
                      <w:kern w:val="0"/>
                      <w:highlight w:val="none"/>
                      <w:lang w:val="en-US" w:eastAsia="zh-CN"/>
                    </w:rPr>
                    <w:t>0.2</w:t>
                  </w:r>
                </w:p>
              </w:tc>
              <w:tc>
                <w:tcPr>
                  <w:tcW w:w="863" w:type="pct"/>
                  <w:vAlign w:val="center"/>
                </w:tcPr>
                <w:p>
                  <w:pPr>
                    <w:pageBreakBefore w:val="0"/>
                    <w:kinsoku/>
                    <w:wordWrap/>
                    <w:topLinePunct w:val="0"/>
                    <w:bidi w:val="0"/>
                    <w:ind w:left="0" w:leftChars="0" w:right="0" w:rightChars="0"/>
                    <w:jc w:val="center"/>
                    <w:rPr>
                      <w:rFonts w:hint="eastAsia" w:eastAsia="宋体"/>
                      <w:color w:val="auto"/>
                      <w:kern w:val="0"/>
                      <w:highlight w:val="none"/>
                      <w:lang w:val="en-US" w:eastAsia="zh-CN"/>
                    </w:rPr>
                  </w:pPr>
                  <w:r>
                    <w:rPr>
                      <w:rFonts w:hint="eastAsia"/>
                      <w:color w:val="auto"/>
                      <w:kern w:val="0"/>
                      <w:highlight w:val="none"/>
                      <w:lang w:val="en-US" w:eastAsia="zh-CN"/>
                    </w:rPr>
                    <w:t>桶装</w:t>
                  </w:r>
                </w:p>
              </w:tc>
              <w:tc>
                <w:tcPr>
                  <w:tcW w:w="555" w:type="pct"/>
                  <w:vAlign w:val="center"/>
                </w:tcPr>
                <w:p>
                  <w:pPr>
                    <w:pageBreakBefore w:val="0"/>
                    <w:kinsoku/>
                    <w:wordWrap/>
                    <w:topLinePunct w:val="0"/>
                    <w:bidi w:val="0"/>
                    <w:ind w:left="0" w:leftChars="0" w:right="0" w:rightChars="0"/>
                    <w:jc w:val="center"/>
                    <w:rPr>
                      <w:rFonts w:hint="default" w:eastAsia="宋体"/>
                      <w:color w:val="auto"/>
                      <w:kern w:val="0"/>
                      <w:highlight w:val="none"/>
                      <w:lang w:val="en-US" w:eastAsia="zh-CN"/>
                    </w:rPr>
                  </w:pPr>
                  <w:r>
                    <w:rPr>
                      <w:rFonts w:hint="eastAsia"/>
                      <w:color w:val="auto"/>
                      <w:kern w:val="0"/>
                      <w:highlight w:val="none"/>
                      <w:lang w:val="en-US" w:eastAsia="zh-CN"/>
                    </w:rPr>
                    <w:t>备用发电</w:t>
                  </w: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化学品介绍：</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w:t>
            </w:r>
            <w:bookmarkStart w:id="0" w:name="OLE_LINK4"/>
            <w:r>
              <w:rPr>
                <w:b/>
                <w:bCs/>
                <w:color w:val="auto"/>
                <w:sz w:val="24"/>
                <w:szCs w:val="24"/>
                <w:highlight w:val="none"/>
                <w:lang w:bidi="ar"/>
              </w:rPr>
              <w:t>聚丙烯酰胺（PAM）</w:t>
            </w:r>
            <w:bookmarkEnd w:id="0"/>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9003-05-8，分为胶体和粉剂，根据品种又分为非离子型和阴离子型，胶体产品为无色透明、无毒、无腐蚀。粉剂为白色粒状。两者均能溶于水。不溶于有机溶剂。聚丙烯酰胺（PAM）分子量高达（103～107），水溶性好，可调节分子量并可引入各种离子基团以得到特定的性能，是水溶性高分子中用量最大、用途最广泛的一种。</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（2）聚合硫酸铁（PFS）</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CAS号1327-41-9，聚合硫酸铁是一种性能优越的</w:t>
            </w:r>
            <w:r>
              <w:rPr>
                <w:color w:val="auto"/>
                <w:highlight w:val="none"/>
              </w:rPr>
              <w:fldChar w:fldCharType="begin"/>
            </w:r>
            <w:r>
              <w:rPr>
                <w:color w:val="auto"/>
                <w:highlight w:val="none"/>
              </w:rPr>
              <w:instrText xml:space="preserve"> HYPERLINK "https://baike.baidu.com/item/%E6%97%A0%E6%9C%BA%E9%AB%98%E5%88%86%E5%AD%90/10251184?fromModule=lemma_inlink" \t "https://baike.baidu.com/item/%E8%81%9A%E5%90%88%E7%A1%AB%E9%85%B8%E9%93%81/_blank" </w:instrText>
            </w:r>
            <w:r>
              <w:rPr>
                <w:color w:val="auto"/>
                <w:highlight w:val="none"/>
              </w:rPr>
              <w:fldChar w:fldCharType="separate"/>
            </w:r>
            <w:r>
              <w:rPr>
                <w:color w:val="auto"/>
                <w:sz w:val="24"/>
                <w:szCs w:val="24"/>
                <w:highlight w:val="none"/>
                <w:lang w:bidi="ar"/>
              </w:rPr>
              <w:t>无机高分子</w:t>
            </w:r>
            <w:r>
              <w:rPr>
                <w:color w:val="auto"/>
                <w:sz w:val="24"/>
                <w:szCs w:val="24"/>
                <w:highlight w:val="none"/>
                <w:lang w:bidi="ar"/>
              </w:rPr>
              <w:fldChar w:fldCharType="end"/>
            </w:r>
            <w:r>
              <w:rPr>
                <w:color w:val="auto"/>
                <w:sz w:val="24"/>
                <w:szCs w:val="24"/>
                <w:highlight w:val="none"/>
                <w:lang w:bidi="ar"/>
              </w:rPr>
              <w:t>混凝剂，形态性状是淡黄色无定型粉状固体，极易溶于水，10%（质量）的水溶液为红棕色透明溶液，吸湿性。聚合硫酸铁广泛应用于</w:t>
            </w:r>
            <w:r>
              <w:rPr>
                <w:color w:val="auto"/>
                <w:sz w:val="24"/>
                <w:szCs w:val="24"/>
                <w:highlight w:val="none"/>
                <w:lang w:bidi="ar"/>
              </w:rPr>
              <w:fldChar w:fldCharType="begin"/>
            </w:r>
            <w:r>
              <w:rPr>
                <w:color w:val="auto"/>
                <w:sz w:val="24"/>
                <w:szCs w:val="24"/>
                <w:highlight w:val="none"/>
                <w:lang w:bidi="ar"/>
              </w:rPr>
              <w:instrText xml:space="preserve"> HYPERLINK "https://baike.baidu.com/item/%E9%A5%AE%E7%94%A8%E6%B0%B4/4672037?fromModule=lemma_inlink" \t "https://baike.baidu.com/item/%E8%81%9A%E5%90%88%E7%A1%AB%E9%85%B8%E9%93%81/_blank" </w:instrText>
            </w:r>
            <w:r>
              <w:rPr>
                <w:color w:val="auto"/>
                <w:sz w:val="24"/>
                <w:szCs w:val="24"/>
                <w:highlight w:val="none"/>
                <w:lang w:bidi="ar"/>
              </w:rPr>
              <w:fldChar w:fldCharType="separate"/>
            </w:r>
            <w:r>
              <w:rPr>
                <w:color w:val="auto"/>
                <w:sz w:val="24"/>
                <w:szCs w:val="24"/>
                <w:highlight w:val="none"/>
                <w:lang w:bidi="ar"/>
              </w:rPr>
              <w:t>饮用水</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"https://baike.baidu.com/item/%E5%B7%A5%E4%B8%9A%E7%94%A8%E6%B0%B4/5240918?fromModule=lemma_inlink" \t "https://baike.baidu.com/item/%E8%81%9A%E5%90%88%E7%A1%AB%E9%85%B8%E9%93%81/_blank" </w:instrText>
            </w:r>
            <w:r>
              <w:rPr>
                <w:color w:val="auto"/>
                <w:highlight w:val="none"/>
              </w:rPr>
              <w:fldChar w:fldCharType="separate"/>
            </w:r>
            <w:r>
              <w:rPr>
                <w:color w:val="auto"/>
                <w:sz w:val="24"/>
                <w:szCs w:val="24"/>
                <w:highlight w:val="none"/>
                <w:lang w:bidi="ar"/>
              </w:rPr>
              <w:t>工业用水</w:t>
            </w:r>
            <w:r>
              <w:rPr>
                <w:color w:val="auto"/>
                <w:sz w:val="24"/>
                <w:szCs w:val="24"/>
                <w:highlight w:val="none"/>
                <w:lang w:bidi="ar"/>
              </w:rPr>
              <w:fldChar w:fldCharType="end"/>
            </w:r>
            <w:r>
              <w:rPr>
                <w:color w:val="auto"/>
                <w:sz w:val="24"/>
                <w:szCs w:val="24"/>
                <w:highlight w:val="none"/>
                <w:lang w:bidi="ar"/>
              </w:rPr>
              <w:t>、各种工业废水、城市污水、污泥脱水等的净化处理。</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eastAsia" w:eastAsia="宋体"/>
                <w:color w:val="auto"/>
                <w:sz w:val="24"/>
                <w:szCs w:val="24"/>
                <w:highlight w:val="none"/>
                <w:lang w:val="en-US" w:eastAsia="zh-CN" w:bidi="ar"/>
              </w:rPr>
            </w:pPr>
          </w:p>
        </w:tc>
      </w:tr>
    </w:tbl>
    <w:p>
      <w:pPr>
        <w:pStyle w:val="34"/>
        <w:pageBreakBefore w:val="0"/>
        <w:kinsoku/>
        <w:wordWrap/>
        <w:topLinePunct w:val="0"/>
        <w:bidi w:val="0"/>
        <w:ind w:left="0" w:leftChars="0" w:right="0" w:rightChars="0"/>
        <w:jc w:val="center"/>
        <w:outlineLvl w:val="9"/>
        <w:rPr>
          <w:rFonts w:eastAsia="黑体"/>
          <w:b w:val="0"/>
          <w:color w:val="auto"/>
          <w:sz w:val="30"/>
          <w:szCs w:val="30"/>
          <w:highlight w:val="none"/>
        </w:rPr>
        <w:sectPr>
          <w:pgSz w:w="16838" w:h="11906" w:orient="landscape"/>
          <w:pgMar w:top="1134" w:right="1440" w:bottom="1134" w:left="1440" w:header="851" w:footer="992" w:gutter="0"/>
          <w:cols w:space="0" w:num="1"/>
          <w:docGrid w:type="lines" w:linePitch="312"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9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建设内容</w:t>
            </w:r>
          </w:p>
        </w:tc>
        <w:tc>
          <w:tcPr>
            <w:tcW w:w="4782" w:type="pct"/>
          </w:tcPr>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（3）醋酸钠</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127-09-3，无色无味的结晶体，在空气中可被风化，可燃。易溶于水，微溶于乙醇，不溶于乙醚。123℃时失去结晶水。但是通常湿法制取。有醋酸的味道。水中发生水解，显碱性。健康危害：皮肤/眼睛刺激：兔子皮肤标准德雷兹染眼实验：500mg/24H对皮肤有轻微的刺激作用。兔子眼睛标准德雷兹染眼实验：50ug/24H对眼睛有轻微的刺激作用。燃爆危险：无。</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（4）硫酸</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CAS号7664-93-9，无水硫酸为无色油状液体，10.36℃时结晶，通常使用的是它的各种不同浓度的水溶液，用</w:t>
            </w:r>
            <w:r>
              <w:rPr>
                <w:color w:val="auto"/>
                <w:sz w:val="24"/>
                <w:szCs w:val="24"/>
                <w:highlight w:val="none"/>
                <w:lang w:bidi="ar"/>
              </w:rPr>
              <w:fldChar w:fldCharType="begin"/>
            </w:r>
            <w:r>
              <w:rPr>
                <w:color w:val="auto"/>
                <w:sz w:val="24"/>
                <w:szCs w:val="24"/>
                <w:highlight w:val="none"/>
                <w:lang w:bidi="ar"/>
              </w:rPr>
              <w:instrText xml:space="preserve"> HYPERLINK "https://baike.so.com/doc/4883217-5101179.html" \t "https://baike.so.com/doc/_blank" </w:instrText>
            </w:r>
            <w:r>
              <w:rPr>
                <w:color w:val="auto"/>
                <w:sz w:val="24"/>
                <w:szCs w:val="24"/>
                <w:highlight w:val="none"/>
                <w:lang w:bidi="ar"/>
              </w:rPr>
              <w:fldChar w:fldCharType="separate"/>
            </w:r>
            <w:r>
              <w:rPr>
                <w:color w:val="auto"/>
                <w:sz w:val="24"/>
                <w:szCs w:val="24"/>
                <w:highlight w:val="none"/>
                <w:lang w:bidi="ar"/>
              </w:rPr>
              <w:t>塔式法</w:t>
            </w:r>
            <w:r>
              <w:rPr>
                <w:color w:val="auto"/>
                <w:sz w:val="24"/>
                <w:szCs w:val="24"/>
                <w:highlight w:val="none"/>
                <w:lang w:bidi="ar"/>
              </w:rPr>
              <w:fldChar w:fldCharType="end"/>
            </w:r>
            <w:r>
              <w:rPr>
                <w:color w:val="auto"/>
                <w:sz w:val="24"/>
                <w:szCs w:val="24"/>
                <w:highlight w:val="none"/>
                <w:lang w:bidi="ar"/>
              </w:rPr>
              <w:t>和</w:t>
            </w:r>
            <w:r>
              <w:rPr>
                <w:color w:val="auto"/>
                <w:highlight w:val="none"/>
              </w:rPr>
              <w:fldChar w:fldCharType="begin"/>
            </w:r>
            <w:r>
              <w:rPr>
                <w:color w:val="auto"/>
                <w:highlight w:val="none"/>
              </w:rPr>
              <w:instrText xml:space="preserve"> HYPERLINK "https://baike.so.com/doc/6290327-6503821.html" \t "https://baike.so.com/doc/_blank" </w:instrText>
            </w:r>
            <w:r>
              <w:rPr>
                <w:color w:val="auto"/>
                <w:highlight w:val="none"/>
              </w:rPr>
              <w:fldChar w:fldCharType="separate"/>
            </w:r>
            <w:r>
              <w:rPr>
                <w:color w:val="auto"/>
                <w:sz w:val="24"/>
                <w:szCs w:val="24"/>
                <w:highlight w:val="none"/>
                <w:lang w:bidi="ar"/>
              </w:rPr>
              <w:t>接触法</w:t>
            </w:r>
            <w:r>
              <w:rPr>
                <w:color w:val="auto"/>
                <w:sz w:val="24"/>
                <w:szCs w:val="24"/>
                <w:highlight w:val="none"/>
                <w:lang w:bidi="ar"/>
              </w:rPr>
              <w:fldChar w:fldCharType="end"/>
            </w:r>
            <w:r>
              <w:rPr>
                <w:color w:val="auto"/>
                <w:sz w:val="24"/>
                <w:szCs w:val="24"/>
                <w:highlight w:val="none"/>
                <w:lang w:bidi="ar"/>
              </w:rPr>
              <w:t>制取。前者所得为粗制稀硫酸，质量分数一般在75%左右；后者可得质量分数98.3%的纯浓硫酸，沸点338℃，相对密度1.84。常用作化学试剂，在有机合成中可用作脱水剂和磺化剂。无色粘稠状液体，有强腐蚀性，有刺激性气味，易溶于水，生成稀硫酸。硫酸属中等毒性。急性毒性：LD502140mg/kg（大鼠经口）；LC50510mg/m</w:t>
            </w:r>
            <w:r>
              <w:rPr>
                <w:color w:val="auto"/>
                <w:sz w:val="24"/>
                <w:szCs w:val="24"/>
                <w:highlight w:val="none"/>
                <w:vertAlign w:val="superscript"/>
                <w:lang w:bidi="ar"/>
              </w:rPr>
              <w:t>3</w:t>
            </w:r>
            <w:r>
              <w:rPr>
                <w:color w:val="auto"/>
                <w:sz w:val="24"/>
                <w:szCs w:val="24"/>
                <w:highlight w:val="none"/>
                <w:lang w:bidi="ar"/>
              </w:rPr>
              <w:t>，2小时（大鼠吸入）；320mg/m</w:t>
            </w:r>
            <w:r>
              <w:rPr>
                <w:color w:val="auto"/>
                <w:sz w:val="24"/>
                <w:szCs w:val="24"/>
                <w:highlight w:val="none"/>
                <w:vertAlign w:val="superscript"/>
                <w:lang w:bidi="ar"/>
              </w:rPr>
              <w:t>3</w:t>
            </w:r>
            <w:r>
              <w:rPr>
                <w:color w:val="auto"/>
                <w:sz w:val="24"/>
                <w:szCs w:val="24"/>
                <w:highlight w:val="none"/>
                <w:lang w:bidi="ar"/>
              </w:rPr>
              <w:t>，2小时（小鼠吸入）。储存于阴凉、通风的库房。库温不超过35℃，相对湿度不超过85%。保持容器密封。远离火种、热源，工作场所严禁吸烟。远离易燃、可燃物。防止蒸气泄漏到工作场所空气中。避免与还原剂、碱类、</w:t>
            </w:r>
            <w:r>
              <w:rPr>
                <w:color w:val="auto"/>
                <w:sz w:val="24"/>
                <w:szCs w:val="24"/>
                <w:highlight w:val="none"/>
                <w:lang w:bidi="ar"/>
              </w:rPr>
              <w:fldChar w:fldCharType="begin"/>
            </w:r>
            <w:r>
              <w:rPr>
                <w:color w:val="auto"/>
                <w:sz w:val="24"/>
                <w:szCs w:val="24"/>
                <w:highlight w:val="none"/>
                <w:lang w:bidi="ar"/>
              </w:rPr>
              <w:instrText xml:space="preserve"> HYPERLINK "https://baike.so.com/doc/5004730-5229492.html" \t "https://baike.so.com/doc/_blank" </w:instrText>
            </w:r>
            <w:r>
              <w:rPr>
                <w:color w:val="auto"/>
                <w:sz w:val="24"/>
                <w:szCs w:val="24"/>
                <w:highlight w:val="none"/>
                <w:lang w:bidi="ar"/>
              </w:rPr>
              <w:fldChar w:fldCharType="separate"/>
            </w:r>
            <w:r>
              <w:rPr>
                <w:color w:val="auto"/>
                <w:sz w:val="24"/>
                <w:szCs w:val="24"/>
                <w:highlight w:val="none"/>
                <w:lang w:bidi="ar"/>
              </w:rPr>
              <w:t>碱金属</w:t>
            </w:r>
            <w:r>
              <w:rPr>
                <w:color w:val="auto"/>
                <w:sz w:val="24"/>
                <w:szCs w:val="24"/>
                <w:highlight w:val="none"/>
                <w:lang w:bidi="ar"/>
              </w:rPr>
              <w:fldChar w:fldCharType="end"/>
            </w:r>
            <w:r>
              <w:rPr>
                <w:color w:val="auto"/>
                <w:sz w:val="24"/>
                <w:szCs w:val="24"/>
                <w:highlight w:val="none"/>
                <w:lang w:bidi="ar"/>
              </w:rPr>
              <w:t>接触。搬运时要轻装轻卸，防止包装及容器损坏。配备相应品种和数量的消防器材及泄漏应急处理设备。倒空的容器可能残留有害物。稀释或制备溶液时，应把酸加入水中，避免沸腾和飞溅伤及人员。</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（5）盐酸</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7647-01-0，盐酸的性状为无色透明的液体，有强烈的刺鼻气味，具有较高的腐蚀性。浓盐酸（质量分数约为37%）具有极强的挥发性，因此盛有浓盐酸的容器打开后氯化氢气体会挥发，与空气中的水蒸气结合产生盐酸小液滴，使瓶口上方出现酸雾。盐酸是胃酸的主要成分，它能够促进食物消化、抵御微生物感染。盐酸透明无色或稍带黄色的强腐蚀性液体，有刺激性气味。可与水和</w:t>
            </w:r>
            <w:r>
              <w:rPr>
                <w:color w:val="auto"/>
                <w:sz w:val="24"/>
                <w:szCs w:val="24"/>
                <w:highlight w:val="none"/>
                <w:lang w:bidi="ar"/>
              </w:rPr>
              <w:fldChar w:fldCharType="begin"/>
            </w:r>
            <w:r>
              <w:rPr>
                <w:color w:val="auto"/>
                <w:sz w:val="24"/>
                <w:szCs w:val="24"/>
                <w:highlight w:val="none"/>
                <w:lang w:bidi="ar"/>
              </w:rPr>
              <w:instrText xml:space="preserve"> HYPERLINK "http://www.ichemistry.cn/chemistry/64-17-5.htm" \t "http://www.ichemistry.cn/chemistry/_blank" </w:instrText>
            </w:r>
            <w:r>
              <w:rPr>
                <w:color w:val="auto"/>
                <w:sz w:val="24"/>
                <w:szCs w:val="24"/>
                <w:highlight w:val="none"/>
                <w:lang w:bidi="ar"/>
              </w:rPr>
              <w:fldChar w:fldCharType="separate"/>
            </w:r>
            <w:r>
              <w:rPr>
                <w:color w:val="auto"/>
                <w:sz w:val="24"/>
                <w:szCs w:val="24"/>
                <w:highlight w:val="none"/>
                <w:lang w:bidi="ar"/>
              </w:rPr>
              <w:t>乙醇</w:t>
            </w:r>
            <w:r>
              <w:rPr>
                <w:color w:val="auto"/>
                <w:sz w:val="24"/>
                <w:szCs w:val="24"/>
                <w:highlight w:val="none"/>
                <w:lang w:bidi="ar"/>
              </w:rPr>
              <w:fldChar w:fldCharType="end"/>
            </w:r>
            <w:r>
              <w:rPr>
                <w:color w:val="auto"/>
                <w:sz w:val="24"/>
                <w:szCs w:val="24"/>
                <w:highlight w:val="none"/>
                <w:lang w:bidi="ar"/>
              </w:rPr>
              <w:t>混溶。一股浓盐</w:t>
            </w:r>
            <w:r>
              <w:rPr>
                <w:color w:val="auto"/>
                <w:highlight w:val="none"/>
              </w:rPr>
              <w:fldChar w:fldCharType="begin"/>
            </w:r>
            <w:r>
              <w:rPr>
                <w:color w:val="auto"/>
                <w:highlight w:val="none"/>
              </w:rPr>
              <w:instrText xml:space="preserve"> HYPERLINK "http://www.ichemistry.cn/cas/.CB.E1" \t "http://www.ichemistry.cn/chemistry/_blank" </w:instrText>
            </w:r>
            <w:r>
              <w:rPr>
                <w:color w:val="auto"/>
                <w:highlight w:val="none"/>
              </w:rPr>
              <w:fldChar w:fldCharType="separate"/>
            </w:r>
            <w:r>
              <w:rPr>
                <w:color w:val="auto"/>
                <w:sz w:val="24"/>
                <w:szCs w:val="24"/>
                <w:highlight w:val="none"/>
                <w:lang w:bidi="ar"/>
              </w:rPr>
              <w:t>酸</w:t>
            </w:r>
            <w:r>
              <w:rPr>
                <w:color w:val="auto"/>
                <w:sz w:val="24"/>
                <w:szCs w:val="24"/>
                <w:highlight w:val="none"/>
                <w:lang w:bidi="ar"/>
              </w:rPr>
              <w:fldChar w:fldCharType="end"/>
            </w:r>
            <w:r>
              <w:rPr>
                <w:color w:val="auto"/>
                <w:sz w:val="24"/>
                <w:szCs w:val="24"/>
                <w:highlight w:val="none"/>
                <w:lang w:bidi="ar"/>
              </w:rPr>
              <w:t>含HCl38%，相对密度1.19，熔点－112℃，沸点－83.7℃。本品对眼和呼吸道粘膜有强烈的刺激作用。急性中毒：出现头痛、头昏、恶心、眼痛、咳嗽、痰中带血、声音嘶哑、呼吸困难、胸闷、胸痛等。重者发生肺炎、肺水肿、肺不张。眼角膜可见溃疡或混浊。皮肤直接接触可出现大量粟粒样红色小丘疹而呈潮红痛热。慢性影响：长期较高浓度接触，可引起慢性支气管炎、胃肠功能障碍及牙齿酸蚀症。</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（6）重铬酸钾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CAS号7778-50-9，重铬酸钾是一种</w:t>
            </w:r>
            <w:r>
              <w:rPr>
                <w:color w:val="auto"/>
                <w:sz w:val="24"/>
                <w:szCs w:val="24"/>
                <w:highlight w:val="none"/>
                <w:lang w:bidi="ar"/>
              </w:rPr>
              <w:fldChar w:fldCharType="begin"/>
            </w:r>
            <w:r>
              <w:rPr>
                <w:color w:val="auto"/>
                <w:sz w:val="24"/>
                <w:szCs w:val="24"/>
                <w:highlight w:val="none"/>
                <w:lang w:bidi="ar"/>
              </w:rPr>
              <w:instrText xml:space="preserve"> HYPERLINK "https://baike.baidu.com/item/%E6%97%A0%E6%9C%BA%E5%8C%96%E5%90%88%E7%89%A9/10716655?fromModule=lemma_inlink" \t "https://baike.baidu.com/item/%E9%87%8D%E9%93%AC%E9%85%B8%E9%92%BE/_blank" </w:instrText>
            </w:r>
            <w:r>
              <w:rPr>
                <w:color w:val="auto"/>
                <w:sz w:val="24"/>
                <w:szCs w:val="24"/>
                <w:highlight w:val="none"/>
                <w:lang w:bidi="ar"/>
              </w:rPr>
              <w:fldChar w:fldCharType="separate"/>
            </w:r>
            <w:r>
              <w:rPr>
                <w:color w:val="auto"/>
                <w:sz w:val="24"/>
                <w:szCs w:val="24"/>
                <w:highlight w:val="none"/>
                <w:lang w:bidi="ar"/>
              </w:rPr>
              <w:t>无机化合物</w:t>
            </w:r>
            <w:r>
              <w:rPr>
                <w:color w:val="auto"/>
                <w:sz w:val="24"/>
                <w:szCs w:val="24"/>
                <w:highlight w:val="none"/>
                <w:lang w:bidi="ar"/>
              </w:rPr>
              <w:fldChar w:fldCharType="end"/>
            </w:r>
            <w:r>
              <w:rPr>
                <w:color w:val="auto"/>
                <w:sz w:val="24"/>
                <w:szCs w:val="24"/>
                <w:highlight w:val="none"/>
                <w:lang w:bidi="ar"/>
              </w:rPr>
              <w:t>，化学式为K</w:t>
            </w:r>
            <w:r>
              <w:rPr>
                <w:color w:val="auto"/>
                <w:sz w:val="24"/>
                <w:szCs w:val="24"/>
                <w:highlight w:val="none"/>
                <w:vertAlign w:val="subscript"/>
                <w:lang w:bidi="ar"/>
              </w:rPr>
              <w:t>2</w:t>
            </w:r>
            <w:r>
              <w:rPr>
                <w:color w:val="auto"/>
                <w:sz w:val="24"/>
                <w:szCs w:val="24"/>
                <w:highlight w:val="none"/>
                <w:lang w:bidi="ar"/>
              </w:rPr>
              <w:t>Cr</w:t>
            </w:r>
            <w:r>
              <w:rPr>
                <w:color w:val="auto"/>
                <w:sz w:val="24"/>
                <w:szCs w:val="24"/>
                <w:highlight w:val="none"/>
                <w:vertAlign w:val="subscript"/>
                <w:lang w:bidi="ar"/>
              </w:rPr>
              <w:t>2</w:t>
            </w:r>
            <w:r>
              <w:rPr>
                <w:color w:val="auto"/>
                <w:sz w:val="24"/>
                <w:szCs w:val="24"/>
                <w:highlight w:val="none"/>
                <w:lang w:bidi="ar"/>
              </w:rPr>
              <w:t>O</w:t>
            </w:r>
            <w:r>
              <w:rPr>
                <w:color w:val="auto"/>
                <w:sz w:val="24"/>
                <w:szCs w:val="24"/>
                <w:highlight w:val="none"/>
                <w:vertAlign w:val="subscript"/>
                <w:lang w:bidi="ar"/>
              </w:rPr>
              <w:t>7</w:t>
            </w:r>
            <w:r>
              <w:rPr>
                <w:color w:val="auto"/>
                <w:sz w:val="24"/>
                <w:szCs w:val="24"/>
                <w:highlight w:val="none"/>
                <w:lang w:bidi="ar"/>
              </w:rPr>
              <w:t>，室温下为</w:t>
            </w:r>
            <w:r>
              <w:rPr>
                <w:color w:val="auto"/>
                <w:sz w:val="24"/>
                <w:szCs w:val="24"/>
                <w:highlight w:val="none"/>
                <w:lang w:bidi="ar"/>
              </w:rPr>
              <w:fldChar w:fldCharType="begin"/>
            </w:r>
            <w:r>
              <w:rPr>
                <w:color w:val="auto"/>
                <w:sz w:val="24"/>
                <w:szCs w:val="24"/>
                <w:highlight w:val="none"/>
                <w:lang w:bidi="ar"/>
              </w:rPr>
              <w:instrText xml:space="preserve"> HYPERLINK "https://baike.baidu.com/item/%E6%A9%98%E7%BA%A2%E8%89%B2/4886959?fromModule=lemma_inlink" \t "https://baike.baidu.com/item/%E9%87%8D%E9%93%AC%E9%85%B8%E9%92%BE/_blank" </w:instrText>
            </w:r>
            <w:r>
              <w:rPr>
                <w:color w:val="auto"/>
                <w:sz w:val="24"/>
                <w:szCs w:val="24"/>
                <w:highlight w:val="none"/>
                <w:lang w:bidi="ar"/>
              </w:rPr>
              <w:fldChar w:fldCharType="separate"/>
            </w:r>
            <w:r>
              <w:rPr>
                <w:color w:val="auto"/>
                <w:sz w:val="24"/>
                <w:szCs w:val="24"/>
                <w:highlight w:val="none"/>
                <w:lang w:bidi="ar"/>
              </w:rPr>
              <w:t>橘红色</w:t>
            </w:r>
            <w:r>
              <w:rPr>
                <w:color w:val="auto"/>
                <w:sz w:val="24"/>
                <w:szCs w:val="24"/>
                <w:highlight w:val="none"/>
                <w:lang w:bidi="ar"/>
              </w:rPr>
              <w:fldChar w:fldCharType="end"/>
            </w:r>
            <w:r>
              <w:rPr>
                <w:color w:val="auto"/>
                <w:highlight w:val="none"/>
              </w:rPr>
              <w:fldChar w:fldCharType="begin"/>
            </w:r>
            <w:r>
              <w:rPr>
                <w:color w:val="auto"/>
                <w:highlight w:val="none"/>
              </w:rPr>
              <w:instrText xml:space="preserve"> HYPERLINK "https://baike.baidu.com/item/%E7%BB%93%E6%99%B6%E6%80%A7/6830050?fromModule=lemma_inlink" \t "https://baike.baidu.com/item/%E9%87%8D%E9%93%AC%E9%85%B8%E9%92%BE/_blank" </w:instrText>
            </w:r>
            <w:r>
              <w:rPr>
                <w:color w:val="auto"/>
                <w:highlight w:val="none"/>
              </w:rPr>
              <w:fldChar w:fldCharType="separate"/>
            </w:r>
            <w:r>
              <w:rPr>
                <w:color w:val="auto"/>
                <w:sz w:val="24"/>
                <w:szCs w:val="24"/>
                <w:highlight w:val="none"/>
                <w:lang w:bidi="ar"/>
              </w:rPr>
              <w:t>结晶性</w:t>
            </w:r>
            <w:r>
              <w:rPr>
                <w:color w:val="auto"/>
                <w:sz w:val="24"/>
                <w:szCs w:val="24"/>
                <w:highlight w:val="none"/>
                <w:lang w:bidi="ar"/>
              </w:rPr>
              <w:fldChar w:fldCharType="end"/>
            </w:r>
            <w:r>
              <w:rPr>
                <w:color w:val="auto"/>
                <w:sz w:val="24"/>
                <w:szCs w:val="24"/>
                <w:highlight w:val="none"/>
                <w:lang w:bidi="ar"/>
              </w:rPr>
              <w:t>粉末，溶于水，不溶于</w:t>
            </w:r>
            <w:r>
              <w:rPr>
                <w:color w:val="auto"/>
                <w:highlight w:val="none"/>
              </w:rPr>
              <w:fldChar w:fldCharType="begin"/>
            </w:r>
            <w:r>
              <w:rPr>
                <w:color w:val="auto"/>
                <w:highlight w:val="none"/>
              </w:rPr>
              <w:instrText xml:space="preserve"> HYPERLINK "https://baike.baidu.com/item/%E4%B9%99%E9%86%87/135334?fromModule=lemma_inlink" \t "https://baike.baidu.com/item/%E9%87%8D%E9%93%AC%E9%85%B8%E9%92%BE/_blank" </w:instrText>
            </w:r>
            <w:r>
              <w:rPr>
                <w:color w:val="auto"/>
                <w:highlight w:val="none"/>
              </w:rPr>
              <w:fldChar w:fldCharType="separate"/>
            </w:r>
            <w:r>
              <w:rPr>
                <w:color w:val="auto"/>
                <w:sz w:val="24"/>
                <w:szCs w:val="24"/>
                <w:highlight w:val="none"/>
                <w:lang w:bidi="ar"/>
              </w:rPr>
              <w:t>乙醇</w:t>
            </w:r>
            <w:r>
              <w:rPr>
                <w:color w:val="auto"/>
                <w:sz w:val="24"/>
                <w:szCs w:val="24"/>
                <w:highlight w:val="none"/>
                <w:lang w:bidi="ar"/>
              </w:rPr>
              <w:fldChar w:fldCharType="end"/>
            </w:r>
            <w:r>
              <w:rPr>
                <w:color w:val="auto"/>
                <w:sz w:val="24"/>
                <w:szCs w:val="24"/>
                <w:highlight w:val="none"/>
                <w:lang w:bidi="ar"/>
              </w:rPr>
              <w:t>。重铬酸钾是一种有毒且有</w:t>
            </w:r>
            <w:r>
              <w:rPr>
                <w:color w:val="auto"/>
                <w:highlight w:val="none"/>
              </w:rPr>
              <w:fldChar w:fldCharType="begin"/>
            </w:r>
            <w:r>
              <w:rPr>
                <w:color w:val="auto"/>
                <w:highlight w:val="none"/>
              </w:rPr>
              <w:instrText xml:space="preserve"> HYPERLINK "https://baike.baidu.com/item/%E8%87%B4%E7%99%8C%E6%80%A7/3246230?fromModule=lemma_inlink" \t "https://baike.baidu.com/item/%E9%87%8D%E9%93%AC%E9%85%B8%E9%92%BE/_blank" </w:instrText>
            </w:r>
            <w:r>
              <w:rPr>
                <w:color w:val="auto"/>
                <w:highlight w:val="none"/>
              </w:rPr>
              <w:fldChar w:fldCharType="separate"/>
            </w:r>
            <w:r>
              <w:rPr>
                <w:color w:val="auto"/>
                <w:sz w:val="24"/>
                <w:szCs w:val="24"/>
                <w:highlight w:val="none"/>
                <w:lang w:bidi="ar"/>
              </w:rPr>
              <w:t>致癌性</w:t>
            </w:r>
            <w:r>
              <w:rPr>
                <w:color w:val="auto"/>
                <w:sz w:val="24"/>
                <w:szCs w:val="24"/>
                <w:highlight w:val="none"/>
                <w:lang w:bidi="ar"/>
              </w:rPr>
              <w:fldChar w:fldCharType="end"/>
            </w:r>
            <w:r>
              <w:rPr>
                <w:color w:val="auto"/>
                <w:sz w:val="24"/>
                <w:szCs w:val="24"/>
                <w:highlight w:val="none"/>
                <w:lang w:bidi="ar"/>
              </w:rPr>
              <w:t>的</w:t>
            </w:r>
            <w:r>
              <w:rPr>
                <w:color w:val="auto"/>
                <w:highlight w:val="none"/>
              </w:rPr>
              <w:fldChar w:fldCharType="begin"/>
            </w:r>
            <w:r>
              <w:rPr>
                <w:color w:val="auto"/>
                <w:highlight w:val="none"/>
              </w:rPr>
              <w:instrText xml:space="preserve"> HYPERLINK "https://baike.baidu.com/item/%E5%BC%BA%E6%B0%A7%E5%8C%96%E5%89%82/1712635?fromModule=lemma_inlink" \t "https://baike.baidu.com/item/%E9%87%8D%E9%93%AC%E9%85%B8%E9%92%BE/_blank" </w:instrText>
            </w:r>
            <w:r>
              <w:rPr>
                <w:color w:val="auto"/>
                <w:highlight w:val="none"/>
              </w:rPr>
              <w:fldChar w:fldCharType="separate"/>
            </w:r>
            <w:r>
              <w:rPr>
                <w:color w:val="auto"/>
                <w:sz w:val="24"/>
                <w:szCs w:val="24"/>
                <w:highlight w:val="none"/>
                <w:lang w:bidi="ar"/>
              </w:rPr>
              <w:t>强氧化剂</w:t>
            </w:r>
            <w:r>
              <w:rPr>
                <w:color w:val="auto"/>
                <w:sz w:val="24"/>
                <w:szCs w:val="24"/>
                <w:highlight w:val="none"/>
                <w:lang w:bidi="ar"/>
              </w:rPr>
              <w:fldChar w:fldCharType="end"/>
            </w:r>
            <w:r>
              <w:rPr>
                <w:color w:val="auto"/>
                <w:sz w:val="24"/>
                <w:szCs w:val="24"/>
                <w:highlight w:val="none"/>
                <w:lang w:bidi="ar"/>
              </w:rPr>
              <w:t>，它被</w:t>
            </w:r>
            <w:r>
              <w:rPr>
                <w:color w:val="auto"/>
                <w:highlight w:val="none"/>
              </w:rPr>
              <w:fldChar w:fldCharType="begin"/>
            </w:r>
            <w:r>
              <w:rPr>
                <w:color w:val="auto"/>
                <w:highlight w:val="none"/>
              </w:rPr>
              <w:instrText xml:space="preserve"> HYPERLINK "https://baike.baidu.com/item/%E5%9B%BD%E9%99%85%E7%99%8C%E7%97%87%E7%A0%94%E7%A9%B6%E6%9C%BA%E6%9E%84/12582179?fromModule=lemma_inlink" \t "https://baike.baidu.com/item/%E9%87%8D%E9%93%AC%E9%85%B8%E9%92%BE/_blank" </w:instrText>
            </w:r>
            <w:r>
              <w:rPr>
                <w:color w:val="auto"/>
                <w:highlight w:val="none"/>
              </w:rPr>
              <w:fldChar w:fldCharType="separate"/>
            </w:r>
            <w:r>
              <w:rPr>
                <w:color w:val="auto"/>
                <w:sz w:val="24"/>
                <w:szCs w:val="24"/>
                <w:highlight w:val="none"/>
                <w:lang w:bidi="ar"/>
              </w:rPr>
              <w:t>国际癌症研究机构</w:t>
            </w:r>
            <w:r>
              <w:rPr>
                <w:color w:val="auto"/>
                <w:sz w:val="24"/>
                <w:szCs w:val="24"/>
                <w:highlight w:val="none"/>
                <w:lang w:bidi="ar"/>
              </w:rPr>
              <w:fldChar w:fldCharType="end"/>
            </w:r>
            <w:r>
              <w:rPr>
                <w:color w:val="auto"/>
                <w:sz w:val="24"/>
                <w:szCs w:val="24"/>
                <w:highlight w:val="none"/>
                <w:lang w:bidi="ar"/>
              </w:rPr>
              <w:t>划归为第一类</w:t>
            </w:r>
            <w:r>
              <w:rPr>
                <w:color w:val="auto"/>
                <w:highlight w:val="none"/>
              </w:rPr>
              <w:fldChar w:fldCharType="begin"/>
            </w:r>
            <w:r>
              <w:rPr>
                <w:color w:val="auto"/>
                <w:highlight w:val="none"/>
              </w:rPr>
              <w:instrText xml:space="preserve"> HYPERLINK "https://baike.baidu.com/item/%E8%87%B4%E7%99%8C%E7%89%A9%E8%B4%A8/10157997?fromModule=lemma_inlink" \t "https://baike.baidu.com/item/%E9%87%8D%E9%93%AC%E9%85%B8%E9%92%BE/_blank" </w:instrText>
            </w:r>
            <w:r>
              <w:rPr>
                <w:color w:val="auto"/>
                <w:highlight w:val="none"/>
              </w:rPr>
              <w:fldChar w:fldCharType="separate"/>
            </w:r>
            <w:r>
              <w:rPr>
                <w:color w:val="auto"/>
                <w:sz w:val="24"/>
                <w:szCs w:val="24"/>
                <w:highlight w:val="none"/>
                <w:lang w:bidi="ar"/>
              </w:rPr>
              <w:t>致癌物质</w:t>
            </w:r>
            <w:r>
              <w:rPr>
                <w:color w:val="auto"/>
                <w:sz w:val="24"/>
                <w:szCs w:val="24"/>
                <w:highlight w:val="none"/>
                <w:lang w:bidi="ar"/>
              </w:rPr>
              <w:fldChar w:fldCharType="end"/>
            </w:r>
            <w:r>
              <w:rPr>
                <w:color w:val="auto"/>
                <w:sz w:val="24"/>
                <w:szCs w:val="24"/>
                <w:highlight w:val="none"/>
                <w:lang w:bidi="ar"/>
              </w:rPr>
              <w:t>，而且是强氧化剂，在实验室和工业中都有很广泛的应用。用于制</w:t>
            </w:r>
            <w:r>
              <w:rPr>
                <w:color w:val="auto"/>
                <w:highlight w:val="none"/>
              </w:rPr>
              <w:fldChar w:fldCharType="begin"/>
            </w:r>
            <w:r>
              <w:rPr>
                <w:color w:val="auto"/>
                <w:highlight w:val="none"/>
              </w:rPr>
              <w:instrText xml:space="preserve"> HYPERLINK "https://baike.baidu.com/item/%E9%93%AC%E7%9F%BE/7335593?fromModule=lemma_inlink" \t "https://baike.baidu.com/item/%E9%87%8D%E9%93%AC%E9%85%B8%E9%92%BE/_blank" </w:instrText>
            </w:r>
            <w:r>
              <w:rPr>
                <w:color w:val="auto"/>
                <w:highlight w:val="none"/>
              </w:rPr>
              <w:fldChar w:fldCharType="separate"/>
            </w:r>
            <w:r>
              <w:rPr>
                <w:color w:val="auto"/>
                <w:sz w:val="24"/>
                <w:szCs w:val="24"/>
                <w:highlight w:val="none"/>
                <w:lang w:bidi="ar"/>
              </w:rPr>
              <w:t>铬矾</w:t>
            </w:r>
            <w:r>
              <w:rPr>
                <w:color w:val="auto"/>
                <w:sz w:val="24"/>
                <w:szCs w:val="24"/>
                <w:highlight w:val="none"/>
                <w:lang w:bidi="ar"/>
              </w:rPr>
              <w:fldChar w:fldCharType="end"/>
            </w:r>
            <w:r>
              <w:rPr>
                <w:color w:val="auto"/>
                <w:sz w:val="24"/>
                <w:szCs w:val="24"/>
                <w:highlight w:val="none"/>
                <w:lang w:bidi="ar"/>
              </w:rPr>
              <w:t>、火柴、铬颜料、并供鞣革、电镀、有机合成等。侵入途径：吸入、食入、</w:t>
            </w:r>
            <w:r>
              <w:rPr>
                <w:color w:val="auto"/>
                <w:highlight w:val="none"/>
              </w:rPr>
              <w:fldChar w:fldCharType="begin"/>
            </w:r>
            <w:r>
              <w:rPr>
                <w:color w:val="auto"/>
                <w:highlight w:val="none"/>
              </w:rPr>
              <w:instrText xml:space="preserve"> HYPERLINK "https://baike.baidu.com/item/%E7%BB%8F%E7%9A%AE%E5%90%B8%E6%94%B6/22542442?fromModule=lemma_inlink" \t "https://baike.baidu.com/item/%E9%87%8D%E9%93%AC%E9%85%B8%E9%92%BE/_blank" </w:instrText>
            </w:r>
            <w:r>
              <w:rPr>
                <w:color w:val="auto"/>
                <w:highlight w:val="none"/>
              </w:rPr>
              <w:fldChar w:fldCharType="separate"/>
            </w:r>
            <w:r>
              <w:rPr>
                <w:color w:val="auto"/>
                <w:sz w:val="24"/>
                <w:szCs w:val="24"/>
                <w:highlight w:val="none"/>
                <w:lang w:bidi="ar"/>
              </w:rPr>
              <w:t>经皮吸收</w:t>
            </w:r>
            <w:r>
              <w:rPr>
                <w:color w:val="auto"/>
                <w:sz w:val="24"/>
                <w:szCs w:val="24"/>
                <w:highlight w:val="none"/>
                <w:lang w:bidi="ar"/>
              </w:rPr>
              <w:fldChar w:fldCharType="end"/>
            </w:r>
            <w:r>
              <w:rPr>
                <w:color w:val="auto"/>
                <w:sz w:val="24"/>
                <w:szCs w:val="24"/>
                <w:highlight w:val="none"/>
                <w:lang w:bidi="ar"/>
              </w:rPr>
              <w:t>。健康危害：</w:t>
            </w:r>
            <w:r>
              <w:rPr>
                <w:color w:val="auto"/>
                <w:highlight w:val="none"/>
              </w:rPr>
              <w:fldChar w:fldCharType="begin"/>
            </w:r>
            <w:r>
              <w:rPr>
                <w:color w:val="auto"/>
                <w:highlight w:val="none"/>
              </w:rPr>
              <w:instrText xml:space="preserve"> HYPERLINK "https://baike.baidu.com/item/%E6%80%A5%E6%80%A7%E4%B8%AD%E6%AF%92/9906866?fromModule=lemma_inlink" \t "https://baike.baidu.com/item/%E9%87%8D%E9%93%AC%E9%85%B8%E9%92%BE/_blank" </w:instrText>
            </w:r>
            <w:r>
              <w:rPr>
                <w:color w:val="auto"/>
                <w:highlight w:val="none"/>
              </w:rPr>
              <w:fldChar w:fldCharType="separate"/>
            </w:r>
            <w:r>
              <w:rPr>
                <w:color w:val="auto"/>
                <w:sz w:val="24"/>
                <w:szCs w:val="24"/>
                <w:highlight w:val="none"/>
                <w:lang w:bidi="ar"/>
              </w:rPr>
              <w:t>急性中毒</w:t>
            </w:r>
            <w:r>
              <w:rPr>
                <w:color w:val="auto"/>
                <w:sz w:val="24"/>
                <w:szCs w:val="24"/>
                <w:highlight w:val="none"/>
                <w:lang w:bidi="ar"/>
              </w:rPr>
              <w:fldChar w:fldCharType="end"/>
            </w:r>
            <w:r>
              <w:rPr>
                <w:color w:val="auto"/>
                <w:sz w:val="24"/>
                <w:szCs w:val="24"/>
                <w:highlight w:val="none"/>
                <w:lang w:bidi="ar"/>
              </w:rPr>
              <w:t>：吸入后可引起急性</w:t>
            </w:r>
            <w:r>
              <w:rPr>
                <w:color w:val="auto"/>
                <w:highlight w:val="none"/>
              </w:rPr>
              <w:fldChar w:fldCharType="begin"/>
            </w:r>
            <w:r>
              <w:rPr>
                <w:color w:val="auto"/>
                <w:highlight w:val="none"/>
              </w:rPr>
              <w:instrText xml:space="preserve"> HYPERLINK "https://baike.baidu.com/item/%E5%91%BC%E5%90%B8%E9%81%93/2540225?fromModule=lemma_inlink" \t "https://baike.baidu.com/item/%E9%87%8D%E9%93%AC%E9%85%B8%E9%92%BE/_blank" </w:instrText>
            </w:r>
            <w:r>
              <w:rPr>
                <w:color w:val="auto"/>
                <w:highlight w:val="none"/>
              </w:rPr>
              <w:fldChar w:fldCharType="separate"/>
            </w:r>
            <w:r>
              <w:rPr>
                <w:color w:val="auto"/>
                <w:sz w:val="24"/>
                <w:szCs w:val="24"/>
                <w:highlight w:val="none"/>
                <w:lang w:bidi="ar"/>
              </w:rPr>
              <w:t>呼吸道</w:t>
            </w:r>
            <w:r>
              <w:rPr>
                <w:color w:val="auto"/>
                <w:sz w:val="24"/>
                <w:szCs w:val="24"/>
                <w:highlight w:val="none"/>
                <w:lang w:bidi="ar"/>
              </w:rPr>
              <w:fldChar w:fldCharType="end"/>
            </w:r>
            <w:r>
              <w:rPr>
                <w:color w:val="auto"/>
                <w:sz w:val="24"/>
                <w:szCs w:val="24"/>
                <w:highlight w:val="none"/>
                <w:lang w:bidi="ar"/>
              </w:rPr>
              <w:t>刺激症状、</w:t>
            </w:r>
            <w:r>
              <w:rPr>
                <w:color w:val="auto"/>
                <w:highlight w:val="none"/>
              </w:rPr>
              <w:fldChar w:fldCharType="begin"/>
            </w:r>
            <w:r>
              <w:rPr>
                <w:color w:val="auto"/>
                <w:highlight w:val="none"/>
              </w:rPr>
              <w:instrText xml:space="preserve"> HYPERLINK "https://baike.baidu.com/item/%E9%BC%BB%E5%87%BA%E8%A1%80/499217?fromModule=lemma_inlink" \t "https://baike.baidu.com/item/%E9%87%8D%E9%93%AC%E9%85%B8%E9%92%BE/_blank" </w:instrText>
            </w:r>
            <w:r>
              <w:rPr>
                <w:color w:val="auto"/>
                <w:highlight w:val="none"/>
              </w:rPr>
              <w:fldChar w:fldCharType="separate"/>
            </w:r>
            <w:r>
              <w:rPr>
                <w:color w:val="auto"/>
                <w:sz w:val="24"/>
                <w:szCs w:val="24"/>
                <w:highlight w:val="none"/>
                <w:lang w:bidi="ar"/>
              </w:rPr>
              <w:t>鼻出血</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"https://baike.baidu.com/item/%E5%A3%B0%E9%9F%B3%E5%98%B6%E5%93%91/10724585?fromModule=lemma_inlink" \t "https://baike.baidu.com/item/%E9%87%8D%E9%93%AC%E9%85%B8%E9%92%BE/_blank" </w:instrText>
            </w:r>
            <w:r>
              <w:rPr>
                <w:color w:val="auto"/>
                <w:highlight w:val="none"/>
              </w:rPr>
              <w:fldChar w:fldCharType="separate"/>
            </w:r>
            <w:r>
              <w:rPr>
                <w:color w:val="auto"/>
                <w:sz w:val="24"/>
                <w:szCs w:val="24"/>
                <w:highlight w:val="none"/>
                <w:lang w:bidi="ar"/>
              </w:rPr>
              <w:t>声音嘶哑</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"https://baike.baidu.com/item/%E9%BC%BB%E7%B2%98%E8%86%9C/3782818?fromModule=lemma_inlink" \t "https://baike.baidu.com/item/%E9%87%8D%E9%93%AC%E9%85%B8%E9%92%BE/_blank" </w:instrText>
            </w:r>
            <w:r>
              <w:rPr>
                <w:color w:val="auto"/>
                <w:highlight w:val="none"/>
              </w:rPr>
              <w:fldChar w:fldCharType="separate"/>
            </w:r>
            <w:r>
              <w:rPr>
                <w:color w:val="auto"/>
                <w:sz w:val="24"/>
                <w:szCs w:val="24"/>
                <w:highlight w:val="none"/>
                <w:lang w:bidi="ar"/>
              </w:rPr>
              <w:t>鼻粘膜</w:t>
            </w:r>
            <w:r>
              <w:rPr>
                <w:color w:val="auto"/>
                <w:sz w:val="24"/>
                <w:szCs w:val="24"/>
                <w:highlight w:val="none"/>
                <w:lang w:bidi="ar"/>
              </w:rPr>
              <w:fldChar w:fldCharType="end"/>
            </w:r>
            <w:r>
              <w:rPr>
                <w:color w:val="auto"/>
                <w:sz w:val="24"/>
                <w:szCs w:val="24"/>
                <w:highlight w:val="none"/>
                <w:lang w:bidi="ar"/>
              </w:rPr>
              <w:t>萎缩，有时出现</w:t>
            </w:r>
            <w:r>
              <w:rPr>
                <w:color w:val="auto"/>
                <w:highlight w:val="none"/>
              </w:rPr>
              <w:fldChar w:fldCharType="begin"/>
            </w:r>
            <w:r>
              <w:rPr>
                <w:color w:val="auto"/>
                <w:highlight w:val="none"/>
              </w:rPr>
              <w:instrText xml:space="preserve"> HYPERLINK "https://baike.baidu.com/item/%E5%93%AE%E5%96%98/467071?fromModule=lemma_inlink" \t "https://baike.baidu.com/item/%E9%87%8D%E9%93%AC%E9%85%B8%E9%92%BE/_blank" </w:instrText>
            </w:r>
            <w:r>
              <w:rPr>
                <w:color w:val="auto"/>
                <w:highlight w:val="none"/>
              </w:rPr>
              <w:fldChar w:fldCharType="separate"/>
            </w:r>
            <w:r>
              <w:rPr>
                <w:color w:val="auto"/>
                <w:sz w:val="24"/>
                <w:szCs w:val="24"/>
                <w:highlight w:val="none"/>
                <w:lang w:bidi="ar"/>
              </w:rPr>
              <w:t>哮喘</w:t>
            </w:r>
            <w:r>
              <w:rPr>
                <w:color w:val="auto"/>
                <w:sz w:val="24"/>
                <w:szCs w:val="24"/>
                <w:highlight w:val="none"/>
                <w:lang w:bidi="ar"/>
              </w:rPr>
              <w:fldChar w:fldCharType="end"/>
            </w:r>
            <w:r>
              <w:rPr>
                <w:color w:val="auto"/>
                <w:sz w:val="24"/>
                <w:szCs w:val="24"/>
                <w:highlight w:val="none"/>
                <w:lang w:bidi="ar"/>
              </w:rPr>
              <w:t>和</w:t>
            </w:r>
            <w:r>
              <w:rPr>
                <w:color w:val="auto"/>
                <w:highlight w:val="none"/>
              </w:rPr>
              <w:fldChar w:fldCharType="begin"/>
            </w:r>
            <w:r>
              <w:rPr>
                <w:color w:val="auto"/>
                <w:highlight w:val="none"/>
              </w:rPr>
              <w:instrText xml:space="preserve"> HYPERLINK "https://baike.baidu.com/item/%E7%B4%AB%E7%BB%80/1802093?fromModule=lemma_inlink" \t "https://baike.baidu.com/item/%E9%87%8D%E9%93%AC%E9%85%B8%E9%92%BE/_blank" </w:instrText>
            </w:r>
            <w:r>
              <w:rPr>
                <w:color w:val="auto"/>
                <w:highlight w:val="none"/>
              </w:rPr>
              <w:fldChar w:fldCharType="separate"/>
            </w:r>
            <w:r>
              <w:rPr>
                <w:color w:val="auto"/>
                <w:sz w:val="24"/>
                <w:szCs w:val="24"/>
                <w:highlight w:val="none"/>
                <w:lang w:bidi="ar"/>
              </w:rPr>
              <w:t>紫绀</w:t>
            </w:r>
            <w:r>
              <w:rPr>
                <w:color w:val="auto"/>
                <w:sz w:val="24"/>
                <w:szCs w:val="24"/>
                <w:highlight w:val="none"/>
                <w:lang w:bidi="ar"/>
              </w:rPr>
              <w:fldChar w:fldCharType="end"/>
            </w:r>
            <w:r>
              <w:rPr>
                <w:color w:val="auto"/>
                <w:sz w:val="24"/>
                <w:szCs w:val="24"/>
                <w:highlight w:val="none"/>
                <w:lang w:bidi="ar"/>
              </w:rPr>
              <w:t>。重者可发生</w:t>
            </w:r>
            <w:r>
              <w:rPr>
                <w:color w:val="auto"/>
                <w:highlight w:val="none"/>
              </w:rPr>
              <w:fldChar w:fldCharType="begin"/>
            </w:r>
            <w:r>
              <w:rPr>
                <w:color w:val="auto"/>
                <w:highlight w:val="none"/>
              </w:rPr>
              <w:instrText xml:space="preserve"> HYPERLINK "https://baike.baidu.com/item/%E5%8C%96%E5%AD%A6%E6%80%A7%E8%82%BA%E7%82%8E/22644477?fromModule=lemma_inlink" \t "https://baike.baidu.com/item/%E9%87%8D%E9%93%AC%E9%85%B8%E9%92%BE/_blank" </w:instrText>
            </w:r>
            <w:r>
              <w:rPr>
                <w:color w:val="auto"/>
                <w:highlight w:val="none"/>
              </w:rPr>
              <w:fldChar w:fldCharType="separate"/>
            </w:r>
            <w:r>
              <w:rPr>
                <w:color w:val="auto"/>
                <w:sz w:val="24"/>
                <w:szCs w:val="24"/>
                <w:highlight w:val="none"/>
                <w:lang w:bidi="ar"/>
              </w:rPr>
              <w:t>化学性肺炎</w:t>
            </w:r>
            <w:r>
              <w:rPr>
                <w:color w:val="auto"/>
                <w:sz w:val="24"/>
                <w:szCs w:val="24"/>
                <w:highlight w:val="none"/>
                <w:lang w:bidi="ar"/>
              </w:rPr>
              <w:fldChar w:fldCharType="end"/>
            </w:r>
            <w:r>
              <w:rPr>
                <w:color w:val="auto"/>
                <w:sz w:val="24"/>
                <w:szCs w:val="24"/>
                <w:highlight w:val="none"/>
                <w:lang w:bidi="ar"/>
              </w:rPr>
              <w:t>。口服可刺激和腐蚀消化道，引起恶心、呕吐、</w:t>
            </w:r>
            <w:r>
              <w:rPr>
                <w:color w:val="auto"/>
                <w:highlight w:val="none"/>
              </w:rPr>
              <w:fldChar w:fldCharType="begin"/>
            </w:r>
            <w:r>
              <w:rPr>
                <w:color w:val="auto"/>
                <w:highlight w:val="none"/>
              </w:rPr>
              <w:instrText xml:space="preserve"> HYPERLINK "https://baike.baidu.com/item/%E8%85%B9%E7%97%9B/2193409?fromModule=lemma_inlink" \t "https://baike.baidu.com/item/%E9%87%8D%E9%93%AC%E9%85%B8%E9%92%BE/_blank" </w:instrText>
            </w:r>
            <w:r>
              <w:rPr>
                <w:color w:val="auto"/>
                <w:highlight w:val="none"/>
              </w:rPr>
              <w:fldChar w:fldCharType="separate"/>
            </w:r>
            <w:r>
              <w:rPr>
                <w:color w:val="auto"/>
                <w:sz w:val="24"/>
                <w:szCs w:val="24"/>
                <w:highlight w:val="none"/>
                <w:lang w:bidi="ar"/>
              </w:rPr>
              <w:t>腹痛</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"https://baike.baidu.com/item/%E8%A1%80%E4%BE%BF/10872768?fromModule=lemma_inlink" \t "https://baike.baidu.com/item/%E9%87%8D%E9%93%AC%E9%85%B8%E9%92%BE/_blank" </w:instrText>
            </w:r>
            <w:r>
              <w:rPr>
                <w:color w:val="auto"/>
                <w:highlight w:val="none"/>
              </w:rPr>
              <w:fldChar w:fldCharType="separate"/>
            </w:r>
            <w:r>
              <w:rPr>
                <w:color w:val="auto"/>
                <w:sz w:val="24"/>
                <w:szCs w:val="24"/>
                <w:highlight w:val="none"/>
                <w:lang w:bidi="ar"/>
              </w:rPr>
              <w:t>血便</w:t>
            </w:r>
            <w:r>
              <w:rPr>
                <w:color w:val="auto"/>
                <w:sz w:val="24"/>
                <w:szCs w:val="24"/>
                <w:highlight w:val="none"/>
                <w:lang w:bidi="ar"/>
              </w:rPr>
              <w:fldChar w:fldCharType="end"/>
            </w:r>
            <w:r>
              <w:rPr>
                <w:color w:val="auto"/>
                <w:sz w:val="24"/>
                <w:szCs w:val="24"/>
                <w:highlight w:val="none"/>
                <w:lang w:bidi="ar"/>
              </w:rPr>
              <w:t>等；重者出现</w:t>
            </w:r>
            <w:r>
              <w:rPr>
                <w:color w:val="auto"/>
                <w:highlight w:val="none"/>
              </w:rPr>
              <w:fldChar w:fldCharType="begin"/>
            </w:r>
            <w:r>
              <w:rPr>
                <w:color w:val="auto"/>
                <w:highlight w:val="none"/>
              </w:rPr>
              <w:instrText xml:space="preserve"> HYPERLINK "https://baike.baidu.com/item/%E5%91%BC%E5%90%B8%E5%9B%B0%E9%9A%BE/2540302?fromModule=lemma_inlink" \t "https://baike.baidu.com/item/%E9%87%8D%E9%93%AC%E9%85%B8%E9%92%BE/_blank" </w:instrText>
            </w:r>
            <w:r>
              <w:rPr>
                <w:color w:val="auto"/>
                <w:highlight w:val="none"/>
              </w:rPr>
              <w:fldChar w:fldCharType="separate"/>
            </w:r>
            <w:r>
              <w:rPr>
                <w:color w:val="auto"/>
                <w:sz w:val="24"/>
                <w:szCs w:val="24"/>
                <w:highlight w:val="none"/>
                <w:lang w:bidi="ar"/>
              </w:rPr>
              <w:t>呼吸困难</w:t>
            </w:r>
            <w:r>
              <w:rPr>
                <w:color w:val="auto"/>
                <w:sz w:val="24"/>
                <w:szCs w:val="24"/>
                <w:highlight w:val="none"/>
                <w:lang w:bidi="ar"/>
              </w:rPr>
              <w:fldChar w:fldCharType="end"/>
            </w:r>
            <w:r>
              <w:rPr>
                <w:color w:val="auto"/>
                <w:sz w:val="24"/>
                <w:szCs w:val="24"/>
                <w:highlight w:val="none"/>
                <w:lang w:bidi="ar"/>
              </w:rPr>
              <w:t>、紫绀、休克、肝损害及</w:t>
            </w:r>
            <w:r>
              <w:rPr>
                <w:color w:val="auto"/>
                <w:highlight w:val="none"/>
              </w:rPr>
              <w:fldChar w:fldCharType="begin"/>
            </w:r>
            <w:r>
              <w:rPr>
                <w:color w:val="auto"/>
                <w:highlight w:val="none"/>
              </w:rPr>
              <w:instrText xml:space="preserve"> HYPERLINK "https://baike.baidu.com/item/%E6%80%A5%E6%80%A7%E8%82%BE%E5%8A%9F%E8%83%BD%E8%A1%B0%E7%AB%AD/266276?fromModule=lemma_inlink" \t "https://baike.baidu.com/item/%E9%87%8D%E9%93%AC%E9%85%B8%E9%92%BE/_blank" </w:instrText>
            </w:r>
            <w:r>
              <w:rPr>
                <w:color w:val="auto"/>
                <w:highlight w:val="none"/>
              </w:rPr>
              <w:fldChar w:fldCharType="separate"/>
            </w:r>
            <w:r>
              <w:rPr>
                <w:color w:val="auto"/>
                <w:sz w:val="24"/>
                <w:szCs w:val="24"/>
                <w:highlight w:val="none"/>
                <w:lang w:bidi="ar"/>
              </w:rPr>
              <w:t>急性肾功能衰竭</w:t>
            </w:r>
            <w:r>
              <w:rPr>
                <w:color w:val="auto"/>
                <w:sz w:val="24"/>
                <w:szCs w:val="24"/>
                <w:highlight w:val="none"/>
                <w:lang w:bidi="ar"/>
              </w:rPr>
              <w:fldChar w:fldCharType="end"/>
            </w:r>
            <w:r>
              <w:rPr>
                <w:color w:val="auto"/>
                <w:sz w:val="24"/>
                <w:szCs w:val="24"/>
                <w:highlight w:val="none"/>
                <w:lang w:bidi="ar"/>
              </w:rPr>
              <w:t>等。慢性影响：有</w:t>
            </w:r>
            <w:r>
              <w:rPr>
                <w:color w:val="auto"/>
                <w:highlight w:val="none"/>
              </w:rPr>
              <w:fldChar w:fldCharType="begin"/>
            </w:r>
            <w:r>
              <w:rPr>
                <w:color w:val="auto"/>
                <w:highlight w:val="none"/>
              </w:rPr>
              <w:instrText xml:space="preserve"> HYPERLINK "https://baike.baidu.com/item/%E6%8E%A5%E8%A7%A6%E6%80%A7%E7%9A%AE%E7%82%8E/1382177?fromModule=lemma_inlink" \t "https://baike.baidu.com/item/%E9%87%8D%E9%93%AC%E9%85%B8%E9%92%BE/_blank" </w:instrText>
            </w:r>
            <w:r>
              <w:rPr>
                <w:color w:val="auto"/>
                <w:highlight w:val="none"/>
              </w:rPr>
              <w:fldChar w:fldCharType="separate"/>
            </w:r>
            <w:r>
              <w:rPr>
                <w:color w:val="auto"/>
                <w:sz w:val="24"/>
                <w:szCs w:val="24"/>
                <w:highlight w:val="none"/>
                <w:lang w:bidi="ar"/>
              </w:rPr>
              <w:t>接触性皮炎</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"https://baike.baidu.com/item/%E9%93%AC%E6%BA%83%E7%96%A1/55232767?fromModule=lemma_inlink" \t "https://baike.baidu.com/item/%E9%87%8D%E9%93%AC%E9%85%B8%E9%92%BE/_blank" </w:instrText>
            </w:r>
            <w:r>
              <w:rPr>
                <w:color w:val="auto"/>
                <w:highlight w:val="none"/>
              </w:rPr>
              <w:fldChar w:fldCharType="separate"/>
            </w:r>
            <w:r>
              <w:rPr>
                <w:color w:val="auto"/>
                <w:sz w:val="24"/>
                <w:szCs w:val="24"/>
                <w:highlight w:val="none"/>
                <w:lang w:bidi="ar"/>
              </w:rPr>
              <w:t>铬溃疡</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"https://baike.baidu.com/item/%E9%BC%BB%E7%82%8E/190075?fromModule=lemma_inlink" \t "https://baike.baidu.com/item/%E9%87%8D%E9%93%AC%E9%85%B8%E9%92%BE/_blank" </w:instrText>
            </w:r>
            <w:r>
              <w:rPr>
                <w:color w:val="auto"/>
                <w:highlight w:val="none"/>
              </w:rPr>
              <w:fldChar w:fldCharType="separate"/>
            </w:r>
            <w:r>
              <w:rPr>
                <w:color w:val="auto"/>
                <w:sz w:val="24"/>
                <w:szCs w:val="24"/>
                <w:highlight w:val="none"/>
                <w:lang w:bidi="ar"/>
              </w:rPr>
              <w:t>鼻炎</w:t>
            </w:r>
            <w:r>
              <w:rPr>
                <w:color w:val="auto"/>
                <w:sz w:val="24"/>
                <w:szCs w:val="24"/>
                <w:highlight w:val="none"/>
                <w:lang w:bidi="ar"/>
              </w:rPr>
              <w:fldChar w:fldCharType="end"/>
            </w:r>
            <w:r>
              <w:rPr>
                <w:color w:val="auto"/>
                <w:sz w:val="24"/>
                <w:szCs w:val="24"/>
                <w:highlight w:val="none"/>
                <w:lang w:bidi="ar"/>
              </w:rPr>
              <w:t>、</w:t>
            </w:r>
            <w:r>
              <w:rPr>
                <w:color w:val="auto"/>
                <w:highlight w:val="none"/>
              </w:rPr>
              <w:fldChar w:fldCharType="begin"/>
            </w:r>
            <w:r>
              <w:rPr>
                <w:color w:val="auto"/>
                <w:highlight w:val="none"/>
              </w:rPr>
              <w:instrText xml:space="preserve"> HYPERLINK "https://baike.baidu.com/item/%E9%BC%BB%E4%B8%AD%E9%9A%94%E7%A9%BF%E5%AD%94/5322511?fromModule=lemma_inlink" \t "https://baike.baidu.com/item/%E9%87%8D%E9%93%AC%E9%85%B8%E9%92%BE/_blank" </w:instrText>
            </w:r>
            <w:r>
              <w:rPr>
                <w:color w:val="auto"/>
                <w:highlight w:val="none"/>
              </w:rPr>
              <w:fldChar w:fldCharType="separate"/>
            </w:r>
            <w:r>
              <w:rPr>
                <w:color w:val="auto"/>
                <w:sz w:val="24"/>
                <w:szCs w:val="24"/>
                <w:highlight w:val="none"/>
                <w:lang w:bidi="ar"/>
              </w:rPr>
              <w:t>鼻中隔穿孔</w:t>
            </w:r>
            <w:r>
              <w:rPr>
                <w:color w:val="auto"/>
                <w:sz w:val="24"/>
                <w:szCs w:val="24"/>
                <w:highlight w:val="none"/>
                <w:lang w:bidi="ar"/>
              </w:rPr>
              <w:fldChar w:fldCharType="end"/>
            </w:r>
            <w:r>
              <w:rPr>
                <w:color w:val="auto"/>
                <w:sz w:val="24"/>
                <w:szCs w:val="24"/>
                <w:highlight w:val="none"/>
                <w:lang w:bidi="ar"/>
              </w:rPr>
              <w:t>及</w:t>
            </w:r>
            <w:r>
              <w:rPr>
                <w:color w:val="auto"/>
                <w:highlight w:val="none"/>
              </w:rPr>
              <w:fldChar w:fldCharType="begin"/>
            </w:r>
            <w:r>
              <w:rPr>
                <w:color w:val="auto"/>
                <w:highlight w:val="none"/>
              </w:rPr>
              <w:instrText xml:space="preserve"> HYPERLINK "https://baike.baidu.com/item/%E5%91%BC%E5%90%B8%E9%81%93%E7%82%8E%E7%97%87/2287606?fromModule=lemma_inlink" \t "https://baike.baidu.com/item/%E9%87%8D%E9%93%AC%E9%85%B8%E9%92%BE/_blank" </w:instrText>
            </w:r>
            <w:r>
              <w:rPr>
                <w:color w:val="auto"/>
                <w:highlight w:val="none"/>
              </w:rPr>
              <w:fldChar w:fldCharType="separate"/>
            </w:r>
            <w:r>
              <w:rPr>
                <w:color w:val="auto"/>
                <w:sz w:val="24"/>
                <w:szCs w:val="24"/>
                <w:highlight w:val="none"/>
                <w:lang w:bidi="ar"/>
              </w:rPr>
              <w:t>呼吸道炎症</w:t>
            </w:r>
            <w:r>
              <w:rPr>
                <w:color w:val="auto"/>
                <w:sz w:val="24"/>
                <w:szCs w:val="24"/>
                <w:highlight w:val="none"/>
                <w:lang w:bidi="ar"/>
              </w:rPr>
              <w:fldChar w:fldCharType="end"/>
            </w:r>
            <w:r>
              <w:rPr>
                <w:color w:val="auto"/>
                <w:sz w:val="24"/>
                <w:szCs w:val="24"/>
                <w:highlight w:val="none"/>
                <w:lang w:bidi="ar"/>
              </w:rPr>
              <w:t>等。</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（7）过硫酸钾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CAS号7727-21-1，过硫酸钾是一种无机化合物，化学式为K</w:t>
            </w:r>
            <w:r>
              <w:rPr>
                <w:color w:val="auto"/>
                <w:sz w:val="24"/>
                <w:szCs w:val="24"/>
                <w:highlight w:val="none"/>
                <w:vertAlign w:val="subscript"/>
                <w:lang w:bidi="ar"/>
              </w:rPr>
              <w:t>2</w:t>
            </w:r>
            <w:r>
              <w:rPr>
                <w:color w:val="auto"/>
                <w:sz w:val="24"/>
                <w:szCs w:val="24"/>
                <w:highlight w:val="none"/>
                <w:lang w:bidi="ar"/>
              </w:rPr>
              <w:t>S</w:t>
            </w:r>
            <w:r>
              <w:rPr>
                <w:color w:val="auto"/>
                <w:sz w:val="24"/>
                <w:szCs w:val="24"/>
                <w:highlight w:val="none"/>
                <w:vertAlign w:val="subscript"/>
                <w:lang w:bidi="ar"/>
              </w:rPr>
              <w:t>2</w:t>
            </w:r>
            <w:r>
              <w:rPr>
                <w:color w:val="auto"/>
                <w:sz w:val="24"/>
                <w:szCs w:val="24"/>
                <w:highlight w:val="none"/>
                <w:lang w:bidi="ar"/>
              </w:rPr>
              <w:t>O</w:t>
            </w:r>
            <w:r>
              <w:rPr>
                <w:color w:val="auto"/>
                <w:sz w:val="24"/>
                <w:szCs w:val="24"/>
                <w:highlight w:val="none"/>
                <w:vertAlign w:val="subscript"/>
                <w:lang w:bidi="ar"/>
              </w:rPr>
              <w:t>8</w:t>
            </w:r>
            <w:r>
              <w:rPr>
                <w:color w:val="auto"/>
                <w:sz w:val="24"/>
                <w:szCs w:val="24"/>
                <w:highlight w:val="none"/>
                <w:lang w:bidi="ar"/>
              </w:rPr>
              <w:t>，是一种白色结晶性粉末，溶于水、不溶于乙醇，具有强氧化性，常用作漂白剂、氧化剂，也可用作聚合反应引发剂，几乎不吸潮，常温下稳定性好，便于储存，具有方便和安全等优点。急性毒性：LD50：802mg/kg（大鼠经口）。</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（8）钼酸钠</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CAS号7631-95-0，钼酸钠是一种</w:t>
            </w:r>
            <w:r>
              <w:rPr>
                <w:color w:val="auto"/>
                <w:sz w:val="24"/>
                <w:szCs w:val="24"/>
                <w:highlight w:val="none"/>
                <w:lang w:bidi="ar"/>
              </w:rPr>
              <w:fldChar w:fldCharType="begin"/>
            </w:r>
            <w:r>
              <w:rPr>
                <w:color w:val="auto"/>
                <w:sz w:val="24"/>
                <w:szCs w:val="24"/>
                <w:highlight w:val="none"/>
                <w:lang w:bidi="ar"/>
              </w:rPr>
              <w:instrText xml:space="preserve"> HYPERLINK "https://baike.baidu.com/item/%E6%97%A0%E6%9C%BA%E7%89%A9/781954?fromModule=lemma_inlink" \t "https://baike.baidu.com/item/_blank" </w:instrText>
            </w:r>
            <w:r>
              <w:rPr>
                <w:color w:val="auto"/>
                <w:sz w:val="24"/>
                <w:szCs w:val="24"/>
                <w:highlight w:val="none"/>
                <w:lang w:bidi="ar"/>
              </w:rPr>
              <w:fldChar w:fldCharType="separate"/>
            </w:r>
            <w:r>
              <w:rPr>
                <w:color w:val="auto"/>
                <w:sz w:val="24"/>
                <w:szCs w:val="24"/>
                <w:highlight w:val="none"/>
                <w:lang w:bidi="ar"/>
              </w:rPr>
              <w:t>无机物</w:t>
            </w:r>
            <w:r>
              <w:rPr>
                <w:color w:val="auto"/>
                <w:sz w:val="24"/>
                <w:szCs w:val="24"/>
                <w:highlight w:val="none"/>
                <w:lang w:bidi="ar"/>
              </w:rPr>
              <w:fldChar w:fldCharType="end"/>
            </w:r>
            <w:r>
              <w:rPr>
                <w:color w:val="auto"/>
                <w:sz w:val="24"/>
                <w:szCs w:val="24"/>
                <w:highlight w:val="none"/>
                <w:lang w:bidi="ar"/>
              </w:rPr>
              <w:t>，化学式Na</w:t>
            </w:r>
            <w:r>
              <w:rPr>
                <w:color w:val="auto"/>
                <w:sz w:val="24"/>
                <w:szCs w:val="24"/>
                <w:highlight w:val="none"/>
                <w:vertAlign w:val="subscript"/>
                <w:lang w:bidi="ar"/>
              </w:rPr>
              <w:t>2</w:t>
            </w:r>
            <w:r>
              <w:rPr>
                <w:color w:val="auto"/>
                <w:sz w:val="24"/>
                <w:szCs w:val="24"/>
                <w:highlight w:val="none"/>
                <w:lang w:bidi="ar"/>
              </w:rPr>
              <w:t>MoO</w:t>
            </w:r>
            <w:r>
              <w:rPr>
                <w:color w:val="auto"/>
                <w:sz w:val="24"/>
                <w:szCs w:val="24"/>
                <w:highlight w:val="none"/>
                <w:vertAlign w:val="subscript"/>
                <w:lang w:bidi="ar"/>
              </w:rPr>
              <w:t>4</w:t>
            </w:r>
            <w:r>
              <w:rPr>
                <w:color w:val="auto"/>
                <w:sz w:val="24"/>
                <w:szCs w:val="24"/>
                <w:highlight w:val="none"/>
                <w:lang w:bidi="ar"/>
              </w:rPr>
              <w:t>，为白色菱形结晶体。可通过</w:t>
            </w:r>
            <w:r>
              <w:rPr>
                <w:color w:val="auto"/>
                <w:sz w:val="24"/>
                <w:szCs w:val="24"/>
                <w:highlight w:val="none"/>
                <w:lang w:bidi="ar"/>
              </w:rPr>
              <w:fldChar w:fldCharType="begin"/>
            </w:r>
            <w:r>
              <w:rPr>
                <w:color w:val="auto"/>
                <w:sz w:val="24"/>
                <w:szCs w:val="24"/>
                <w:highlight w:val="none"/>
                <w:lang w:bidi="ar"/>
              </w:rPr>
              <w:instrText xml:space="preserve"> HYPERLINK "https://baike.baidu.com/item/%E9%92%BC%E7%B2%BE%E7%9F%BF/4754317?fromModule=lemma_inlink" \t "https://baike.baidu.com/item/_blank" </w:instrText>
            </w:r>
            <w:r>
              <w:rPr>
                <w:color w:val="auto"/>
                <w:sz w:val="24"/>
                <w:szCs w:val="24"/>
                <w:highlight w:val="none"/>
                <w:lang w:bidi="ar"/>
              </w:rPr>
              <w:fldChar w:fldCharType="separate"/>
            </w:r>
            <w:r>
              <w:rPr>
                <w:color w:val="auto"/>
                <w:sz w:val="24"/>
                <w:szCs w:val="24"/>
                <w:highlight w:val="none"/>
                <w:lang w:bidi="ar"/>
              </w:rPr>
              <w:t>钼精矿</w:t>
            </w:r>
            <w:r>
              <w:rPr>
                <w:color w:val="auto"/>
                <w:sz w:val="24"/>
                <w:szCs w:val="24"/>
                <w:highlight w:val="none"/>
                <w:lang w:bidi="ar"/>
              </w:rPr>
              <w:fldChar w:fldCharType="end"/>
            </w:r>
            <w:r>
              <w:rPr>
                <w:color w:val="auto"/>
                <w:highlight w:val="none"/>
              </w:rPr>
              <w:fldChar w:fldCharType="begin"/>
            </w:r>
            <w:r>
              <w:rPr>
                <w:color w:val="auto"/>
                <w:highlight w:val="none"/>
              </w:rPr>
              <w:instrText xml:space="preserve"> HYPERLINK "https://baike.baidu.com/item/%E6%B0%A7%E5%8C%96%E7%84%99%E7%83%A7/6181580?fromModule=lemma_inlink" \t "https://baike.baidu.com/item/_blank" </w:instrText>
            </w:r>
            <w:r>
              <w:rPr>
                <w:color w:val="auto"/>
                <w:highlight w:val="none"/>
              </w:rPr>
              <w:fldChar w:fldCharType="separate"/>
            </w:r>
            <w:r>
              <w:rPr>
                <w:color w:val="auto"/>
                <w:sz w:val="24"/>
                <w:szCs w:val="24"/>
                <w:highlight w:val="none"/>
                <w:lang w:bidi="ar"/>
              </w:rPr>
              <w:t>氧化焙烧</w:t>
            </w:r>
            <w:r>
              <w:rPr>
                <w:color w:val="auto"/>
                <w:sz w:val="24"/>
                <w:szCs w:val="24"/>
                <w:highlight w:val="none"/>
                <w:lang w:bidi="ar"/>
              </w:rPr>
              <w:fldChar w:fldCharType="end"/>
            </w:r>
            <w:r>
              <w:rPr>
                <w:color w:val="auto"/>
                <w:sz w:val="24"/>
                <w:szCs w:val="24"/>
                <w:highlight w:val="none"/>
                <w:lang w:bidi="ar"/>
              </w:rPr>
              <w:t>生成</w:t>
            </w:r>
            <w:r>
              <w:rPr>
                <w:color w:val="auto"/>
                <w:highlight w:val="none"/>
              </w:rPr>
              <w:fldChar w:fldCharType="begin"/>
            </w:r>
            <w:r>
              <w:rPr>
                <w:color w:val="auto"/>
                <w:highlight w:val="none"/>
              </w:rPr>
              <w:instrText xml:space="preserve"> HYPERLINK "https://baike.baidu.com/item/%E4%B8%89%E6%B0%A7%E5%8C%96%E9%92%BC/3871066?fromModule=lemma_inlink" \t "https://baike.baidu.com/item/_blank" </w:instrText>
            </w:r>
            <w:r>
              <w:rPr>
                <w:color w:val="auto"/>
                <w:highlight w:val="none"/>
              </w:rPr>
              <w:fldChar w:fldCharType="separate"/>
            </w:r>
            <w:r>
              <w:rPr>
                <w:color w:val="auto"/>
                <w:sz w:val="24"/>
                <w:szCs w:val="24"/>
                <w:highlight w:val="none"/>
                <w:lang w:bidi="ar"/>
              </w:rPr>
              <w:t>三氧化钼</w:t>
            </w:r>
            <w:r>
              <w:rPr>
                <w:color w:val="auto"/>
                <w:sz w:val="24"/>
                <w:szCs w:val="24"/>
                <w:highlight w:val="none"/>
                <w:lang w:bidi="ar"/>
              </w:rPr>
              <w:fldChar w:fldCharType="end"/>
            </w:r>
            <w:r>
              <w:rPr>
                <w:color w:val="auto"/>
                <w:sz w:val="24"/>
                <w:szCs w:val="24"/>
                <w:highlight w:val="none"/>
                <w:lang w:bidi="ar"/>
              </w:rPr>
              <w:t>，用</w:t>
            </w:r>
            <w:r>
              <w:rPr>
                <w:color w:val="auto"/>
                <w:highlight w:val="none"/>
              </w:rPr>
              <w:fldChar w:fldCharType="begin"/>
            </w:r>
            <w:r>
              <w:rPr>
                <w:color w:val="auto"/>
                <w:highlight w:val="none"/>
              </w:rPr>
              <w:instrText xml:space="preserve"> HYPERLINK "https://baike.baidu.com/item/%E6%B6%B2%E7%A2%B1/2585092?fromModule=lemma_inlink" \t "https://baike.baidu.com/item/_blank" </w:instrText>
            </w:r>
            <w:r>
              <w:rPr>
                <w:color w:val="auto"/>
                <w:highlight w:val="none"/>
              </w:rPr>
              <w:fldChar w:fldCharType="separate"/>
            </w:r>
            <w:r>
              <w:rPr>
                <w:color w:val="auto"/>
                <w:sz w:val="24"/>
                <w:szCs w:val="24"/>
                <w:highlight w:val="none"/>
                <w:lang w:bidi="ar"/>
              </w:rPr>
              <w:t>液碱</w:t>
            </w:r>
            <w:r>
              <w:rPr>
                <w:color w:val="auto"/>
                <w:sz w:val="24"/>
                <w:szCs w:val="24"/>
                <w:highlight w:val="none"/>
                <w:lang w:bidi="ar"/>
              </w:rPr>
              <w:fldChar w:fldCharType="end"/>
            </w:r>
            <w:r>
              <w:rPr>
                <w:color w:val="auto"/>
                <w:sz w:val="24"/>
                <w:szCs w:val="24"/>
                <w:highlight w:val="none"/>
                <w:lang w:bidi="ar"/>
              </w:rPr>
              <w:t>浸取生成钼酸钠溶液，后经抽滤、浓缩、冷却、离心、干燥后可制得。钼酸钠有毒，但属低毒化合物。钼中毒会引起</w:t>
            </w:r>
            <w:r>
              <w:rPr>
                <w:color w:val="auto"/>
                <w:highlight w:val="none"/>
              </w:rPr>
              <w:fldChar w:fldCharType="begin"/>
            </w:r>
            <w:r>
              <w:rPr>
                <w:color w:val="auto"/>
                <w:highlight w:val="none"/>
              </w:rPr>
              <w:instrText xml:space="preserve"> HYPERLINK "https://baike.baidu.com/item/%E5%85%B3%E8%8A%82%E7%96%BC%E7%97%9B/2996229?fromModule=lemma_inlink" \t "https://baike.baidu.com/item/_blank" </w:instrText>
            </w:r>
            <w:r>
              <w:rPr>
                <w:color w:val="auto"/>
                <w:highlight w:val="none"/>
              </w:rPr>
              <w:fldChar w:fldCharType="separate"/>
            </w:r>
            <w:r>
              <w:rPr>
                <w:color w:val="auto"/>
                <w:sz w:val="24"/>
                <w:szCs w:val="24"/>
                <w:highlight w:val="none"/>
                <w:lang w:bidi="ar"/>
              </w:rPr>
              <w:t>关节疼痛</w:t>
            </w:r>
            <w:r>
              <w:rPr>
                <w:color w:val="auto"/>
                <w:sz w:val="24"/>
                <w:szCs w:val="24"/>
                <w:highlight w:val="none"/>
                <w:lang w:bidi="ar"/>
              </w:rPr>
              <w:fldChar w:fldCharType="end"/>
            </w:r>
            <w:r>
              <w:rPr>
                <w:color w:val="auto"/>
                <w:sz w:val="24"/>
                <w:szCs w:val="24"/>
                <w:highlight w:val="none"/>
                <w:lang w:bidi="ar"/>
              </w:rPr>
              <w:t>，造成血压偏低和血压波动，神经</w:t>
            </w:r>
            <w:r>
              <w:rPr>
                <w:color w:val="auto"/>
                <w:highlight w:val="none"/>
              </w:rPr>
              <w:fldChar w:fldCharType="begin"/>
            </w:r>
            <w:r>
              <w:rPr>
                <w:color w:val="auto"/>
                <w:highlight w:val="none"/>
              </w:rPr>
              <w:instrText xml:space="preserve"> HYPERLINK "https://baike.baidu.com/item/%E5%8A%9F%E8%83%BD%E7%B4%8A%E4%B9%B1/15547340?fromModule=lemma_inlink" \t "https://baike.baidu.com/item/_blank" </w:instrText>
            </w:r>
            <w:r>
              <w:rPr>
                <w:color w:val="auto"/>
                <w:highlight w:val="none"/>
              </w:rPr>
              <w:fldChar w:fldCharType="separate"/>
            </w:r>
            <w:r>
              <w:rPr>
                <w:color w:val="auto"/>
                <w:sz w:val="24"/>
                <w:szCs w:val="24"/>
                <w:highlight w:val="none"/>
                <w:lang w:bidi="ar"/>
              </w:rPr>
              <w:t>功能紊乱</w:t>
            </w:r>
            <w:r>
              <w:rPr>
                <w:color w:val="auto"/>
                <w:sz w:val="24"/>
                <w:szCs w:val="24"/>
                <w:highlight w:val="none"/>
                <w:lang w:bidi="ar"/>
              </w:rPr>
              <w:fldChar w:fldCharType="end"/>
            </w:r>
            <w:r>
              <w:rPr>
                <w:color w:val="auto"/>
                <w:sz w:val="24"/>
                <w:szCs w:val="24"/>
                <w:highlight w:val="none"/>
                <w:lang w:bidi="ar"/>
              </w:rPr>
              <w:t>，代谢过程出现障碍。</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（9）氢氧化钠</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eastAsia="zh-CN" w:bidi="ar"/>
              </w:rPr>
            </w:pPr>
            <w:r>
              <w:rPr>
                <w:color w:val="auto"/>
                <w:sz w:val="24"/>
                <w:szCs w:val="24"/>
                <w:highlight w:val="none"/>
                <w:lang w:bidi="ar"/>
              </w:rPr>
              <w:t>CAS号1310-73-2，氢氧化钠也称苛性钠、烧碱、火碱，是一种无机化合物，化学式NaOH，氢氧化钠具有强碱性，腐蚀性极强，可作酸中和剂、配合掩蔽剂、沉淀剂、沉淀掩蔽剂、显色剂、皂化剂、去皮剂、洗涤剂等，用途非常广泛</w:t>
            </w:r>
            <w:r>
              <w:rPr>
                <w:rFonts w:hint="eastAsia"/>
                <w:color w:val="auto"/>
                <w:sz w:val="24"/>
                <w:szCs w:val="24"/>
                <w:highlight w:val="none"/>
                <w:lang w:eastAsia="zh-CN" w:bidi="ar"/>
              </w:rPr>
              <w:t>。</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五、公用工程及辅助设施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1、供配电系统</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工程现状有一路10kV外电，备用电源为柴油发电机，改扩建后外电和柴油发电机均不能满足用电负荷需求。为保证污水处理系统正常运转，供电系统需有较高的可靠性，采用双回路电源模式供电，本次对10kV外电进行增容改造，利用现状10kV高压配电柜，对柜内元器件进行增容改造，改造后满足800kVA变压器的供电，增设一套满足用电负荷的柴油发电机组。同时，污水厂运行设备有足够的备用率。</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2、给排水系统</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（1）给水系统</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厂区给水由市政管网提供，来自于周边供水干管，要求压力大于0.3MPa。厂区给水主要用于生活、生产及消防等。给水干管管径DN100，厂区内呈环网状，利于消防和安全供水。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给水分为生活用水、生产用水（试剂配置用水、化验室器皿清洗用水、设备冲洗用水、地坪冲洗用水、反冲洗用水）和绿化用水。其中，生活用水、试剂配置用水、化验室器皿清洗用水来源于市政自来水管网；设备冲洗用水、地坪冲洗用水、反冲洗用水和绿化用水来源于污水厂达标尾水。</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①生活用水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本项目现有员工20人，扩建工程不新增员工。</w:t>
            </w:r>
            <w:r>
              <w:rPr>
                <w:color w:val="auto"/>
                <w:sz w:val="24"/>
                <w:highlight w:val="none"/>
              </w:rPr>
              <w:t>根据《四川省用水定额》（川府函〔2021〕8号）中表5农村居民生活用水定额表，同时考虑本项目设置食堂，不设住宿，用水量按80L/人·d计（含20L/人·d的食堂用水），则一期生活用水量为1.60m</w:t>
            </w:r>
            <w:r>
              <w:rPr>
                <w:color w:val="auto"/>
                <w:sz w:val="24"/>
                <w:highlight w:val="none"/>
                <w:vertAlign w:val="superscript"/>
              </w:rPr>
              <w:t>3</w:t>
            </w:r>
            <w:r>
              <w:rPr>
                <w:color w:val="auto"/>
                <w:sz w:val="24"/>
                <w:highlight w:val="none"/>
              </w:rPr>
              <w:t>/d（584.00m</w:t>
            </w:r>
            <w:r>
              <w:rPr>
                <w:color w:val="auto"/>
                <w:sz w:val="24"/>
                <w:highlight w:val="none"/>
                <w:vertAlign w:val="superscript"/>
              </w:rPr>
              <w:t>3</w:t>
            </w:r>
            <w:r>
              <w:rPr>
                <w:color w:val="auto"/>
                <w:sz w:val="24"/>
                <w:highlight w:val="none"/>
              </w:rPr>
              <w:t>/a），无新增生活用水量，改扩建完成后，生活用水量为1.60m</w:t>
            </w:r>
            <w:r>
              <w:rPr>
                <w:color w:val="auto"/>
                <w:sz w:val="24"/>
                <w:highlight w:val="none"/>
                <w:vertAlign w:val="superscript"/>
              </w:rPr>
              <w:t>3</w:t>
            </w:r>
            <w:r>
              <w:rPr>
                <w:color w:val="auto"/>
                <w:sz w:val="24"/>
                <w:highlight w:val="none"/>
              </w:rPr>
              <w:t>/d（584.00m</w:t>
            </w:r>
            <w:r>
              <w:rPr>
                <w:color w:val="auto"/>
                <w:sz w:val="24"/>
                <w:highlight w:val="none"/>
                <w:vertAlign w:val="superscript"/>
              </w:rPr>
              <w:t>3</w:t>
            </w:r>
            <w:r>
              <w:rPr>
                <w:color w:val="auto"/>
                <w:sz w:val="24"/>
                <w:highlight w:val="none"/>
              </w:rPr>
              <w:t>/a）。</w:t>
            </w:r>
          </w:p>
          <w:p>
            <w:pPr>
              <w:pageBreakBefore w:val="0"/>
              <w:kinsoku/>
              <w:wordWrap/>
              <w:topLinePunct w:val="0"/>
              <w:bidi w:val="0"/>
              <w:spacing w:line="360" w:lineRule="auto"/>
              <w:ind w:left="0" w:leftChars="0" w:right="0" w:rightChars="0" w:firstLine="480"/>
              <w:rPr>
                <w:b/>
                <w:bCs/>
                <w:color w:val="auto"/>
                <w:sz w:val="24"/>
                <w:highlight w:val="none"/>
              </w:rPr>
            </w:pPr>
            <w:r>
              <w:rPr>
                <w:b/>
                <w:bCs/>
                <w:color w:val="auto"/>
                <w:sz w:val="24"/>
                <w:szCs w:val="32"/>
                <w:highlight w:val="none"/>
                <w:lang w:bidi="ar"/>
              </w:rPr>
              <w:t>②</w:t>
            </w:r>
            <w:r>
              <w:rPr>
                <w:b/>
                <w:bCs/>
                <w:color w:val="auto"/>
                <w:sz w:val="24"/>
                <w:highlight w:val="none"/>
              </w:rPr>
              <w:t>试剂配置用水</w:t>
            </w:r>
          </w:p>
          <w:p>
            <w:pPr>
              <w:pageBreakBefore w:val="0"/>
              <w:kinsoku/>
              <w:wordWrap/>
              <w:topLinePunct w:val="0"/>
              <w:bidi w:val="0"/>
              <w:spacing w:line="360" w:lineRule="auto"/>
              <w:ind w:left="0" w:leftChars="0" w:right="0" w:rightChars="0" w:firstLine="480"/>
              <w:rPr>
                <w:color w:val="auto"/>
                <w:sz w:val="24"/>
                <w:highlight w:val="none"/>
              </w:rPr>
            </w:pPr>
            <w:r>
              <w:rPr>
                <w:color w:val="auto"/>
                <w:sz w:val="24"/>
                <w:highlight w:val="none"/>
              </w:rPr>
              <w:t>项目PAM、PFS等试剂配置用水量约0.50m</w:t>
            </w:r>
            <w:r>
              <w:rPr>
                <w:color w:val="auto"/>
                <w:sz w:val="24"/>
                <w:highlight w:val="none"/>
                <w:vertAlign w:val="superscript"/>
              </w:rPr>
              <w:t>3</w:t>
            </w:r>
            <w:r>
              <w:rPr>
                <w:color w:val="auto"/>
                <w:sz w:val="24"/>
                <w:highlight w:val="none"/>
              </w:rPr>
              <w:t>/d（182.50m</w:t>
            </w:r>
            <w:r>
              <w:rPr>
                <w:color w:val="auto"/>
                <w:sz w:val="24"/>
                <w:highlight w:val="none"/>
                <w:vertAlign w:val="superscript"/>
              </w:rPr>
              <w:t>3</w:t>
            </w:r>
            <w:r>
              <w:rPr>
                <w:color w:val="auto"/>
                <w:sz w:val="24"/>
                <w:highlight w:val="none"/>
              </w:rPr>
              <w:t>/a），改扩建完成后，试剂配置用水量约为1.00m</w:t>
            </w:r>
            <w:r>
              <w:rPr>
                <w:color w:val="auto"/>
                <w:sz w:val="24"/>
                <w:highlight w:val="none"/>
                <w:vertAlign w:val="superscript"/>
              </w:rPr>
              <w:t>3</w:t>
            </w:r>
            <w:r>
              <w:rPr>
                <w:color w:val="auto"/>
                <w:sz w:val="24"/>
                <w:highlight w:val="none"/>
              </w:rPr>
              <w:t>/d（365.00m</w:t>
            </w:r>
            <w:r>
              <w:rPr>
                <w:color w:val="auto"/>
                <w:sz w:val="24"/>
                <w:highlight w:val="none"/>
                <w:vertAlign w:val="superscript"/>
              </w:rPr>
              <w:t>3</w:t>
            </w:r>
            <w:r>
              <w:rPr>
                <w:color w:val="auto"/>
                <w:sz w:val="24"/>
                <w:highlight w:val="none"/>
              </w:rPr>
              <w: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highlight w:val="none"/>
              </w:rPr>
              <w:t>③化验室器皿清洗用水</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项目设有化验室，化验室器皿清洗用水量约为0.05m</w:t>
            </w:r>
            <w:r>
              <w:rPr>
                <w:color w:val="auto"/>
                <w:sz w:val="24"/>
                <w:highlight w:val="none"/>
                <w:vertAlign w:val="superscript"/>
              </w:rPr>
              <w:t>3</w:t>
            </w:r>
            <w:r>
              <w:rPr>
                <w:color w:val="auto"/>
                <w:sz w:val="24"/>
                <w:highlight w:val="none"/>
              </w:rPr>
              <w:t>/d（18.25m</w:t>
            </w:r>
            <w:r>
              <w:rPr>
                <w:color w:val="auto"/>
                <w:sz w:val="24"/>
                <w:highlight w:val="none"/>
                <w:vertAlign w:val="superscript"/>
              </w:rPr>
              <w:t>3</w:t>
            </w:r>
            <w:r>
              <w:rPr>
                <w:color w:val="auto"/>
                <w:sz w:val="24"/>
                <w:highlight w:val="none"/>
              </w:rPr>
              <w:t>/a），改扩建完成后，化验室器皿清洗用水量不变。</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highlight w:val="none"/>
              </w:rPr>
              <w:t>④</w:t>
            </w:r>
            <w:r>
              <w:rPr>
                <w:b/>
                <w:bCs/>
                <w:color w:val="auto"/>
                <w:sz w:val="24"/>
                <w:szCs w:val="32"/>
                <w:highlight w:val="none"/>
                <w:lang w:bidi="ar"/>
              </w:rPr>
              <w:t>设备冲洗用水</w:t>
            </w:r>
          </w:p>
          <w:p>
            <w:pPr>
              <w:pageBreakBefore w:val="0"/>
              <w:kinsoku/>
              <w:wordWrap/>
              <w:topLinePunct w:val="0"/>
              <w:bidi w:val="0"/>
              <w:spacing w:line="360" w:lineRule="auto"/>
              <w:ind w:left="0" w:leftChars="0" w:right="0" w:rightChars="0" w:firstLine="480"/>
              <w:rPr>
                <w:color w:val="auto"/>
                <w:sz w:val="24"/>
                <w:highlight w:val="none"/>
              </w:rPr>
            </w:pPr>
            <w:r>
              <w:rPr>
                <w:color w:val="auto"/>
                <w:sz w:val="24"/>
                <w:highlight w:val="none"/>
              </w:rPr>
              <w:t>本项目污泥脱水设备需要定期用水冲洗，类比同类项目分析，设备冲洗用水量约为2.00m</w:t>
            </w:r>
            <w:r>
              <w:rPr>
                <w:color w:val="auto"/>
                <w:sz w:val="24"/>
                <w:highlight w:val="none"/>
                <w:vertAlign w:val="superscript"/>
              </w:rPr>
              <w:t>3</w:t>
            </w:r>
            <w:r>
              <w:rPr>
                <w:color w:val="auto"/>
                <w:sz w:val="24"/>
                <w:highlight w:val="none"/>
              </w:rPr>
              <w:t>/d（730.00m</w:t>
            </w:r>
            <w:r>
              <w:rPr>
                <w:color w:val="auto"/>
                <w:sz w:val="24"/>
                <w:highlight w:val="none"/>
                <w:vertAlign w:val="superscript"/>
              </w:rPr>
              <w:t>3</w:t>
            </w:r>
            <w:r>
              <w:rPr>
                <w:color w:val="auto"/>
                <w:sz w:val="24"/>
                <w:highlight w:val="none"/>
              </w:rPr>
              <w:t>/a），设备冲洗用水全部来自处理达标后的尾水。改扩建完成后，设备冲洗用水量不变。</w:t>
            </w:r>
          </w:p>
          <w:p>
            <w:pPr>
              <w:pageBreakBefore w:val="0"/>
              <w:kinsoku/>
              <w:wordWrap/>
              <w:topLinePunct w:val="0"/>
              <w:bidi w:val="0"/>
              <w:spacing w:line="360" w:lineRule="auto"/>
              <w:ind w:left="0" w:leftChars="0" w:right="0" w:rightChars="0" w:firstLine="480"/>
              <w:rPr>
                <w:b/>
                <w:bCs/>
                <w:color w:val="auto"/>
                <w:sz w:val="24"/>
                <w:highlight w:val="none"/>
              </w:rPr>
            </w:pPr>
            <w:r>
              <w:rPr>
                <w:b/>
                <w:bCs/>
                <w:color w:val="auto"/>
                <w:sz w:val="24"/>
                <w:highlight w:val="none"/>
              </w:rPr>
              <w:t>⑤地坪冲洗用水</w:t>
            </w:r>
          </w:p>
          <w:p>
            <w:pPr>
              <w:pageBreakBefore w:val="0"/>
              <w:kinsoku/>
              <w:wordWrap/>
              <w:topLinePunct w:val="0"/>
              <w:bidi w:val="0"/>
              <w:spacing w:line="360" w:lineRule="auto"/>
              <w:ind w:left="0" w:leftChars="0" w:right="0" w:rightChars="0" w:firstLine="480"/>
              <w:rPr>
                <w:color w:val="auto"/>
                <w:sz w:val="24"/>
                <w:highlight w:val="none"/>
              </w:rPr>
            </w:pPr>
            <w:r>
              <w:rPr>
                <w:color w:val="auto"/>
                <w:sz w:val="24"/>
                <w:highlight w:val="none"/>
              </w:rPr>
              <w:t>项目日常运行中将对脱泥机房、格栅堆存点等进行定期冲洗，日冲洗量约4.00m</w:t>
            </w:r>
            <w:r>
              <w:rPr>
                <w:color w:val="auto"/>
                <w:sz w:val="24"/>
                <w:highlight w:val="none"/>
                <w:vertAlign w:val="superscript"/>
              </w:rPr>
              <w:t>3</w:t>
            </w:r>
            <w:r>
              <w:rPr>
                <w:color w:val="auto"/>
                <w:sz w:val="24"/>
                <w:highlight w:val="none"/>
              </w:rPr>
              <w:t>/d（1460.00m</w:t>
            </w:r>
            <w:r>
              <w:rPr>
                <w:color w:val="auto"/>
                <w:sz w:val="24"/>
                <w:highlight w:val="none"/>
                <w:vertAlign w:val="superscript"/>
              </w:rPr>
              <w:t>3</w:t>
            </w:r>
            <w:r>
              <w:rPr>
                <w:color w:val="auto"/>
                <w:sz w:val="24"/>
                <w:highlight w:val="none"/>
              </w:rPr>
              <w:t>/a），地坪冲洗用水全部来自处理达标后的尾水。改扩建完成后，地坪冲洗用水量不变。</w:t>
            </w:r>
          </w:p>
          <w:p>
            <w:pPr>
              <w:pageBreakBefore w:val="0"/>
              <w:kinsoku/>
              <w:wordWrap/>
              <w:topLinePunct w:val="0"/>
              <w:bidi w:val="0"/>
              <w:spacing w:line="360" w:lineRule="auto"/>
              <w:ind w:left="0" w:leftChars="0" w:right="0" w:rightChars="0" w:firstLine="480"/>
              <w:rPr>
                <w:b/>
                <w:bCs/>
                <w:color w:val="auto"/>
                <w:sz w:val="24"/>
                <w:highlight w:val="none"/>
              </w:rPr>
            </w:pPr>
            <w:r>
              <w:rPr>
                <w:b/>
                <w:bCs/>
                <w:color w:val="auto"/>
                <w:sz w:val="24"/>
                <w:highlight w:val="none"/>
              </w:rPr>
              <w:t>⑥反冲洗用水</w:t>
            </w:r>
          </w:p>
          <w:p>
            <w:pPr>
              <w:pageBreakBefore w:val="0"/>
              <w:kinsoku/>
              <w:wordWrap/>
              <w:topLinePunct w:val="0"/>
              <w:bidi w:val="0"/>
              <w:spacing w:line="360" w:lineRule="auto"/>
              <w:ind w:left="0" w:leftChars="0" w:right="0" w:rightChars="0" w:firstLine="480"/>
              <w:rPr>
                <w:color w:val="auto"/>
                <w:sz w:val="24"/>
                <w:highlight w:val="none"/>
              </w:rPr>
            </w:pPr>
            <w:r>
              <w:rPr>
                <w:color w:val="auto"/>
                <w:sz w:val="24"/>
                <w:highlight w:val="none"/>
              </w:rPr>
              <w:t>项目一期无反冲洗用水，二期新增的转鼓滤池需用水反冲洗，反冲洗用水量约为200m</w:t>
            </w:r>
            <w:r>
              <w:rPr>
                <w:color w:val="auto"/>
                <w:sz w:val="24"/>
                <w:highlight w:val="none"/>
                <w:vertAlign w:val="superscript"/>
              </w:rPr>
              <w:t>3</w:t>
            </w:r>
            <w:r>
              <w:rPr>
                <w:color w:val="auto"/>
                <w:sz w:val="24"/>
                <w:highlight w:val="none"/>
              </w:rPr>
              <w:t>/d（73000.00m</w:t>
            </w:r>
            <w:r>
              <w:rPr>
                <w:color w:val="auto"/>
                <w:sz w:val="24"/>
                <w:highlight w:val="none"/>
                <w:vertAlign w:val="superscript"/>
              </w:rPr>
              <w:t>3</w:t>
            </w:r>
            <w:r>
              <w:rPr>
                <w:color w:val="auto"/>
                <w:sz w:val="24"/>
                <w:highlight w:val="none"/>
              </w:rPr>
              <w:t>/a），反冲洗用水全部来自处理达标后的尾水。改扩建完成后，反冲洗用水量为200m</w:t>
            </w:r>
            <w:r>
              <w:rPr>
                <w:color w:val="auto"/>
                <w:sz w:val="24"/>
                <w:highlight w:val="none"/>
                <w:vertAlign w:val="superscript"/>
              </w:rPr>
              <w:t>3</w:t>
            </w:r>
            <w:r>
              <w:rPr>
                <w:color w:val="auto"/>
                <w:sz w:val="24"/>
                <w:highlight w:val="none"/>
              </w:rPr>
              <w:t>/d（73000.00m</w:t>
            </w:r>
            <w:r>
              <w:rPr>
                <w:color w:val="auto"/>
                <w:sz w:val="24"/>
                <w:highlight w:val="none"/>
                <w:vertAlign w:val="superscript"/>
              </w:rPr>
              <w:t>3</w:t>
            </w:r>
            <w:r>
              <w:rPr>
                <w:color w:val="auto"/>
                <w:sz w:val="24"/>
                <w:highlight w:val="none"/>
              </w:rPr>
              <w:t>/a）。</w:t>
            </w:r>
          </w:p>
          <w:p>
            <w:pPr>
              <w:pageBreakBefore w:val="0"/>
              <w:kinsoku/>
              <w:wordWrap/>
              <w:topLinePunct w:val="0"/>
              <w:bidi w:val="0"/>
              <w:spacing w:line="360" w:lineRule="auto"/>
              <w:ind w:left="0" w:leftChars="0" w:right="0" w:rightChars="0" w:firstLine="482" w:firstLineChars="200"/>
              <w:rPr>
                <w:b/>
                <w:bCs/>
                <w:color w:val="auto"/>
                <w:sz w:val="24"/>
                <w:highlight w:val="none"/>
              </w:rPr>
            </w:pPr>
            <w:r>
              <w:rPr>
                <w:b/>
                <w:bCs/>
                <w:color w:val="auto"/>
                <w:sz w:val="24"/>
                <w:highlight w:val="none"/>
              </w:rPr>
              <w:t>⑦绿化用水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highlight w:val="none"/>
              </w:rPr>
              <w:t>本项目厂区绿化面积约1200m</w:t>
            </w:r>
            <w:r>
              <w:rPr>
                <w:color w:val="auto"/>
                <w:sz w:val="24"/>
                <w:highlight w:val="none"/>
                <w:vertAlign w:val="superscript"/>
              </w:rPr>
              <w:t>2</w:t>
            </w:r>
            <w:r>
              <w:rPr>
                <w:color w:val="auto"/>
                <w:sz w:val="24"/>
                <w:highlight w:val="none"/>
              </w:rPr>
              <w:t>，绿化用水按2.5L/m</w:t>
            </w:r>
            <w:r>
              <w:rPr>
                <w:color w:val="auto"/>
                <w:sz w:val="24"/>
                <w:highlight w:val="none"/>
                <w:vertAlign w:val="superscript"/>
              </w:rPr>
              <w:t>2</w:t>
            </w:r>
            <w:r>
              <w:rPr>
                <w:color w:val="auto"/>
                <w:sz w:val="24"/>
                <w:highlight w:val="none"/>
              </w:rPr>
              <w:t>·d计算，用水量为3.0m</w:t>
            </w:r>
            <w:r>
              <w:rPr>
                <w:color w:val="auto"/>
                <w:sz w:val="24"/>
                <w:highlight w:val="none"/>
                <w:vertAlign w:val="superscript"/>
              </w:rPr>
              <w:t>3</w:t>
            </w:r>
            <w:r>
              <w:rPr>
                <w:color w:val="auto"/>
                <w:sz w:val="24"/>
                <w:highlight w:val="none"/>
              </w:rPr>
              <w:t>/d（1095.00m</w:t>
            </w:r>
            <w:r>
              <w:rPr>
                <w:color w:val="auto"/>
                <w:sz w:val="24"/>
                <w:highlight w:val="none"/>
                <w:vertAlign w:val="superscript"/>
              </w:rPr>
              <w:t>3</w:t>
            </w:r>
            <w:r>
              <w:rPr>
                <w:color w:val="auto"/>
                <w:sz w:val="24"/>
                <w:highlight w:val="none"/>
              </w:rPr>
              <w:t>/a），绿化用水全部来自处理达标后的尾水。</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（2）排水系统</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厂区排水为雨污分流制。</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厂区雨水：</w:t>
            </w:r>
            <w:r>
              <w:rPr>
                <w:color w:val="auto"/>
                <w:sz w:val="24"/>
                <w:szCs w:val="32"/>
                <w:highlight w:val="none"/>
                <w:lang w:bidi="ar"/>
              </w:rPr>
              <w:t>由道路雨水口收集后汇入厂区雨水管道，并自流排入前河。</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厂内污水：</w:t>
            </w:r>
            <w:r>
              <w:rPr>
                <w:color w:val="auto"/>
                <w:sz w:val="24"/>
                <w:szCs w:val="32"/>
                <w:highlight w:val="none"/>
                <w:lang w:bidi="ar"/>
              </w:rPr>
              <w:t>厂内生活污水（含食堂废水）、生产废水（化验室器皿清洗废水、设备冲洗废水、地坪冲洗废水、反冲洗废水）、脱水滤液等经厂内污水管道收集后汇入提升泵房，与进厂污水一并处理。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③水平衡图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根据用水量预测及排水分析，营运期水量平衡见下图：</w:t>
            </w:r>
          </w:p>
          <w:p>
            <w:pPr>
              <w:pageBreakBefore w:val="0"/>
              <w:kinsoku/>
              <w:wordWrap/>
              <w:topLinePunct w:val="0"/>
              <w:bidi w:val="0"/>
              <w:spacing w:line="360" w:lineRule="auto"/>
              <w:ind w:left="0" w:leftChars="0" w:right="0" w:rightChars="0"/>
              <w:jc w:val="center"/>
              <w:rPr>
                <w:rFonts w:eastAsia="黑体"/>
                <w:b/>
                <w:color w:val="auto"/>
                <w:highlight w:val="none"/>
              </w:rPr>
            </w:pPr>
            <w:r>
              <w:rPr>
                <w:color w:val="auto"/>
                <w:highlight w:val="none"/>
              </w:rPr>
              <w:object>
                <v:shape id="_x0000_i1025" o:spt="75" type="#_x0000_t75" style="height:210pt;width:462.6pt;" o:ole="t" filled="f" o:preferrelative="t" stroked="f" coordsize="21600,21600">
                  <v:path/>
                  <v:fill on="f" focussize="0,0"/>
                  <v:stroke on="f" joinstyle="miter"/>
                  <v:imagedata r:id="rId11" o:title=""/>
                  <o:lock v:ext="edit" aspectratio="f"/>
                  <w10:wrap type="none"/>
                  <w10:anchorlock/>
                </v:shape>
                <o:OLEObject Type="Embed" ProgID="Visio.Drawing.11" ShapeID="_x0000_i1025" DrawAspect="Content" ObjectID="_1468075725" r:id="rId10">
                  <o:LockedField>false</o:LockedField>
                </o:OLEObject>
              </w:object>
            </w:r>
            <w:r>
              <w:rPr>
                <w:rFonts w:eastAsia="黑体"/>
                <w:bCs/>
                <w:color w:val="auto"/>
                <w:highlight w:val="none"/>
              </w:rPr>
              <w:t>图2-1</w:t>
            </w:r>
            <w:r>
              <w:rPr>
                <w:rFonts w:hint="eastAsia" w:eastAsia="黑体"/>
                <w:bCs/>
                <w:color w:val="auto"/>
                <w:highlight w:val="none"/>
              </w:rPr>
              <w:t xml:space="preserve"> </w:t>
            </w:r>
            <w:r>
              <w:rPr>
                <w:rFonts w:eastAsia="黑体"/>
                <w:color w:val="auto"/>
                <w:highlight w:val="none"/>
              </w:rPr>
              <w:t>本次扩建完成后全厂</w:t>
            </w:r>
            <w:r>
              <w:rPr>
                <w:rFonts w:eastAsia="黑体"/>
                <w:bCs/>
                <w:color w:val="auto"/>
                <w:highlight w:val="none"/>
              </w:rPr>
              <w:t>水量平衡图（m</w:t>
            </w:r>
            <w:r>
              <w:rPr>
                <w:rFonts w:eastAsia="黑体"/>
                <w:bCs/>
                <w:color w:val="auto"/>
                <w:highlight w:val="none"/>
                <w:vertAlign w:val="superscript"/>
              </w:rPr>
              <w:t>3</w:t>
            </w:r>
            <w:r>
              <w:rPr>
                <w:rFonts w:eastAsia="黑体"/>
                <w:bCs/>
                <w:color w:val="auto"/>
                <w:highlight w:val="none"/>
              </w:rPr>
              <w:t>/d）</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（3）中水回用</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中水回用标准采用《城市污水再生利用城市杂用水水质》（GB/T18920-2020），城市杂用水水质标准及污水处理厂污水排放标准对照情况见下表。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表2-6</w:t>
            </w:r>
            <w:r>
              <w:rPr>
                <w:rFonts w:hint="eastAsia" w:eastAsia="黑体"/>
                <w:color w:val="auto"/>
                <w:highlight w:val="none"/>
              </w:rPr>
              <w:t xml:space="preserve"> </w:t>
            </w:r>
            <w:r>
              <w:rPr>
                <w:rFonts w:eastAsia="黑体"/>
                <w:color w:val="auto"/>
                <w:highlight w:val="none"/>
              </w:rPr>
              <w:t>城市杂用水水质与污水处理厂污水排放标准对照表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958"/>
              <w:gridCol w:w="1026"/>
              <w:gridCol w:w="724"/>
              <w:gridCol w:w="630"/>
              <w:gridCol w:w="1024"/>
              <w:gridCol w:w="1012"/>
              <w:gridCol w:w="1012"/>
              <w:gridCol w:w="999"/>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项目</w:t>
                  </w:r>
                </w:p>
              </w:tc>
              <w:tc>
                <w:tcPr>
                  <w:tcW w:w="520"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浊度（NTU）</w:t>
                  </w:r>
                </w:p>
              </w:tc>
              <w:tc>
                <w:tcPr>
                  <w:tcW w:w="557"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悬浮固体（mg/L）</w:t>
                  </w:r>
                </w:p>
              </w:tc>
              <w:tc>
                <w:tcPr>
                  <w:tcW w:w="393"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色度（度）</w:t>
                  </w:r>
                </w:p>
              </w:tc>
              <w:tc>
                <w:tcPr>
                  <w:tcW w:w="342"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pH值</w:t>
                  </w:r>
                </w:p>
              </w:tc>
              <w:tc>
                <w:tcPr>
                  <w:tcW w:w="556"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BOD</w:t>
                  </w:r>
                  <w:r>
                    <w:rPr>
                      <w:b/>
                      <w:bCs/>
                      <w:color w:val="auto"/>
                      <w:szCs w:val="20"/>
                      <w:highlight w:val="none"/>
                      <w:vertAlign w:val="subscript"/>
                    </w:rPr>
                    <w:t>5</w:t>
                  </w:r>
                  <w:r>
                    <w:rPr>
                      <w:b/>
                      <w:bCs/>
                      <w:color w:val="auto"/>
                      <w:szCs w:val="20"/>
                      <w:highlight w:val="none"/>
                    </w:rPr>
                    <w:t>（mg/L）</w:t>
                  </w:r>
                </w:p>
              </w:tc>
              <w:tc>
                <w:tcPr>
                  <w:tcW w:w="549"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CODcr（mg/L）</w:t>
                  </w:r>
                </w:p>
              </w:tc>
              <w:tc>
                <w:tcPr>
                  <w:tcW w:w="549"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NH</w:t>
                  </w:r>
                  <w:r>
                    <w:rPr>
                      <w:b/>
                      <w:bCs/>
                      <w:color w:val="auto"/>
                      <w:szCs w:val="20"/>
                      <w:highlight w:val="none"/>
                      <w:vertAlign w:val="subscript"/>
                    </w:rPr>
                    <w:t>3</w:t>
                  </w:r>
                  <w:r>
                    <w:rPr>
                      <w:b/>
                      <w:bCs/>
                      <w:color w:val="auto"/>
                      <w:szCs w:val="20"/>
                      <w:highlight w:val="none"/>
                    </w:rPr>
                    <w:t>-N（mg/L）</w:t>
                  </w:r>
                </w:p>
              </w:tc>
              <w:tc>
                <w:tcPr>
                  <w:tcW w:w="542"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总氯（mg/L）</w:t>
                  </w:r>
                </w:p>
              </w:tc>
              <w:tc>
                <w:tcPr>
                  <w:tcW w:w="509" w:type="pct"/>
                  <w:vAlign w:val="center"/>
                </w:tcPr>
                <w:p>
                  <w:pPr>
                    <w:pStyle w:val="22"/>
                    <w:pageBreakBefore w:val="0"/>
                    <w:kinsoku/>
                    <w:wordWrap/>
                    <w:topLinePunct w:val="0"/>
                    <w:bidi w:val="0"/>
                    <w:spacing w:after="0"/>
                    <w:ind w:left="0" w:leftChars="0" w:right="0" w:rightChars="0" w:firstLine="0"/>
                    <w:jc w:val="center"/>
                    <w:rPr>
                      <w:b/>
                      <w:bCs/>
                      <w:color w:val="auto"/>
                      <w:szCs w:val="20"/>
                      <w:highlight w:val="none"/>
                    </w:rPr>
                  </w:pPr>
                  <w:r>
                    <w:rPr>
                      <w:b/>
                      <w:bCs/>
                      <w:color w:val="auto"/>
                      <w:szCs w:val="20"/>
                      <w:highlight w:val="none"/>
                    </w:rPr>
                    <w:t>总大肠菌群数（个/L）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b/>
                      <w:bCs/>
                      <w:color w:val="auto"/>
                      <w:szCs w:val="20"/>
                      <w:highlight w:val="none"/>
                    </w:rPr>
                    <w:t>绿化用水标准</w:t>
                  </w:r>
                </w:p>
              </w:tc>
              <w:tc>
                <w:tcPr>
                  <w:tcW w:w="520"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10</w:t>
                  </w:r>
                </w:p>
              </w:tc>
              <w:tc>
                <w:tcPr>
                  <w:tcW w:w="557"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w:t>
                  </w:r>
                </w:p>
              </w:tc>
              <w:tc>
                <w:tcPr>
                  <w:tcW w:w="393"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30</w:t>
                  </w:r>
                </w:p>
              </w:tc>
              <w:tc>
                <w:tcPr>
                  <w:tcW w:w="342"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6.0～9.0</w:t>
                  </w:r>
                </w:p>
              </w:tc>
              <w:tc>
                <w:tcPr>
                  <w:tcW w:w="556"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10</w:t>
                  </w:r>
                </w:p>
              </w:tc>
              <w:tc>
                <w:tcPr>
                  <w:tcW w:w="549"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w:t>
                  </w:r>
                </w:p>
              </w:tc>
              <w:tc>
                <w:tcPr>
                  <w:tcW w:w="549"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8</w:t>
                  </w:r>
                </w:p>
              </w:tc>
              <w:tc>
                <w:tcPr>
                  <w:tcW w:w="542"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管网末梢≥0.2</w:t>
                  </w:r>
                </w:p>
              </w:tc>
              <w:tc>
                <w:tcPr>
                  <w:tcW w:w="509"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b/>
                      <w:bCs/>
                      <w:color w:val="auto"/>
                      <w:szCs w:val="20"/>
                      <w:highlight w:val="none"/>
                    </w:rPr>
                    <w:t>GB18918-2002一级A标准</w:t>
                  </w:r>
                </w:p>
              </w:tc>
              <w:tc>
                <w:tcPr>
                  <w:tcW w:w="520"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w:t>
                  </w:r>
                </w:p>
              </w:tc>
              <w:tc>
                <w:tcPr>
                  <w:tcW w:w="557"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10</w:t>
                  </w:r>
                </w:p>
              </w:tc>
              <w:tc>
                <w:tcPr>
                  <w:tcW w:w="393"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30</w:t>
                  </w:r>
                </w:p>
              </w:tc>
              <w:tc>
                <w:tcPr>
                  <w:tcW w:w="342"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6.0～9.0</w:t>
                  </w:r>
                </w:p>
              </w:tc>
              <w:tc>
                <w:tcPr>
                  <w:tcW w:w="556"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10</w:t>
                  </w:r>
                </w:p>
              </w:tc>
              <w:tc>
                <w:tcPr>
                  <w:tcW w:w="549"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50</w:t>
                  </w:r>
                </w:p>
              </w:tc>
              <w:tc>
                <w:tcPr>
                  <w:tcW w:w="549"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5（8）</w:t>
                  </w:r>
                </w:p>
              </w:tc>
              <w:tc>
                <w:tcPr>
                  <w:tcW w:w="542"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 w:val="21"/>
                      <w:highlight w:val="none"/>
                    </w:rPr>
                    <w:t>—</w:t>
                  </w:r>
                </w:p>
              </w:tc>
              <w:tc>
                <w:tcPr>
                  <w:tcW w:w="509" w:type="pct"/>
                  <w:vAlign w:val="center"/>
                </w:tcPr>
                <w:p>
                  <w:pPr>
                    <w:pStyle w:val="22"/>
                    <w:pageBreakBefore w:val="0"/>
                    <w:kinsoku/>
                    <w:wordWrap/>
                    <w:topLinePunct w:val="0"/>
                    <w:bidi w:val="0"/>
                    <w:spacing w:after="0"/>
                    <w:ind w:left="0" w:leftChars="0" w:right="0" w:rightChars="0" w:firstLine="0"/>
                    <w:jc w:val="center"/>
                    <w:rPr>
                      <w:color w:val="auto"/>
                      <w:szCs w:val="20"/>
                      <w:highlight w:val="none"/>
                    </w:rPr>
                  </w:pPr>
                  <w:r>
                    <w:rPr>
                      <w:color w:val="auto"/>
                      <w:szCs w:val="20"/>
                      <w:highlight w:val="none"/>
                    </w:rPr>
                    <w:t>—</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从上表可以看出，本工程进行深度处理后，可以达到《城市污水再生利用城市杂用水水质》（GB/T18920-2020）相关标准要求。设计回用水量20</w:t>
            </w:r>
            <w:r>
              <w:rPr>
                <w:color w:val="auto"/>
                <w:sz w:val="24"/>
                <w:highlight w:val="none"/>
              </w:rPr>
              <w:t>m</w:t>
            </w:r>
            <w:r>
              <w:rPr>
                <w:color w:val="auto"/>
                <w:sz w:val="24"/>
                <w:highlight w:val="none"/>
                <w:vertAlign w:val="superscript"/>
              </w:rPr>
              <w:t>3</w:t>
            </w:r>
            <w:r>
              <w:rPr>
                <w:color w:val="auto"/>
                <w:sz w:val="24"/>
                <w:highlight w:val="none"/>
              </w:rPr>
              <w:t>/h（480m</w:t>
            </w:r>
            <w:r>
              <w:rPr>
                <w:color w:val="auto"/>
                <w:sz w:val="24"/>
                <w:highlight w:val="none"/>
                <w:vertAlign w:val="superscript"/>
              </w:rPr>
              <w:t>3</w:t>
            </w:r>
            <w:r>
              <w:rPr>
                <w:color w:val="auto"/>
                <w:sz w:val="24"/>
                <w:highlight w:val="none"/>
              </w:rPr>
              <w:t>/d）</w:t>
            </w:r>
            <w:r>
              <w:rPr>
                <w:color w:val="auto"/>
                <w:sz w:val="24"/>
                <w:szCs w:val="32"/>
                <w:highlight w:val="none"/>
                <w:lang w:bidi="ar"/>
              </w:rPr>
              <w:t>，完全能满足项目所需，污水处理厂每日尾水排放量较大，中水回用可以有效利用水资源，节约成本。</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3、消防给水及消防设施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建立完善的消防给水系统和消防设施，以满足该项目的需要。污水处理厂内布置室外消火栓系统，消火栓服务半径≤60m。</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六、依托可行性分析</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表2-7</w:t>
            </w:r>
            <w:r>
              <w:rPr>
                <w:rFonts w:hint="eastAsia" w:eastAsia="黑体"/>
                <w:color w:val="auto"/>
                <w:highlight w:val="none"/>
              </w:rPr>
              <w:t xml:space="preserve"> </w:t>
            </w:r>
            <w:r>
              <w:rPr>
                <w:rFonts w:eastAsia="黑体"/>
                <w:color w:val="auto"/>
                <w:highlight w:val="none"/>
              </w:rPr>
              <w:t>项目组成及主要环境问题</w:t>
            </w:r>
          </w:p>
          <w:tbl>
            <w:tblPr>
              <w:tblStyle w:val="24"/>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528"/>
              <w:gridCol w:w="553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序号</w:t>
                  </w:r>
                </w:p>
              </w:tc>
              <w:tc>
                <w:tcPr>
                  <w:tcW w:w="83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依托项目</w:t>
                  </w:r>
                </w:p>
              </w:tc>
              <w:tc>
                <w:tcPr>
                  <w:tcW w:w="3022"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依托内容</w:t>
                  </w:r>
                </w:p>
              </w:tc>
              <w:tc>
                <w:tcPr>
                  <w:tcW w:w="786"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依托性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w:t>
                  </w:r>
                </w:p>
              </w:tc>
              <w:tc>
                <w:tcPr>
                  <w:tcW w:w="83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粗格栅及提升泵房</w:t>
                  </w:r>
                </w:p>
              </w:tc>
              <w:tc>
                <w:tcPr>
                  <w:tcW w:w="302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依托现有工程，现有粗格栅及提升泵房土建已按2万m</w:t>
                  </w:r>
                  <w:r>
                    <w:rPr>
                      <w:color w:val="auto"/>
                      <w:sz w:val="21"/>
                      <w:highlight w:val="none"/>
                      <w:vertAlign w:val="superscript"/>
                    </w:rPr>
                    <w:t>3</w:t>
                  </w:r>
                  <w:r>
                    <w:rPr>
                      <w:color w:val="auto"/>
                      <w:sz w:val="21"/>
                      <w:highlight w:val="none"/>
                    </w:rPr>
                    <w:t>/d规模建设。</w:t>
                  </w:r>
                </w:p>
              </w:tc>
              <w:tc>
                <w:tcPr>
                  <w:tcW w:w="78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w:t>
                  </w:r>
                </w:p>
              </w:tc>
              <w:tc>
                <w:tcPr>
                  <w:tcW w:w="83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细格栅及旋流沉砂池</w:t>
                  </w:r>
                </w:p>
              </w:tc>
              <w:tc>
                <w:tcPr>
                  <w:tcW w:w="302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依托现有工程，现有细格栅及旋流沉砂池土建已按2万m</w:t>
                  </w:r>
                  <w:r>
                    <w:rPr>
                      <w:color w:val="auto"/>
                      <w:sz w:val="21"/>
                      <w:highlight w:val="none"/>
                      <w:vertAlign w:val="superscript"/>
                    </w:rPr>
                    <w:t>3</w:t>
                  </w:r>
                  <w:r>
                    <w:rPr>
                      <w:color w:val="auto"/>
                      <w:sz w:val="21"/>
                      <w:highlight w:val="none"/>
                    </w:rPr>
                    <w:t>/d规模建设。</w:t>
                  </w:r>
                </w:p>
              </w:tc>
              <w:tc>
                <w:tcPr>
                  <w:tcW w:w="78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w:t>
                  </w:r>
                </w:p>
              </w:tc>
              <w:tc>
                <w:tcPr>
                  <w:tcW w:w="83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机修及库房</w:t>
                  </w:r>
                </w:p>
              </w:tc>
              <w:tc>
                <w:tcPr>
                  <w:tcW w:w="302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依托现有工程，现有机修及库房建筑面积93.6m</w:t>
                  </w:r>
                  <w:r>
                    <w:rPr>
                      <w:color w:val="auto"/>
                      <w:sz w:val="21"/>
                      <w:highlight w:val="none"/>
                      <w:vertAlign w:val="superscript"/>
                    </w:rPr>
                    <w:t>2</w:t>
                  </w:r>
                  <w:r>
                    <w:rPr>
                      <w:color w:val="auto"/>
                      <w:sz w:val="21"/>
                      <w:highlight w:val="none"/>
                    </w:rPr>
                    <w:t>，用于暂存设备配件、设备维修。</w:t>
                  </w:r>
                </w:p>
              </w:tc>
              <w:tc>
                <w:tcPr>
                  <w:tcW w:w="78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4</w:t>
                  </w:r>
                </w:p>
              </w:tc>
              <w:tc>
                <w:tcPr>
                  <w:tcW w:w="83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配电房</w:t>
                  </w:r>
                </w:p>
              </w:tc>
              <w:tc>
                <w:tcPr>
                  <w:tcW w:w="302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依托现有工程，并对现有高低压配电柜、柴油发电机进行改造，使其满足扩建后用电负荷。</w:t>
                  </w:r>
                </w:p>
              </w:tc>
              <w:tc>
                <w:tcPr>
                  <w:tcW w:w="78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5</w:t>
                  </w:r>
                </w:p>
              </w:tc>
              <w:tc>
                <w:tcPr>
                  <w:tcW w:w="83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危废暂存间</w:t>
                  </w:r>
                </w:p>
              </w:tc>
              <w:tc>
                <w:tcPr>
                  <w:tcW w:w="302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一期已建设2间建筑面积均25m</w:t>
                  </w:r>
                  <w:r>
                    <w:rPr>
                      <w:color w:val="auto"/>
                      <w:highlight w:val="none"/>
                      <w:vertAlign w:val="superscript"/>
                    </w:rPr>
                    <w:t>2</w:t>
                  </w:r>
                  <w:r>
                    <w:rPr>
                      <w:color w:val="auto"/>
                      <w:highlight w:val="none"/>
                    </w:rPr>
                    <w:t>的危废暂存间，用于分别暂存化验废液（化验室废液与在线监测系统废液）</w:t>
                  </w:r>
                  <w:r>
                    <w:rPr>
                      <w:rFonts w:hint="eastAsia"/>
                      <w:color w:val="auto"/>
                      <w:highlight w:val="none"/>
                      <w:lang w:eastAsia="zh-CN"/>
                    </w:rPr>
                    <w:t>、</w:t>
                  </w:r>
                  <w:r>
                    <w:rPr>
                      <w:color w:val="auto"/>
                      <w:highlight w:val="none"/>
                    </w:rPr>
                    <w:t>废机油和</w:t>
                  </w:r>
                  <w:r>
                    <w:rPr>
                      <w:rFonts w:hint="eastAsia"/>
                      <w:color w:val="auto"/>
                      <w:highlight w:val="none"/>
                    </w:rPr>
                    <w:t>废紫外灯管</w:t>
                  </w:r>
                  <w:r>
                    <w:rPr>
                      <w:color w:val="auto"/>
                      <w:highlight w:val="none"/>
                    </w:rPr>
                    <w:t>，且已做相应防渗处理，危废暂存间剩余暂存面积能够满足本项目的需要，依托可行。</w:t>
                  </w:r>
                </w:p>
              </w:tc>
              <w:tc>
                <w:tcPr>
                  <w:tcW w:w="78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w:t>
                  </w:r>
                </w:p>
              </w:tc>
              <w:tc>
                <w:tcPr>
                  <w:tcW w:w="83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在线监测设备</w:t>
                  </w:r>
                </w:p>
              </w:tc>
              <w:tc>
                <w:tcPr>
                  <w:tcW w:w="302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项目一期进出水口均已安装在线监测设备，二期建成后，共用一期在线监测设备依托可行。</w:t>
                  </w:r>
                </w:p>
              </w:tc>
              <w:tc>
                <w:tcPr>
                  <w:tcW w:w="78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依托可行</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七、水量、水质合理性分析</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32"/>
                <w:highlight w:val="none"/>
                <w:lang w:bidi="ar"/>
              </w:rPr>
              <w:t>1、服务人数</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根据业主提供的资料，南坝镇镇区2022年末的总人口为116993人。随着工业企业的发展，及其对周边人口的吸引，同时近几年的实际人口，人口综合增长率按35‰考虑。到2030年，南坝镇镇区的人口为15.4万人。</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32"/>
                <w:highlight w:val="none"/>
                <w:lang w:bidi="ar"/>
              </w:rPr>
              <w:t>2、</w:t>
            </w:r>
            <w:r>
              <w:rPr>
                <w:b/>
                <w:bCs/>
                <w:color w:val="auto"/>
                <w:sz w:val="24"/>
                <w:szCs w:val="24"/>
                <w:highlight w:val="none"/>
                <w:lang w:bidi="ar"/>
              </w:rPr>
              <w:t>服务时间</w:t>
            </w:r>
          </w:p>
          <w:p>
            <w:pPr>
              <w:pageBreakBefore w:val="0"/>
              <w:kinsoku/>
              <w:wordWrap/>
              <w:topLinePunct w:val="0"/>
              <w:bidi w:val="0"/>
              <w:spacing w:line="360" w:lineRule="auto"/>
              <w:ind w:left="0" w:leftChars="0" w:right="0" w:rightChars="0" w:firstLine="480" w:firstLineChars="200"/>
              <w:rPr>
                <w:b/>
                <w:bCs/>
                <w:color w:val="auto"/>
                <w:sz w:val="24"/>
                <w:szCs w:val="32"/>
                <w:highlight w:val="none"/>
                <w:lang w:bidi="ar"/>
              </w:rPr>
            </w:pPr>
            <w:r>
              <w:rPr>
                <w:color w:val="auto"/>
                <w:sz w:val="24"/>
                <w:szCs w:val="24"/>
                <w:highlight w:val="none"/>
                <w:lang w:bidi="ar"/>
              </w:rPr>
              <w:t>本次扩建工程目的是为了解决2030年南坝镇</w:t>
            </w:r>
            <w:r>
              <w:rPr>
                <w:color w:val="auto"/>
                <w:sz w:val="24"/>
                <w:szCs w:val="32"/>
                <w:highlight w:val="none"/>
                <w:lang w:bidi="ar"/>
              </w:rPr>
              <w:t>南、北两大排水区域生活污水与</w:t>
            </w:r>
            <w:r>
              <w:rPr>
                <w:color w:val="auto"/>
                <w:sz w:val="24"/>
                <w:szCs w:val="24"/>
                <w:highlight w:val="none"/>
                <w:lang w:bidi="ar"/>
              </w:rPr>
              <w:t>南坝工业园区工业废水。</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3、服务范围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按南坝镇自然地形，以前河为分界线，污水分为南、北两大排水区域。本项目已建一期工程主要收集南坝场镇南地区的生活污水，不涉及工业废水的处理；拟建设二期污水处理工程，主要收集南坝场镇北地区的生活污水和南坝工业园区工业废水；污废水集中收集后经二级生化处理达《城镇污水处理厂污染物排放标准》（GB18918-2002）一级A标准后排入前河。</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项目服务范围见下图。</w:t>
            </w:r>
          </w:p>
          <w:p>
            <w:pPr>
              <w:pageBreakBefore w:val="0"/>
              <w:kinsoku/>
              <w:wordWrap/>
              <w:topLinePunct w:val="0"/>
              <w:bidi w:val="0"/>
              <w:spacing w:line="360" w:lineRule="auto"/>
              <w:ind w:left="0" w:leftChars="0" w:right="0" w:rightChars="0"/>
              <w:jc w:val="center"/>
              <w:rPr>
                <w:color w:val="auto"/>
                <w:sz w:val="24"/>
                <w:szCs w:val="32"/>
                <w:highlight w:val="none"/>
                <w:lang w:bidi="ar"/>
              </w:rPr>
            </w:pPr>
            <w:r>
              <w:rPr>
                <w:color w:val="auto"/>
                <w:highlight w:val="none"/>
              </w:rPr>
              <w:drawing>
                <wp:inline distT="0" distB="0" distL="114300" distR="114300">
                  <wp:extent cx="5634355" cy="3613150"/>
                  <wp:effectExtent l="0" t="0" r="444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634355" cy="361315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color w:val="auto"/>
                <w:sz w:val="24"/>
                <w:szCs w:val="32"/>
                <w:highlight w:val="none"/>
                <w:lang w:bidi="ar"/>
              </w:rPr>
            </w:pPr>
            <w:r>
              <w:rPr>
                <w:rFonts w:eastAsia="黑体"/>
                <w:color w:val="auto"/>
                <w:highlight w:val="none"/>
              </w:rPr>
              <w:t>图2-2</w:t>
            </w:r>
            <w:r>
              <w:rPr>
                <w:rFonts w:hint="eastAsia" w:eastAsia="黑体"/>
                <w:color w:val="auto"/>
                <w:highlight w:val="none"/>
              </w:rPr>
              <w:t xml:space="preserve"> </w:t>
            </w:r>
            <w:r>
              <w:rPr>
                <w:rFonts w:eastAsia="黑体"/>
                <w:bCs/>
                <w:color w:val="auto"/>
                <w:highlight w:val="none"/>
              </w:rPr>
              <w:t>污水处理厂服务范围示意图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24"/>
                <w:highlight w:val="none"/>
                <w:lang w:bidi="ar"/>
              </w:rPr>
              <w:t>4、</w:t>
            </w:r>
            <w:r>
              <w:rPr>
                <w:b/>
                <w:bCs/>
                <w:color w:val="auto"/>
                <w:sz w:val="24"/>
                <w:szCs w:val="32"/>
                <w:highlight w:val="none"/>
                <w:lang w:bidi="ar"/>
              </w:rPr>
              <w:t>污水量预测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摘抄自《宣汉县南坝镇城市生活污水处理厂提标改造及二期工程可行性研究报告》。</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（1）居民生活污水量预测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现行《室外给水设计标准》GB50013-2018第4.0.3条给出了居民生活用水指标及选用条件，见下表。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lang w:bidi="ar"/>
              </w:rPr>
              <w:t>表2-8</w:t>
            </w:r>
            <w:r>
              <w:rPr>
                <w:rFonts w:hint="eastAsia" w:eastAsia="黑体"/>
                <w:color w:val="auto"/>
                <w:highlight w:val="none"/>
                <w:lang w:bidi="ar"/>
              </w:rPr>
              <w:t xml:space="preserve"> </w:t>
            </w:r>
            <w:r>
              <w:rPr>
                <w:rFonts w:eastAsia="黑体"/>
                <w:color w:val="auto"/>
                <w:highlight w:val="none"/>
                <w:lang w:bidi="ar"/>
              </w:rPr>
              <w:t>项目扩建前后工程变化情况一览表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49"/>
              <w:gridCol w:w="1149"/>
              <w:gridCol w:w="1149"/>
              <w:gridCol w:w="1149"/>
              <w:gridCol w:w="1150"/>
              <w:gridCol w:w="115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城市类型</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超大城市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特大城市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I型</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大城市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Ⅱ型</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大城市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中等城市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I型</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小城市</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Ⅱ型</w:t>
                  </w:r>
                </w:p>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小城市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一区</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210～400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180～360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150～330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140～300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130～280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120～260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110～240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二区</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150～230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130～210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110～190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90～170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80～160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70～150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三区</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1072" w:type="dxa"/>
                  <w:tcBorders>
                    <w:top w:val="single" w:color="auto" w:sz="4" w:space="0"/>
                    <w:left w:val="single" w:color="auto" w:sz="4" w:space="0"/>
                    <w:bottom w:val="single" w:color="auto" w:sz="4" w:space="0"/>
                    <w:right w:val="single" w:color="auto" w:sz="4" w:space="0"/>
                  </w:tcBorders>
                  <w:shd w:val="clear" w:color="auto" w:fill="auto"/>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072" w:type="dxa"/>
                  <w:tcBorders>
                    <w:top w:val="single" w:color="auto" w:sz="4" w:space="0"/>
                    <w:left w:val="single" w:color="auto" w:sz="4" w:space="0"/>
                    <w:bottom w:val="single" w:color="auto" w:sz="4" w:space="0"/>
                    <w:right w:val="single" w:color="auto" w:sz="4" w:space="0"/>
                  </w:tcBorders>
                  <w:shd w:val="clear" w:color="auto" w:fill="auto"/>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90～160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80～150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70～140</w:t>
                  </w:r>
                </w:p>
              </w:tc>
              <w:tc>
                <w:tcPr>
                  <w:tcW w:w="107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6"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firstLine="360"/>
                    <w:jc w:val="left"/>
                    <w:rPr>
                      <w:color w:val="auto"/>
                      <w:sz w:val="18"/>
                      <w:szCs w:val="18"/>
                      <w:highlight w:val="none"/>
                    </w:rPr>
                  </w:pPr>
                  <w:r>
                    <w:rPr>
                      <w:color w:val="auto"/>
                      <w:sz w:val="18"/>
                      <w:szCs w:val="18"/>
                      <w:highlight w:val="none"/>
                    </w:rPr>
                    <w:t>注：1超大城市指城区常住人口1000万及以上的城市，特大城市指城区常住人口500万以上1000万以下的城市，1型大城市指城区常住人口300万以上500万以下的城市，Ⅱ型大城市指城区常住人口100万以上300万以下的城市，中等城市指城区常住人口50万以上100万以下的城市，1型小城市指城区常住人口20万以上50万以下的城市，Ⅱ型小城市指城区常住人口20万以下的城市。以上包括本数，以下不包括本数。</w:t>
                  </w:r>
                </w:p>
                <w:p>
                  <w:pPr>
                    <w:pageBreakBefore w:val="0"/>
                    <w:kinsoku/>
                    <w:wordWrap/>
                    <w:topLinePunct w:val="0"/>
                    <w:bidi w:val="0"/>
                    <w:ind w:left="0" w:leftChars="0" w:right="0" w:rightChars="0" w:firstLine="360"/>
                    <w:jc w:val="left"/>
                    <w:rPr>
                      <w:color w:val="auto"/>
                      <w:sz w:val="18"/>
                      <w:szCs w:val="18"/>
                      <w:highlight w:val="none"/>
                    </w:rPr>
                  </w:pPr>
                  <w:r>
                    <w:rPr>
                      <w:color w:val="auto"/>
                      <w:sz w:val="18"/>
                      <w:szCs w:val="18"/>
                      <w:highlight w:val="none"/>
                    </w:rPr>
                    <w:t>2一区包括：湖北、湖南、江西、浙江、福建、广东、广西、海南、上海、江苏、安徽、二区包括：重庆、四川、贵州、云南、黑龙江、吉林、辽宁、北京、天津、河北、山西、河南、山东、宁夏、陕西、内蒙古河套以东和甘肃莆河以东的地区，三区包括：新疆、青海、西藏、内蒙古河套以西和甘肃黄河以西的地区。</w:t>
                  </w:r>
                </w:p>
                <w:p>
                  <w:pPr>
                    <w:pageBreakBefore w:val="0"/>
                    <w:kinsoku/>
                    <w:wordWrap/>
                    <w:topLinePunct w:val="0"/>
                    <w:bidi w:val="0"/>
                    <w:ind w:left="0" w:leftChars="0" w:right="0" w:rightChars="0" w:firstLine="360"/>
                    <w:jc w:val="left"/>
                    <w:rPr>
                      <w:color w:val="auto"/>
                      <w:sz w:val="18"/>
                      <w:szCs w:val="18"/>
                      <w:highlight w:val="none"/>
                    </w:rPr>
                  </w:pPr>
                  <w:r>
                    <w:rPr>
                      <w:color w:val="auto"/>
                      <w:sz w:val="18"/>
                      <w:szCs w:val="18"/>
                      <w:highlight w:val="none"/>
                    </w:rPr>
                    <w:t>3经济开发区和特区城市，根据用水实际情况，用水定额可酌情增加。</w:t>
                  </w:r>
                </w:p>
                <w:p>
                  <w:pPr>
                    <w:pageBreakBefore w:val="0"/>
                    <w:kinsoku/>
                    <w:wordWrap/>
                    <w:topLinePunct w:val="0"/>
                    <w:bidi w:val="0"/>
                    <w:ind w:left="0" w:leftChars="0" w:right="0" w:rightChars="0" w:firstLine="360"/>
                    <w:jc w:val="left"/>
                    <w:rPr>
                      <w:color w:val="auto"/>
                      <w:highlight w:val="none"/>
                    </w:rPr>
                  </w:pPr>
                  <w:r>
                    <w:rPr>
                      <w:color w:val="auto"/>
                      <w:sz w:val="18"/>
                      <w:szCs w:val="18"/>
                      <w:highlight w:val="none"/>
                    </w:rPr>
                    <w:t>4当采用海水或污水再生水等作为冲厕用水时，用水定额相应减少。</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南坝镇属第二分区Ⅱ型小城市，取平均日综合生活用水量指标取值120L/（人·d）进行计算。根据业主提供的资料，南坝镇镇区2022年末的总人口为116993人。随着工业企业的发展，及其对周边人口的吸引，同时近几年的实际人口，人口综合增长率按35‰考虑。到2030年，南坝镇镇区的人口为15.4万人。</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平均日综合生活用水量=15.4万人×120L/（人·d）/1000=1.848万m</w:t>
            </w:r>
            <w:r>
              <w:rPr>
                <w:color w:val="auto"/>
                <w:sz w:val="24"/>
                <w:szCs w:val="32"/>
                <w:highlight w:val="none"/>
                <w:vertAlign w:val="superscript"/>
                <w:lang w:bidi="ar"/>
              </w:rPr>
              <w:t>3</w:t>
            </w:r>
            <w:r>
              <w:rPr>
                <w:color w:val="auto"/>
                <w:sz w:val="24"/>
                <w:szCs w:val="32"/>
                <w:highlight w:val="none"/>
                <w:lang w:bidi="ar"/>
              </w:rPr>
              <w:t>/d。</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排放污水可按照85%转化率和95%污水收集率考虑。</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因此，平均日综合生活污水量=1.848万m</w:t>
            </w:r>
            <w:r>
              <w:rPr>
                <w:color w:val="auto"/>
                <w:sz w:val="24"/>
                <w:szCs w:val="32"/>
                <w:highlight w:val="none"/>
                <w:vertAlign w:val="superscript"/>
                <w:lang w:bidi="ar"/>
              </w:rPr>
              <w:t>3</w:t>
            </w:r>
            <w:r>
              <w:rPr>
                <w:color w:val="auto"/>
                <w:sz w:val="24"/>
                <w:szCs w:val="32"/>
                <w:highlight w:val="none"/>
                <w:lang w:bidi="ar"/>
              </w:rPr>
              <w:t>/d×0.85×0.95=1.49万m</w:t>
            </w:r>
            <w:r>
              <w:rPr>
                <w:color w:val="auto"/>
                <w:sz w:val="24"/>
                <w:szCs w:val="32"/>
                <w:highlight w:val="none"/>
                <w:vertAlign w:val="superscript"/>
                <w:lang w:bidi="ar"/>
              </w:rPr>
              <w:t>3</w:t>
            </w:r>
            <w:r>
              <w:rPr>
                <w:color w:val="auto"/>
                <w:sz w:val="24"/>
                <w:szCs w:val="32"/>
                <w:highlight w:val="none"/>
                <w:lang w:bidi="ar"/>
              </w:rPr>
              <w:t>/d。</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（2）工业企业污水量</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城市给水工程规划规范》GB50282-2016第2.2.5条规定，在城市总体规划阶段，估算城市给水工程统一供水的给水干管管径或预测分区的用水量时，可按照不同性质用地用水量指标确定，其中工业用地的用水量指标（最高日）为30～150m</w:t>
            </w:r>
            <w:r>
              <w:rPr>
                <w:color w:val="auto"/>
                <w:sz w:val="24"/>
                <w:szCs w:val="24"/>
                <w:highlight w:val="none"/>
                <w:vertAlign w:val="superscript"/>
                <w:lang w:bidi="ar"/>
              </w:rPr>
              <w:t>3</w:t>
            </w:r>
            <w:r>
              <w:rPr>
                <w:color w:val="auto"/>
                <w:sz w:val="24"/>
                <w:szCs w:val="24"/>
                <w:highlight w:val="none"/>
                <w:lang w:bidi="ar"/>
              </w:rPr>
              <w:t>/（hm</w:t>
            </w:r>
            <w:r>
              <w:rPr>
                <w:color w:val="auto"/>
                <w:sz w:val="24"/>
                <w:szCs w:val="24"/>
                <w:highlight w:val="none"/>
                <w:vertAlign w:val="superscript"/>
                <w:lang w:bidi="ar"/>
              </w:rPr>
              <w:t>2</w:t>
            </w:r>
            <w:r>
              <w:rPr>
                <w:color w:val="auto"/>
                <w:sz w:val="24"/>
                <w:szCs w:val="32"/>
                <w:highlight w:val="none"/>
                <w:lang w:bidi="ar"/>
              </w:rPr>
              <w:t>·</w:t>
            </w:r>
            <w:r>
              <w:rPr>
                <w:color w:val="auto"/>
                <w:sz w:val="24"/>
                <w:szCs w:val="24"/>
                <w:highlight w:val="none"/>
                <w:lang w:bidi="ar"/>
              </w:rPr>
              <w:t>d）。</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南坝工业园位于南坝镇龙文村，涉及农户872户、3600人，规划面积7.50平方公里，工业用地6.18平方公里，建成面积0.3平方公里（2017年）。重点发展天然气净化、轻工产业。依托罗家寨天然气净化厂，积极开发天然气下游产业，推进南坝工业园区“三园”（食品加工园、物流园、天然气产业园）建设，培育了佳肴食品有限公司、汉玺牛肉厂、圣墩牛肉厂、巴山情牛肉厂、桃花米业等以牛肉制品、优质大米为主的本地企业8家。</w:t>
            </w:r>
          </w:p>
          <w:p>
            <w:pPr>
              <w:pageBreakBefore w:val="0"/>
              <w:kinsoku/>
              <w:wordWrap/>
              <w:topLinePunct w:val="0"/>
              <w:bidi w:val="0"/>
              <w:spacing w:line="360" w:lineRule="auto"/>
              <w:ind w:left="0" w:leftChars="0" w:right="0" w:rightChars="0" w:firstLine="480" w:firstLineChars="200"/>
              <w:rPr>
                <w:b/>
                <w:bCs/>
                <w:color w:val="auto"/>
                <w:sz w:val="24"/>
                <w:szCs w:val="24"/>
                <w:highlight w:val="none"/>
                <w:lang w:bidi="ar"/>
              </w:rPr>
            </w:pPr>
            <w:r>
              <w:rPr>
                <w:color w:val="auto"/>
                <w:sz w:val="24"/>
                <w:szCs w:val="24"/>
                <w:highlight w:val="none"/>
                <w:lang w:bidi="ar"/>
              </w:rPr>
              <w:t>工业用地的用水量指标（最高日）取80m</w:t>
            </w:r>
            <w:r>
              <w:rPr>
                <w:color w:val="auto"/>
                <w:sz w:val="24"/>
                <w:szCs w:val="24"/>
                <w:highlight w:val="none"/>
                <w:vertAlign w:val="superscript"/>
                <w:lang w:bidi="ar"/>
              </w:rPr>
              <w:t>3</w:t>
            </w:r>
            <w:r>
              <w:rPr>
                <w:color w:val="auto"/>
                <w:sz w:val="24"/>
                <w:szCs w:val="24"/>
                <w:highlight w:val="none"/>
                <w:lang w:bidi="ar"/>
              </w:rPr>
              <w:t>/（hm</w:t>
            </w:r>
            <w:r>
              <w:rPr>
                <w:color w:val="auto"/>
                <w:sz w:val="24"/>
                <w:szCs w:val="24"/>
                <w:highlight w:val="none"/>
                <w:vertAlign w:val="superscript"/>
                <w:lang w:bidi="ar"/>
              </w:rPr>
              <w:t>2</w:t>
            </w:r>
            <w:r>
              <w:rPr>
                <w:color w:val="auto"/>
                <w:sz w:val="24"/>
                <w:szCs w:val="32"/>
                <w:highlight w:val="none"/>
                <w:lang w:bidi="ar"/>
              </w:rPr>
              <w:t>·</w:t>
            </w:r>
            <w:r>
              <w:rPr>
                <w:color w:val="auto"/>
                <w:sz w:val="24"/>
                <w:szCs w:val="24"/>
                <w:highlight w:val="none"/>
                <w:lang w:bidi="ar"/>
              </w:rPr>
              <w:t>d）；考虑到工业的发展，至2030年工业用地面积取0.6平方公里。日变化系数1.1～1.5取Kd=1.4。则平均日工业污水量为：80×60/1.4=3428m</w:t>
            </w:r>
            <w:r>
              <w:rPr>
                <w:color w:val="auto"/>
                <w:sz w:val="24"/>
                <w:szCs w:val="24"/>
                <w:highlight w:val="none"/>
                <w:vertAlign w:val="superscript"/>
                <w:lang w:bidi="ar"/>
              </w:rPr>
              <w:t>3</w:t>
            </w:r>
            <w:r>
              <w:rPr>
                <w:color w:val="auto"/>
                <w:sz w:val="24"/>
                <w:szCs w:val="24"/>
                <w:highlight w:val="none"/>
                <w:lang w:bidi="ar"/>
              </w:rPr>
              <w:t>/d。</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（3）污水量合计</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将综合生活污水量和工业企业污水量相加，可得出服务区的污水量预测结果，至2030年服务区污水量=1.49万m</w:t>
            </w:r>
            <w:r>
              <w:rPr>
                <w:color w:val="auto"/>
                <w:sz w:val="24"/>
                <w:szCs w:val="24"/>
                <w:highlight w:val="none"/>
                <w:vertAlign w:val="superscript"/>
                <w:lang w:bidi="ar"/>
              </w:rPr>
              <w:t>3</w:t>
            </w:r>
            <w:r>
              <w:rPr>
                <w:color w:val="auto"/>
                <w:sz w:val="24"/>
                <w:szCs w:val="24"/>
                <w:highlight w:val="none"/>
                <w:lang w:bidi="ar"/>
              </w:rPr>
              <w:t>/d+0.34万m</w:t>
            </w:r>
            <w:r>
              <w:rPr>
                <w:color w:val="auto"/>
                <w:sz w:val="24"/>
                <w:szCs w:val="24"/>
                <w:highlight w:val="none"/>
                <w:vertAlign w:val="superscript"/>
                <w:lang w:bidi="ar"/>
              </w:rPr>
              <w:t>3</w:t>
            </w:r>
            <w:r>
              <w:rPr>
                <w:color w:val="auto"/>
                <w:sz w:val="24"/>
                <w:szCs w:val="24"/>
                <w:highlight w:val="none"/>
                <w:lang w:bidi="ar"/>
              </w:rPr>
              <w:t>/d=1.83万m</w:t>
            </w:r>
            <w:r>
              <w:rPr>
                <w:color w:val="auto"/>
                <w:sz w:val="24"/>
                <w:szCs w:val="24"/>
                <w:highlight w:val="none"/>
                <w:vertAlign w:val="superscript"/>
                <w:lang w:bidi="ar"/>
              </w:rPr>
              <w:t>3</w:t>
            </w:r>
            <w:r>
              <w:rPr>
                <w:color w:val="auto"/>
                <w:sz w:val="24"/>
                <w:szCs w:val="24"/>
                <w:highlight w:val="none"/>
                <w:lang w:bidi="ar"/>
              </w:rPr>
              <w:t>/d</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综上，本项目服务区至2030年收集进入污水处理厂的污水量可达1.83万m</w:t>
            </w:r>
            <w:r>
              <w:rPr>
                <w:b/>
                <w:bCs/>
                <w:color w:val="auto"/>
                <w:sz w:val="24"/>
                <w:szCs w:val="24"/>
                <w:highlight w:val="none"/>
                <w:vertAlign w:val="superscript"/>
                <w:lang w:bidi="ar"/>
              </w:rPr>
              <w:t>3</w:t>
            </w:r>
            <w:r>
              <w:rPr>
                <w:b/>
                <w:bCs/>
                <w:color w:val="auto"/>
                <w:sz w:val="24"/>
                <w:szCs w:val="24"/>
                <w:highlight w:val="none"/>
                <w:lang w:bidi="ar"/>
              </w:rPr>
              <w:t>/d。因此，南坝镇城市生活污水处理厂的总规模取整确定为2.0万m</w:t>
            </w:r>
            <w:r>
              <w:rPr>
                <w:b/>
                <w:bCs/>
                <w:color w:val="auto"/>
                <w:sz w:val="24"/>
                <w:szCs w:val="24"/>
                <w:highlight w:val="none"/>
                <w:vertAlign w:val="superscript"/>
                <w:lang w:bidi="ar"/>
              </w:rPr>
              <w:t>3</w:t>
            </w:r>
            <w:r>
              <w:rPr>
                <w:b/>
                <w:bCs/>
                <w:color w:val="auto"/>
                <w:sz w:val="24"/>
                <w:szCs w:val="24"/>
                <w:highlight w:val="none"/>
                <w:lang w:bidi="ar"/>
              </w:rPr>
              <w:t>/d，一期工程已建1.0万m</w:t>
            </w:r>
            <w:r>
              <w:rPr>
                <w:b/>
                <w:bCs/>
                <w:color w:val="auto"/>
                <w:sz w:val="24"/>
                <w:szCs w:val="24"/>
                <w:highlight w:val="none"/>
                <w:vertAlign w:val="superscript"/>
                <w:lang w:bidi="ar"/>
              </w:rPr>
              <w:t>3</w:t>
            </w:r>
            <w:r>
              <w:rPr>
                <w:b/>
                <w:bCs/>
                <w:color w:val="auto"/>
                <w:sz w:val="24"/>
                <w:szCs w:val="24"/>
                <w:highlight w:val="none"/>
                <w:lang w:bidi="ar"/>
              </w:rPr>
              <w:t>/d，本次二期工程扩建1.0万m</w:t>
            </w:r>
            <w:r>
              <w:rPr>
                <w:b/>
                <w:bCs/>
                <w:color w:val="auto"/>
                <w:sz w:val="24"/>
                <w:szCs w:val="24"/>
                <w:highlight w:val="none"/>
                <w:vertAlign w:val="superscript"/>
                <w:lang w:bidi="ar"/>
              </w:rPr>
              <w:t>3</w:t>
            </w:r>
            <w:r>
              <w:rPr>
                <w:b/>
                <w:bCs/>
                <w:color w:val="auto"/>
                <w:sz w:val="24"/>
                <w:szCs w:val="24"/>
                <w:highlight w:val="none"/>
                <w:lang w:bidi="ar"/>
              </w:rPr>
              <w:t>/d。</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5、设计进、出水水质</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根据一期环评可知，项目一期进出水水质见下表：</w:t>
            </w:r>
          </w:p>
          <w:p>
            <w:pPr>
              <w:pageBreakBefore w:val="0"/>
              <w:kinsoku/>
              <w:wordWrap/>
              <w:topLinePunct w:val="0"/>
              <w:autoSpaceDE w:val="0"/>
              <w:autoSpaceDN w:val="0"/>
              <w:bidi w:val="0"/>
              <w:adjustRightInd w:val="0"/>
              <w:snapToGrid w:val="0"/>
              <w:spacing w:line="360" w:lineRule="auto"/>
              <w:ind w:left="0" w:leftChars="0" w:right="0" w:rightChars="0"/>
              <w:jc w:val="center"/>
              <w:rPr>
                <w:rFonts w:eastAsia="黑体"/>
                <w:color w:val="auto"/>
                <w:highlight w:val="none"/>
              </w:rPr>
            </w:pPr>
            <w:r>
              <w:rPr>
                <w:rFonts w:eastAsia="黑体"/>
                <w:bCs/>
                <w:snapToGrid w:val="0"/>
                <w:color w:val="auto"/>
                <w:szCs w:val="18"/>
                <w:highlight w:val="none"/>
                <w:lang w:bidi="ar"/>
              </w:rPr>
              <w:t>表2-9</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本项</w:t>
            </w:r>
            <w:r>
              <w:rPr>
                <w:rFonts w:eastAsia="黑体"/>
                <w:color w:val="auto"/>
                <w:highlight w:val="none"/>
              </w:rPr>
              <w:t>目一期设计进出水水质</w:t>
            </w:r>
            <w:r>
              <w:rPr>
                <w:rFonts w:hint="eastAsia" w:eastAsia="黑体"/>
                <w:color w:val="auto"/>
                <w:highlight w:val="none"/>
                <w:lang w:val="en-US" w:eastAsia="zh-CN"/>
              </w:rPr>
              <w:t xml:space="preserve"> </w:t>
            </w:r>
            <w:r>
              <w:rPr>
                <w:rFonts w:eastAsia="黑体"/>
                <w:color w:val="auto"/>
                <w:highlight w:val="none"/>
              </w:rPr>
              <w:t>单位：mg/L，pH无量纲</w:t>
            </w:r>
          </w:p>
          <w:tbl>
            <w:tblPr>
              <w:tblStyle w:val="23"/>
              <w:tblpPr w:leftFromText="180" w:rightFromText="180" w:vertAnchor="text" w:tblpXSpec="center" w:tblpY="1"/>
              <w:tblOverlap w:val="never"/>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935"/>
              <w:gridCol w:w="1023"/>
              <w:gridCol w:w="996"/>
              <w:gridCol w:w="1009"/>
              <w:gridCol w:w="1485"/>
              <w:gridCol w:w="1075"/>
              <w:gridCol w:w="10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0" w:type="pct"/>
                  <w:tcBorders>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项目</w:t>
                  </w:r>
                </w:p>
              </w:tc>
              <w:tc>
                <w:tcPr>
                  <w:tcW w:w="508"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pH</w:t>
                  </w:r>
                </w:p>
              </w:tc>
              <w:tc>
                <w:tcPr>
                  <w:tcW w:w="556"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COD</w:t>
                  </w:r>
                </w:p>
              </w:tc>
              <w:tc>
                <w:tcPr>
                  <w:tcW w:w="541"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BOD</w:t>
                  </w:r>
                  <w:r>
                    <w:rPr>
                      <w:b/>
                      <w:bCs/>
                      <w:color w:val="auto"/>
                      <w:sz w:val="21"/>
                      <w:highlight w:val="none"/>
                      <w:vertAlign w:val="subscript"/>
                    </w:rPr>
                    <w:t>5</w:t>
                  </w:r>
                </w:p>
              </w:tc>
              <w:tc>
                <w:tcPr>
                  <w:tcW w:w="548"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SS</w:t>
                  </w:r>
                </w:p>
              </w:tc>
              <w:tc>
                <w:tcPr>
                  <w:tcW w:w="807"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NH</w:t>
                  </w:r>
                  <w:r>
                    <w:rPr>
                      <w:b/>
                      <w:bCs/>
                      <w:color w:val="auto"/>
                      <w:sz w:val="21"/>
                      <w:highlight w:val="none"/>
                      <w:vertAlign w:val="subscript"/>
                    </w:rPr>
                    <w:t>3</w:t>
                  </w:r>
                  <w:r>
                    <w:rPr>
                      <w:b/>
                      <w:bCs/>
                      <w:color w:val="auto"/>
                      <w:sz w:val="21"/>
                      <w:highlight w:val="none"/>
                    </w:rPr>
                    <w:t>-N</w:t>
                  </w:r>
                </w:p>
              </w:tc>
              <w:tc>
                <w:tcPr>
                  <w:tcW w:w="584" w:type="pct"/>
                  <w:tcBorders>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TN</w:t>
                  </w:r>
                </w:p>
              </w:tc>
              <w:tc>
                <w:tcPr>
                  <w:tcW w:w="581" w:type="pct"/>
                  <w:tcBorders>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0" w:type="pct"/>
                  <w:tcBorders>
                    <w:top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设计进水水质</w:t>
                  </w:r>
                </w:p>
              </w:tc>
              <w:tc>
                <w:tcPr>
                  <w:tcW w:w="508"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6～9</w:t>
                  </w:r>
                </w:p>
              </w:tc>
              <w:tc>
                <w:tcPr>
                  <w:tcW w:w="556"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≤280</w:t>
                  </w:r>
                </w:p>
              </w:tc>
              <w:tc>
                <w:tcPr>
                  <w:tcW w:w="541"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≤150</w:t>
                  </w:r>
                </w:p>
              </w:tc>
              <w:tc>
                <w:tcPr>
                  <w:tcW w:w="548"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≤220</w:t>
                  </w:r>
                </w:p>
              </w:tc>
              <w:tc>
                <w:tcPr>
                  <w:tcW w:w="807"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≤30</w:t>
                  </w:r>
                </w:p>
              </w:tc>
              <w:tc>
                <w:tcPr>
                  <w:tcW w:w="584"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≤35</w:t>
                  </w:r>
                </w:p>
              </w:tc>
              <w:tc>
                <w:tcPr>
                  <w:tcW w:w="581"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0" w:type="pct"/>
                  <w:tcBorders>
                    <w:top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设计出水水质</w:t>
                  </w:r>
                </w:p>
              </w:tc>
              <w:tc>
                <w:tcPr>
                  <w:tcW w:w="508"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6～9</w:t>
                  </w:r>
                </w:p>
              </w:tc>
              <w:tc>
                <w:tcPr>
                  <w:tcW w:w="556"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≤60</w:t>
                  </w:r>
                </w:p>
              </w:tc>
              <w:tc>
                <w:tcPr>
                  <w:tcW w:w="541"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w:t>
                  </w:r>
                </w:p>
              </w:tc>
              <w:tc>
                <w:tcPr>
                  <w:tcW w:w="548"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w:t>
                  </w:r>
                </w:p>
              </w:tc>
              <w:tc>
                <w:tcPr>
                  <w:tcW w:w="807"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≤8（15）</w:t>
                  </w:r>
                </w:p>
              </w:tc>
              <w:tc>
                <w:tcPr>
                  <w:tcW w:w="584"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w:t>
                  </w:r>
                </w:p>
              </w:tc>
              <w:tc>
                <w:tcPr>
                  <w:tcW w:w="581"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0" w:type="pct"/>
                  <w:tcBorders>
                    <w:top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去除率%</w:t>
                  </w:r>
                </w:p>
              </w:tc>
              <w:tc>
                <w:tcPr>
                  <w:tcW w:w="508" w:type="pct"/>
                  <w:tcBorders>
                    <w:top w:val="single" w:color="auto" w:sz="6" w:space="0"/>
                    <w:left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56" w:type="pct"/>
                  <w:tcBorders>
                    <w:top w:val="single" w:color="auto" w:sz="6" w:space="0"/>
                    <w:left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78.6</w:t>
                  </w:r>
                </w:p>
              </w:tc>
              <w:tc>
                <w:tcPr>
                  <w:tcW w:w="541" w:type="pct"/>
                  <w:tcBorders>
                    <w:top w:val="single" w:color="auto" w:sz="6" w:space="0"/>
                    <w:left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86.7</w:t>
                  </w:r>
                </w:p>
              </w:tc>
              <w:tc>
                <w:tcPr>
                  <w:tcW w:w="548" w:type="pct"/>
                  <w:tcBorders>
                    <w:top w:val="single" w:color="auto" w:sz="6" w:space="0"/>
                    <w:left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90.9</w:t>
                  </w:r>
                </w:p>
              </w:tc>
              <w:tc>
                <w:tcPr>
                  <w:tcW w:w="807" w:type="pct"/>
                  <w:tcBorders>
                    <w:top w:val="single" w:color="auto" w:sz="6" w:space="0"/>
                    <w:left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73.3（50.0）</w:t>
                  </w:r>
                </w:p>
              </w:tc>
              <w:tc>
                <w:tcPr>
                  <w:tcW w:w="584" w:type="pct"/>
                  <w:tcBorders>
                    <w:top w:val="single" w:color="auto" w:sz="6" w:space="0"/>
                    <w:lef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42.9</w:t>
                  </w:r>
                </w:p>
              </w:tc>
              <w:tc>
                <w:tcPr>
                  <w:tcW w:w="581" w:type="pct"/>
                  <w:tcBorders>
                    <w:top w:val="single" w:color="auto" w:sz="6" w:space="0"/>
                    <w:lef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71.4</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项目二期进出水水质摘抄自《宣汉县南坝镇城市生活污水处理厂提标改造及二期工程可行性研究报告》</w:t>
            </w:r>
            <w:r>
              <w:rPr>
                <w:rFonts w:hint="eastAsia"/>
                <w:color w:val="auto"/>
                <w:sz w:val="24"/>
                <w:szCs w:val="32"/>
                <w:highlight w:val="none"/>
                <w:lang w:eastAsia="zh-CN" w:bidi="ar"/>
              </w:rPr>
              <w:t>（</w:t>
            </w:r>
            <w:r>
              <w:rPr>
                <w:rFonts w:hint="eastAsia"/>
                <w:color w:val="auto"/>
                <w:sz w:val="24"/>
                <w:szCs w:val="32"/>
                <w:highlight w:val="none"/>
                <w:lang w:val="en-US" w:eastAsia="zh-CN" w:bidi="ar"/>
              </w:rPr>
              <w:t>下称“《可研报告》”</w:t>
            </w:r>
            <w:r>
              <w:rPr>
                <w:rFonts w:hint="eastAsia"/>
                <w:color w:val="auto"/>
                <w:sz w:val="24"/>
                <w:szCs w:val="32"/>
                <w:highlight w:val="none"/>
                <w:lang w:eastAsia="zh-CN" w:bidi="ar"/>
              </w:rPr>
              <w:t>）。</w:t>
            </w:r>
            <w:r>
              <w:rPr>
                <w:rFonts w:hint="eastAsia"/>
                <w:color w:val="auto"/>
                <w:sz w:val="24"/>
                <w:szCs w:val="32"/>
                <w:highlight w:val="none"/>
                <w:lang w:val="en-US" w:eastAsia="zh-CN" w:bidi="ar"/>
              </w:rPr>
              <w:t>项目二期进水水质已在《可研报告》中与2022年一期实测进水水质、一期设计进水水质、全国部分城市污水处理厂进水水质设计值及实测值、典型的城市污水处理厂进水水质等数据进行参考比较，综合上述分析结果，舍弃极端情况和不正常情况考虑，最终确定出本次</w:t>
            </w:r>
            <w:r>
              <w:rPr>
                <w:color w:val="auto"/>
                <w:sz w:val="24"/>
                <w:szCs w:val="32"/>
                <w:highlight w:val="none"/>
                <w:lang w:bidi="ar"/>
              </w:rPr>
              <w:t>项目二期设计进水水质</w:t>
            </w:r>
            <w:r>
              <w:rPr>
                <w:rFonts w:hint="eastAsia"/>
                <w:color w:val="auto"/>
                <w:sz w:val="24"/>
                <w:szCs w:val="32"/>
                <w:highlight w:val="none"/>
                <w:lang w:eastAsia="zh-CN" w:bidi="ar"/>
              </w:rPr>
              <w:t>，</w:t>
            </w:r>
            <w:r>
              <w:rPr>
                <w:rFonts w:hint="eastAsia"/>
                <w:color w:val="auto"/>
                <w:sz w:val="24"/>
                <w:szCs w:val="32"/>
                <w:highlight w:val="none"/>
                <w:lang w:val="en-US" w:eastAsia="zh-CN" w:bidi="ar"/>
              </w:rPr>
              <w:t>详见</w:t>
            </w:r>
            <w:r>
              <w:rPr>
                <w:color w:val="auto"/>
                <w:sz w:val="24"/>
                <w:szCs w:val="32"/>
                <w:highlight w:val="none"/>
                <w:lang w:bidi="ar"/>
              </w:rPr>
              <w:t>下表：</w:t>
            </w:r>
          </w:p>
          <w:p>
            <w:pPr>
              <w:pageBreakBefore w:val="0"/>
              <w:kinsoku/>
              <w:wordWrap/>
              <w:topLinePunct w:val="0"/>
              <w:autoSpaceDE w:val="0"/>
              <w:autoSpaceDN w:val="0"/>
              <w:bidi w:val="0"/>
              <w:adjustRightInd w:val="0"/>
              <w:snapToGrid w:val="0"/>
              <w:spacing w:line="360" w:lineRule="auto"/>
              <w:ind w:left="0" w:leftChars="0" w:right="0" w:rightChars="0"/>
              <w:jc w:val="center"/>
              <w:rPr>
                <w:rFonts w:eastAsia="黑体"/>
                <w:color w:val="auto"/>
                <w:highlight w:val="none"/>
              </w:rPr>
            </w:pPr>
            <w:r>
              <w:rPr>
                <w:rFonts w:eastAsia="黑体"/>
                <w:bCs/>
                <w:snapToGrid w:val="0"/>
                <w:color w:val="auto"/>
                <w:szCs w:val="18"/>
                <w:highlight w:val="none"/>
                <w:lang w:bidi="ar"/>
              </w:rPr>
              <w:t>表2-10</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本项</w:t>
            </w:r>
            <w:r>
              <w:rPr>
                <w:rFonts w:eastAsia="黑体"/>
                <w:color w:val="auto"/>
                <w:highlight w:val="none"/>
              </w:rPr>
              <w:t>目二期设计进出水水质</w:t>
            </w:r>
            <w:r>
              <w:rPr>
                <w:rFonts w:hint="eastAsia" w:eastAsia="黑体"/>
                <w:color w:val="auto"/>
                <w:highlight w:val="none"/>
                <w:lang w:val="en-US" w:eastAsia="zh-CN"/>
              </w:rPr>
              <w:t xml:space="preserve"> </w:t>
            </w:r>
            <w:r>
              <w:rPr>
                <w:rFonts w:eastAsia="黑体"/>
                <w:color w:val="auto"/>
                <w:highlight w:val="none"/>
              </w:rPr>
              <w:t>单位：mg/L，pH无量纲</w:t>
            </w:r>
          </w:p>
          <w:tbl>
            <w:tblPr>
              <w:tblStyle w:val="23"/>
              <w:tblpPr w:leftFromText="180" w:rightFromText="180" w:vertAnchor="text" w:tblpXSpec="center" w:tblpY="1"/>
              <w:tblOverlap w:val="never"/>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10"/>
              <w:gridCol w:w="1053"/>
              <w:gridCol w:w="979"/>
              <w:gridCol w:w="907"/>
              <w:gridCol w:w="994"/>
              <w:gridCol w:w="1520"/>
              <w:gridCol w:w="1064"/>
              <w:gridCol w:w="10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tcBorders>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项目</w:t>
                  </w:r>
                </w:p>
              </w:tc>
              <w:tc>
                <w:tcPr>
                  <w:tcW w:w="572"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pH</w:t>
                  </w:r>
                </w:p>
              </w:tc>
              <w:tc>
                <w:tcPr>
                  <w:tcW w:w="532"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COD</w:t>
                  </w:r>
                </w:p>
              </w:tc>
              <w:tc>
                <w:tcPr>
                  <w:tcW w:w="493"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BOD</w:t>
                  </w:r>
                  <w:r>
                    <w:rPr>
                      <w:b/>
                      <w:bCs/>
                      <w:color w:val="auto"/>
                      <w:sz w:val="21"/>
                      <w:highlight w:val="none"/>
                      <w:vertAlign w:val="subscript"/>
                    </w:rPr>
                    <w:t>5</w:t>
                  </w:r>
                </w:p>
              </w:tc>
              <w:tc>
                <w:tcPr>
                  <w:tcW w:w="540"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SS</w:t>
                  </w:r>
                </w:p>
              </w:tc>
              <w:tc>
                <w:tcPr>
                  <w:tcW w:w="826" w:type="pct"/>
                  <w:tcBorders>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NH</w:t>
                  </w:r>
                  <w:r>
                    <w:rPr>
                      <w:b/>
                      <w:bCs/>
                      <w:color w:val="auto"/>
                      <w:sz w:val="21"/>
                      <w:highlight w:val="none"/>
                      <w:vertAlign w:val="subscript"/>
                    </w:rPr>
                    <w:t>3</w:t>
                  </w:r>
                  <w:r>
                    <w:rPr>
                      <w:b/>
                      <w:bCs/>
                      <w:color w:val="auto"/>
                      <w:sz w:val="21"/>
                      <w:highlight w:val="none"/>
                    </w:rPr>
                    <w:t>-N</w:t>
                  </w:r>
                </w:p>
              </w:tc>
              <w:tc>
                <w:tcPr>
                  <w:tcW w:w="578" w:type="pct"/>
                  <w:tcBorders>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TN</w:t>
                  </w:r>
                </w:p>
              </w:tc>
              <w:tc>
                <w:tcPr>
                  <w:tcW w:w="578" w:type="pct"/>
                  <w:tcBorders>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tcBorders>
                    <w:top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设计进水水质</w:t>
                  </w:r>
                </w:p>
              </w:tc>
              <w:tc>
                <w:tcPr>
                  <w:tcW w:w="572"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6.5～8.5</w:t>
                  </w:r>
                </w:p>
              </w:tc>
              <w:tc>
                <w:tcPr>
                  <w:tcW w:w="532"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≤280</w:t>
                  </w:r>
                </w:p>
              </w:tc>
              <w:tc>
                <w:tcPr>
                  <w:tcW w:w="493"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≤140</w:t>
                  </w:r>
                </w:p>
              </w:tc>
              <w:tc>
                <w:tcPr>
                  <w:tcW w:w="540"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≤200</w:t>
                  </w:r>
                </w:p>
              </w:tc>
              <w:tc>
                <w:tcPr>
                  <w:tcW w:w="826"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≤35</w:t>
                  </w:r>
                </w:p>
              </w:tc>
              <w:tc>
                <w:tcPr>
                  <w:tcW w:w="578"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≤40</w:t>
                  </w:r>
                </w:p>
              </w:tc>
              <w:tc>
                <w:tcPr>
                  <w:tcW w:w="578"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tcBorders>
                    <w:top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设计出水水质</w:t>
                  </w:r>
                </w:p>
              </w:tc>
              <w:tc>
                <w:tcPr>
                  <w:tcW w:w="572"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6～9</w:t>
                  </w:r>
                </w:p>
              </w:tc>
              <w:tc>
                <w:tcPr>
                  <w:tcW w:w="532"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≤50</w:t>
                  </w:r>
                </w:p>
              </w:tc>
              <w:tc>
                <w:tcPr>
                  <w:tcW w:w="493"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≤10</w:t>
                  </w:r>
                </w:p>
              </w:tc>
              <w:tc>
                <w:tcPr>
                  <w:tcW w:w="540"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≤10</w:t>
                  </w:r>
                </w:p>
              </w:tc>
              <w:tc>
                <w:tcPr>
                  <w:tcW w:w="826" w:type="pct"/>
                  <w:tcBorders>
                    <w:top w:val="single" w:color="auto" w:sz="6" w:space="0"/>
                    <w:left w:val="single" w:color="auto" w:sz="6" w:space="0"/>
                    <w:bottom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≤5（8）</w:t>
                  </w:r>
                </w:p>
              </w:tc>
              <w:tc>
                <w:tcPr>
                  <w:tcW w:w="578"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≤15</w:t>
                  </w:r>
                </w:p>
              </w:tc>
              <w:tc>
                <w:tcPr>
                  <w:tcW w:w="578" w:type="pct"/>
                  <w:tcBorders>
                    <w:top w:val="single" w:color="auto" w:sz="6" w:space="0"/>
                    <w:left w:val="single" w:color="auto" w:sz="6" w:space="0"/>
                    <w:bottom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6" w:type="pct"/>
                  <w:tcBorders>
                    <w:top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去除率%</w:t>
                  </w:r>
                </w:p>
              </w:tc>
              <w:tc>
                <w:tcPr>
                  <w:tcW w:w="572" w:type="pct"/>
                  <w:tcBorders>
                    <w:top w:val="single" w:color="auto" w:sz="6" w:space="0"/>
                    <w:left w:val="single" w:color="auto" w:sz="6" w:space="0"/>
                    <w:right w:val="single" w:color="auto" w:sz="6" w:space="0"/>
                  </w:tcBorders>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c>
                <w:tcPr>
                  <w:tcW w:w="532" w:type="pct"/>
                  <w:tcBorders>
                    <w:top w:val="single" w:color="auto" w:sz="6" w:space="0"/>
                    <w:left w:val="single" w:color="auto" w:sz="6" w:space="0"/>
                    <w:right w:val="single" w:color="auto" w:sz="6" w:space="0"/>
                  </w:tcBorders>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82.1</w:t>
                  </w:r>
                </w:p>
              </w:tc>
              <w:tc>
                <w:tcPr>
                  <w:tcW w:w="493" w:type="pct"/>
                  <w:tcBorders>
                    <w:top w:val="single" w:color="auto" w:sz="6" w:space="0"/>
                    <w:left w:val="single" w:color="auto" w:sz="6" w:space="0"/>
                    <w:right w:val="single" w:color="auto" w:sz="6" w:space="0"/>
                  </w:tcBorders>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92.9</w:t>
                  </w:r>
                </w:p>
              </w:tc>
              <w:tc>
                <w:tcPr>
                  <w:tcW w:w="540" w:type="pct"/>
                  <w:tcBorders>
                    <w:top w:val="single" w:color="auto" w:sz="6" w:space="0"/>
                    <w:left w:val="single" w:color="auto" w:sz="6" w:space="0"/>
                    <w:right w:val="single" w:color="auto" w:sz="6" w:space="0"/>
                  </w:tcBorders>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95.0</w:t>
                  </w:r>
                </w:p>
              </w:tc>
              <w:tc>
                <w:tcPr>
                  <w:tcW w:w="826" w:type="pct"/>
                  <w:tcBorders>
                    <w:top w:val="single" w:color="auto" w:sz="6" w:space="0"/>
                    <w:left w:val="single" w:color="auto" w:sz="6" w:space="0"/>
                    <w:right w:val="single" w:color="auto" w:sz="6" w:space="0"/>
                  </w:tcBorders>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85.7（77.1）</w:t>
                  </w:r>
                </w:p>
              </w:tc>
              <w:tc>
                <w:tcPr>
                  <w:tcW w:w="578" w:type="pct"/>
                  <w:tcBorders>
                    <w:top w:val="single" w:color="auto" w:sz="6" w:space="0"/>
                    <w:left w:val="single" w:color="auto" w:sz="6" w:space="0"/>
                  </w:tcBorders>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62.5</w:t>
                  </w:r>
                </w:p>
              </w:tc>
              <w:tc>
                <w:tcPr>
                  <w:tcW w:w="578" w:type="pct"/>
                  <w:tcBorders>
                    <w:top w:val="single" w:color="auto" w:sz="6" w:space="0"/>
                    <w:left w:val="single" w:color="auto" w:sz="6" w:space="0"/>
                  </w:tcBorders>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88.9</w:t>
                  </w:r>
                </w:p>
              </w:tc>
            </w:tr>
          </w:tbl>
          <w:p>
            <w:pPr>
              <w:pageBreakBefore w:val="0"/>
              <w:kinsoku/>
              <w:wordWrap/>
              <w:topLinePunct w:val="0"/>
              <w:bidi w:val="0"/>
              <w:spacing w:line="360" w:lineRule="auto"/>
              <w:ind w:left="0" w:leftChars="0" w:right="0" w:rightChars="0" w:firstLine="482" w:firstLineChars="200"/>
              <w:rPr>
                <w:rFonts w:hint="eastAsia"/>
                <w:b/>
                <w:bCs/>
                <w:color w:val="auto"/>
                <w:sz w:val="24"/>
                <w:szCs w:val="24"/>
                <w:highlight w:val="none"/>
                <w:lang w:bidi="ar"/>
              </w:rPr>
            </w:pPr>
            <w:r>
              <w:rPr>
                <w:rFonts w:hint="eastAsia"/>
                <w:b/>
                <w:bCs/>
                <w:color w:val="auto"/>
                <w:sz w:val="24"/>
                <w:szCs w:val="24"/>
                <w:highlight w:val="none"/>
                <w:lang w:val="en-US" w:eastAsia="zh-CN" w:bidi="ar"/>
              </w:rPr>
              <w:t>注：</w:t>
            </w:r>
            <w:r>
              <w:rPr>
                <w:rFonts w:hint="eastAsia"/>
                <w:b/>
                <w:bCs/>
                <w:color w:val="auto"/>
                <w:sz w:val="24"/>
                <w:szCs w:val="24"/>
                <w:highlight w:val="none"/>
                <w:lang w:bidi="ar"/>
              </w:rPr>
              <w:t>工业生产污水须自行处理达到国家《污水排入城镇下水道水质标准》（GB/T31962-2015）后方可排入市政污水管网系统。</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6、尾水排放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项目改扩建完成后，污水处理厂尾水经处理后均达《城镇污水处理厂污染物排放标准》（GB18918-2002）一级A标准后排入前河。</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八、总图布置合理性分析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厂区的总体布置以满足污水处理工艺要求为前提，对厂内各种建（构）筑物及相关设施进行合理布置，做到功能分别区明确、生产管理有序、场地使用经济合理。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整个厂区平面布置按不同功能分为污水处理及生活办公区。厂区主要污水处理建（构）筑物根据工艺流程要求由北向南布置，分别为预处理区（粗格栅及提升泵房、细格栅及旋流沉砂池）、一期生化（厌氧池、氧化沟）、二期生化（MBBR生化池、二沉池）、深度处理（絮凝池、转鼓滤池）、紫外线消毒渠；整体上，污水处理构（建）筑物布置较紧凑，流程顺畅。生活办公区即综合大楼，位于厂区东南侧，临近公路便于来往车辆的管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根据工艺特点，厂内道路沿各功能分区布置成环状，便于厂区内各部分间的相互联系；既对交通运输及消防有利，又便于人流、货流的组织，同时也利于工程技术管理。全厂道路为混凝土路面。</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厂区道路两侧、各建（构）筑物四周、厂界及厂区边坡采取植被绿化措施，可有效地净化区域空气环境。</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厂区各个工艺单元布置顺畅、功能分区明确，为今后的运行管理提供了方便。在厂区绿化设计上，厂区绿化采取重点绿化和一般绿化相结合，使得整个厂区不仅看上去环境优雅，而且可有效吸收恶臭和降噪吸声。</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32"/>
                <w:highlight w:val="none"/>
                <w:lang w:bidi="ar"/>
              </w:rPr>
              <w:t>综上所述，项目总图布置从环保角度是合理的。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工艺流程和产排污环节</w:t>
            </w:r>
          </w:p>
        </w:tc>
        <w:tc>
          <w:tcPr>
            <w:tcW w:w="4782" w:type="pct"/>
          </w:tcPr>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一、施工期工艺流程及产污位置</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1、施工期工艺流程</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施工期内容主要包括建设污水处理厂二期工程和对一期氧化沟进行改造等，施工过程以机械施工为主，大致分为土地平整、</w:t>
            </w:r>
            <w:r>
              <w:rPr>
                <w:rFonts w:hint="eastAsia"/>
                <w:color w:val="auto"/>
                <w:sz w:val="24"/>
                <w:szCs w:val="24"/>
                <w:highlight w:val="none"/>
                <w:lang w:val="en-US" w:eastAsia="zh-CN" w:bidi="ar"/>
              </w:rPr>
              <w:t>拆除工程、</w:t>
            </w:r>
            <w:r>
              <w:rPr>
                <w:color w:val="auto"/>
                <w:sz w:val="24"/>
                <w:szCs w:val="24"/>
                <w:highlight w:val="none"/>
                <w:lang w:bidi="ar"/>
              </w:rPr>
              <w:t>土石方工程、基础施工、主体施工、设备安装</w:t>
            </w:r>
            <w:r>
              <w:rPr>
                <w:rFonts w:hint="eastAsia"/>
                <w:color w:val="auto"/>
                <w:sz w:val="24"/>
                <w:szCs w:val="24"/>
                <w:highlight w:val="none"/>
                <w:lang w:val="en-US" w:eastAsia="zh-CN" w:bidi="ar"/>
              </w:rPr>
              <w:t>六</w:t>
            </w:r>
            <w:r>
              <w:rPr>
                <w:color w:val="auto"/>
                <w:sz w:val="24"/>
                <w:szCs w:val="24"/>
                <w:highlight w:val="none"/>
                <w:lang w:bidi="ar"/>
              </w:rPr>
              <w:t>大阶段，不同阶段所采用的设备有所不同，项目施工过程采用商品混凝土，不在场区设置混凝土拌合站，项目建设地内不建设大型的原料场，只设置小面积的临时原料堆场。项目不设置施工营地，租用附近居民住房。</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object>
                <v:shape id="_x0000_i1026" o:spt="75" type="#_x0000_t75" style="height:155.1pt;width:458.8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pageBreakBefore w:val="0"/>
              <w:kinsoku/>
              <w:wordWrap/>
              <w:topLinePunct w:val="0"/>
              <w:bidi w:val="0"/>
              <w:spacing w:line="360" w:lineRule="auto"/>
              <w:ind w:left="0" w:leftChars="0" w:right="0" w:rightChars="0"/>
              <w:jc w:val="center"/>
              <w:rPr>
                <w:rFonts w:eastAsia="黑体"/>
                <w:color w:val="auto"/>
                <w:kern w:val="0"/>
                <w:highlight w:val="none"/>
              </w:rPr>
            </w:pPr>
            <w:r>
              <w:rPr>
                <w:rFonts w:eastAsia="黑体"/>
                <w:color w:val="auto"/>
                <w:highlight w:val="none"/>
              </w:rPr>
              <w:t>图2-3</w:t>
            </w:r>
            <w:r>
              <w:rPr>
                <w:rFonts w:hint="eastAsia" w:eastAsia="黑体"/>
                <w:color w:val="auto"/>
                <w:highlight w:val="none"/>
              </w:rPr>
              <w:t xml:space="preserve"> </w:t>
            </w:r>
            <w:r>
              <w:rPr>
                <w:rFonts w:eastAsia="黑体"/>
                <w:color w:val="auto"/>
                <w:highlight w:val="none"/>
              </w:rPr>
              <w:t>施工期工艺流程及产污环节图</w:t>
            </w:r>
          </w:p>
          <w:p>
            <w:pPr>
              <w:pageBreakBefore w:val="0"/>
              <w:kinsoku/>
              <w:wordWrap/>
              <w:topLinePunct w:val="0"/>
              <w:bidi w:val="0"/>
              <w:spacing w:line="360" w:lineRule="auto"/>
              <w:ind w:left="0" w:leftChars="0" w:right="0" w:rightChars="0" w:firstLine="482" w:firstLineChars="200"/>
              <w:rPr>
                <w:rFonts w:hint="default" w:eastAsia="宋体"/>
                <w:b/>
                <w:bCs/>
                <w:color w:val="auto"/>
                <w:sz w:val="24"/>
                <w:szCs w:val="24"/>
                <w:highlight w:val="none"/>
                <w:lang w:val="en-US" w:eastAsia="zh-CN" w:bidi="ar"/>
              </w:rPr>
            </w:pPr>
            <w:r>
              <w:rPr>
                <w:b/>
                <w:bCs/>
                <w:color w:val="auto"/>
                <w:sz w:val="24"/>
                <w:szCs w:val="24"/>
                <w:highlight w:val="none"/>
                <w:lang w:bidi="ar"/>
              </w:rPr>
              <w:t>（1）</w:t>
            </w:r>
            <w:r>
              <w:rPr>
                <w:rFonts w:hint="eastAsia"/>
                <w:b/>
                <w:bCs/>
                <w:color w:val="auto"/>
                <w:sz w:val="24"/>
                <w:szCs w:val="24"/>
                <w:highlight w:val="none"/>
                <w:lang w:val="en-US" w:eastAsia="zh-CN" w:bidi="ar"/>
              </w:rPr>
              <w:t>拆除工程</w:t>
            </w:r>
          </w:p>
          <w:p>
            <w:pPr>
              <w:pageBreakBefore w:val="0"/>
              <w:kinsoku/>
              <w:wordWrap/>
              <w:topLinePunct w:val="0"/>
              <w:bidi w:val="0"/>
              <w:spacing w:line="360" w:lineRule="auto"/>
              <w:ind w:left="0" w:leftChars="0" w:right="0" w:rightChars="0" w:firstLine="480" w:firstLineChars="200"/>
              <w:rPr>
                <w:rFonts w:hint="default" w:eastAsia="宋体"/>
                <w:b w:val="0"/>
                <w:bCs w:val="0"/>
                <w:color w:val="auto"/>
                <w:sz w:val="24"/>
                <w:szCs w:val="24"/>
                <w:highlight w:val="none"/>
                <w:lang w:val="en-US" w:eastAsia="zh-CN" w:bidi="ar"/>
              </w:rPr>
            </w:pPr>
            <w:r>
              <w:rPr>
                <w:rFonts w:hint="eastAsia"/>
                <w:b w:val="0"/>
                <w:bCs w:val="0"/>
                <w:color w:val="auto"/>
                <w:sz w:val="24"/>
                <w:szCs w:val="24"/>
                <w:highlight w:val="none"/>
                <w:lang w:val="en-US" w:eastAsia="zh-CN" w:bidi="ar"/>
              </w:rPr>
              <w:t>本项目将原一期紫外线消毒渠、脱泥机房及加药间、贮泥池、进水在线监测、出水在线监测等构建筑物进行拆除。拆除过程中会产生扬尘、噪声、固废。</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2</w:t>
            </w:r>
            <w:r>
              <w:rPr>
                <w:b/>
                <w:bCs/>
                <w:color w:val="auto"/>
                <w:sz w:val="24"/>
                <w:szCs w:val="24"/>
                <w:highlight w:val="none"/>
                <w:lang w:bidi="ar"/>
              </w:rPr>
              <w:t>）场地平整及土石方工程</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项目场平主要为污水处理厂区的场地平整，土石方工程为剥离表土和厂区内的挖填方。进行厂区回填时，土石方由下往上分层回填，用碾压机压实。填土前，应将基土上的洞穴或基底表面上的树根、垃圾等杂物都处理完毕，清除干净。过程中会产生扬尘、噪声和土石方。</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3</w:t>
            </w:r>
            <w:r>
              <w:rPr>
                <w:b/>
                <w:bCs/>
                <w:color w:val="auto"/>
                <w:sz w:val="24"/>
                <w:szCs w:val="24"/>
                <w:highlight w:val="none"/>
                <w:lang w:bidi="ar"/>
              </w:rPr>
              <w:t>）基础工程</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在</w:t>
            </w:r>
            <w:r>
              <w:rPr>
                <w:rFonts w:hint="eastAsia"/>
                <w:color w:val="auto"/>
                <w:sz w:val="24"/>
                <w:szCs w:val="24"/>
                <w:highlight w:val="none"/>
                <w:lang w:val="en-US" w:eastAsia="zh-CN" w:bidi="ar"/>
              </w:rPr>
              <w:t>拆除工程、</w:t>
            </w:r>
            <w:r>
              <w:rPr>
                <w:color w:val="auto"/>
                <w:sz w:val="24"/>
                <w:szCs w:val="24"/>
                <w:highlight w:val="none"/>
                <w:lang w:bidi="ar"/>
              </w:rPr>
              <w:t>基础开挖、地基处理与基础施工时，由于挖土机、运土卡车等施工机械的运行，将产生一定的噪声；同时产生扬尘，属无组织面源排放，源强不易确定；基础开挖引起原有土地利用类型的改变，会造成生态变化并引起一定程度的水土流失。同时产生施工人员生活废水和生活垃圾。</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4</w:t>
            </w:r>
            <w:r>
              <w:rPr>
                <w:b/>
                <w:bCs/>
                <w:color w:val="auto"/>
                <w:sz w:val="24"/>
                <w:szCs w:val="24"/>
                <w:highlight w:val="none"/>
                <w:lang w:bidi="ar"/>
              </w:rPr>
              <w:t>）主体工程</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主体施工时，挖掘机、打夯机、装载汽车等运行时会产生噪声，同时产生扬尘。此外，还有一些原材料废弃料以及生产和生活污水产生。</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5</w:t>
            </w:r>
            <w:r>
              <w:rPr>
                <w:b/>
                <w:bCs/>
                <w:color w:val="auto"/>
                <w:sz w:val="24"/>
                <w:szCs w:val="24"/>
                <w:highlight w:val="none"/>
                <w:lang w:bidi="ar"/>
              </w:rPr>
              <w:t>）设备安装</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主要包括污水厂生产设备以及配套环保设施设备安装，其主要废物为废包装材料、设备安装及调试噪声。</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6</w:t>
            </w:r>
            <w:r>
              <w:rPr>
                <w:b/>
                <w:bCs/>
                <w:color w:val="auto"/>
                <w:sz w:val="24"/>
                <w:szCs w:val="24"/>
                <w:highlight w:val="none"/>
                <w:lang w:bidi="ar"/>
              </w:rPr>
              <w:t>）装饰工程</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在对构筑物的室内外进行装修时（如表面粉刷、喷涂、裱糊等），钻机、电锤等产生噪声，涂料产生废气、废弃物料及污水。</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2、施工期主要污染环节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本项目施工期主要为污水处理厂二期工程和对一期氧化沟进行改造等，其主要污染环节为：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（1）废气：</w:t>
            </w:r>
            <w:r>
              <w:rPr>
                <w:rFonts w:hint="eastAsia"/>
                <w:color w:val="auto"/>
                <w:sz w:val="24"/>
                <w:szCs w:val="24"/>
                <w:highlight w:val="none"/>
                <w:lang w:val="en-US" w:eastAsia="zh-CN" w:bidi="ar"/>
              </w:rPr>
              <w:t>拆除工程、</w:t>
            </w:r>
            <w:r>
              <w:rPr>
                <w:color w:val="auto"/>
                <w:sz w:val="24"/>
                <w:szCs w:val="24"/>
                <w:highlight w:val="none"/>
                <w:lang w:bidi="ar"/>
              </w:rPr>
              <w:t>场地平整、土石方工程、基础工程、主体工程、建筑垃圾清运等过程中产生的扬尘；燃油机械施工作业排放的尾气；装饰工程产生的少量有机废气。</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（2）废水：施工人员产生的生活污水；施工期施工废水。</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（3）噪声：场地平整、土石方工程、基础工程、主体工程、设备安装调试工等过程中各类机械、运输车辆产生的噪声。</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（4）固废：建筑垃圾，场地平整、土石方工程、基础工程产生的弃土；施工人员的生活垃圾。</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3、施工时序</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①先进行二期工程新建构（建）筑物施工，一期工程污水处理设施处理收集的污废水，处理后的尾水达《城镇污水处理厂污染物排放标准》（GB18918-2002）一级B标准后排入前河。</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②二期工程完成后将污废水引入二期工程处理，并对一期氧化沟改造，污废水经二期污水处理设施处理后，废水尾水达《城镇污水处理厂污染物排放标准》（GB18918-2002）一级A标准后排入前河。</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二、运营期工艺流程及产污环节</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1、污水处理工艺论证</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（1）在污水处理厂工艺方案确定中，将遵循以下原则</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①技术成熟、处理效果稳定，对水质变化适应能力强，运行稳定可靠，能保证出水水质达到国家规定的排放要求。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②应减少基建投资和运行费用，节省占地面积和降低能耗。</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③应与污泥处理和处置方式结合起来考虑，污水处理厂排出的污泥应易于处理和处置。</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④本工程由于用地紧张，因此所选工艺必须紧凑、简单、占地面积小。</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⑤运行管理方便，运转灵活，并可根据不同的进水水质和出水水质要求调整运行方式和工艺参数，最大限度的发挥处理装置和处理构筑物的处理能力。</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⑥选定工艺的技术及设备先进、可靠、成熟。</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⑦便于实现工艺过程的合理自动控制，提高管理水平，降低劳动强度和人工费用。</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⑧最大程度地减少对周围环境的不良影响（气味、噪声、气雾等），以满足项目区域规划的要求。</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2</w:t>
            </w:r>
            <w:r>
              <w:rPr>
                <w:b/>
                <w:bCs/>
                <w:color w:val="auto"/>
                <w:sz w:val="24"/>
                <w:szCs w:val="24"/>
                <w:highlight w:val="none"/>
                <w:lang w:bidi="ar"/>
              </w:rPr>
              <w:t>）污水可行性分析</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污水能否采用生化处理，特别是是否适用于生物除磷脱氮工艺，取决于原污水中各种营养成分的含量及其比例能否满足生物生长的需要，因此首先应判断相关的指标能否满足要求。</w:t>
            </w:r>
          </w:p>
          <w:p>
            <w:pPr>
              <w:pageBreakBefore w:val="0"/>
              <w:kinsoku/>
              <w:wordWrap/>
              <w:topLinePunct w:val="0"/>
              <w:autoSpaceDE w:val="0"/>
              <w:autoSpaceDN w:val="0"/>
              <w:bidi w:val="0"/>
              <w:adjustRightInd w:val="0"/>
              <w:snapToGrid w:val="0"/>
              <w:spacing w:line="360" w:lineRule="auto"/>
              <w:ind w:left="0" w:leftChars="0" w:right="0" w:rightChars="0"/>
              <w:jc w:val="center"/>
              <w:rPr>
                <w:rFonts w:eastAsia="黑体"/>
                <w:bCs/>
                <w:snapToGrid w:val="0"/>
                <w:color w:val="auto"/>
                <w:szCs w:val="18"/>
                <w:highlight w:val="none"/>
                <w:lang w:bidi="ar"/>
              </w:rPr>
            </w:pPr>
            <w:r>
              <w:rPr>
                <w:rFonts w:eastAsia="黑体"/>
                <w:bCs/>
                <w:snapToGrid w:val="0"/>
                <w:color w:val="auto"/>
                <w:szCs w:val="18"/>
                <w:highlight w:val="none"/>
                <w:lang w:bidi="ar"/>
              </w:rPr>
              <w:t>表2-11</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污水处理厂工程进水营养物比值</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2"/>
              <w:gridCol w:w="2533"/>
              <w:gridCol w:w="3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项目</w:t>
                  </w:r>
                </w:p>
              </w:tc>
              <w:tc>
                <w:tcPr>
                  <w:tcW w:w="1376"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污水比值</w:t>
                  </w:r>
                </w:p>
              </w:tc>
              <w:tc>
                <w:tcPr>
                  <w:tcW w:w="1811"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生化难易程度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BOD</w:t>
                  </w:r>
                  <w:r>
                    <w:rPr>
                      <w:color w:val="auto"/>
                      <w:sz w:val="21"/>
                      <w:highlight w:val="none"/>
                      <w:vertAlign w:val="subscript"/>
                    </w:rPr>
                    <w:t>5</w:t>
                  </w:r>
                  <w:r>
                    <w:rPr>
                      <w:color w:val="auto"/>
                      <w:sz w:val="21"/>
                      <w:highlight w:val="none"/>
                    </w:rPr>
                    <w:t>/CODcr</w:t>
                  </w:r>
                </w:p>
              </w:tc>
              <w:tc>
                <w:tcPr>
                  <w:tcW w:w="137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0.5</w:t>
                  </w:r>
                </w:p>
              </w:tc>
              <w:tc>
                <w:tcPr>
                  <w:tcW w:w="18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＞0.45可生化性较好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BOD</w:t>
                  </w:r>
                  <w:r>
                    <w:rPr>
                      <w:color w:val="auto"/>
                      <w:sz w:val="21"/>
                      <w:highlight w:val="none"/>
                      <w:vertAlign w:val="subscript"/>
                    </w:rPr>
                    <w:t>5</w:t>
                  </w:r>
                  <w:r>
                    <w:rPr>
                      <w:color w:val="auto"/>
                      <w:sz w:val="21"/>
                      <w:highlight w:val="none"/>
                    </w:rPr>
                    <w:t>/TKN</w:t>
                  </w:r>
                </w:p>
              </w:tc>
              <w:tc>
                <w:tcPr>
                  <w:tcW w:w="137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3.5</w:t>
                  </w:r>
                </w:p>
              </w:tc>
              <w:tc>
                <w:tcPr>
                  <w:tcW w:w="18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≥3.5满足生物除氮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BOD</w:t>
                  </w:r>
                  <w:r>
                    <w:rPr>
                      <w:color w:val="auto"/>
                      <w:sz w:val="21"/>
                      <w:highlight w:val="none"/>
                      <w:vertAlign w:val="subscript"/>
                    </w:rPr>
                    <w:t>5</w:t>
                  </w:r>
                  <w:r>
                    <w:rPr>
                      <w:color w:val="auto"/>
                      <w:sz w:val="21"/>
                      <w:highlight w:val="none"/>
                    </w:rPr>
                    <w:t>/TP</w:t>
                  </w:r>
                </w:p>
              </w:tc>
              <w:tc>
                <w:tcPr>
                  <w:tcW w:w="137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31.1</w:t>
                  </w:r>
                </w:p>
              </w:tc>
              <w:tc>
                <w:tcPr>
                  <w:tcW w:w="1811"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＞20满足生物除磷</w:t>
                  </w: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①BOD</w:t>
            </w:r>
            <w:r>
              <w:rPr>
                <w:b/>
                <w:bCs/>
                <w:color w:val="auto"/>
                <w:sz w:val="24"/>
                <w:szCs w:val="24"/>
                <w:highlight w:val="none"/>
                <w:vertAlign w:val="subscript"/>
                <w:lang w:bidi="ar"/>
              </w:rPr>
              <w:t>5</w:t>
            </w:r>
            <w:r>
              <w:rPr>
                <w:b/>
                <w:bCs/>
                <w:color w:val="auto"/>
                <w:sz w:val="24"/>
                <w:szCs w:val="24"/>
                <w:highlight w:val="none"/>
                <w:lang w:bidi="ar"/>
              </w:rPr>
              <w:t>/CODCr比值</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污水BOD</w:t>
            </w:r>
            <w:r>
              <w:rPr>
                <w:color w:val="auto"/>
                <w:sz w:val="24"/>
                <w:szCs w:val="24"/>
                <w:highlight w:val="none"/>
                <w:vertAlign w:val="subscript"/>
                <w:lang w:bidi="ar"/>
              </w:rPr>
              <w:t>5</w:t>
            </w:r>
            <w:r>
              <w:rPr>
                <w:color w:val="auto"/>
                <w:sz w:val="24"/>
                <w:szCs w:val="24"/>
                <w:highlight w:val="none"/>
                <w:lang w:bidi="ar"/>
              </w:rPr>
              <w:t>/COD</w:t>
            </w:r>
            <w:r>
              <w:rPr>
                <w:color w:val="auto"/>
                <w:sz w:val="24"/>
                <w:szCs w:val="24"/>
                <w:highlight w:val="none"/>
                <w:vertAlign w:val="subscript"/>
                <w:lang w:bidi="ar"/>
              </w:rPr>
              <w:t>Cr</w:t>
            </w:r>
            <w:r>
              <w:rPr>
                <w:color w:val="auto"/>
                <w:sz w:val="24"/>
                <w:szCs w:val="24"/>
                <w:highlight w:val="none"/>
                <w:lang w:bidi="ar"/>
              </w:rPr>
              <w:t>值是判定污水可生化性的最简便易行和最常用的方法。一般认为BOD</w:t>
            </w:r>
            <w:r>
              <w:rPr>
                <w:color w:val="auto"/>
                <w:sz w:val="24"/>
                <w:szCs w:val="24"/>
                <w:highlight w:val="none"/>
                <w:vertAlign w:val="subscript"/>
                <w:lang w:bidi="ar"/>
              </w:rPr>
              <w:t>5</w:t>
            </w:r>
            <w:r>
              <w:rPr>
                <w:color w:val="auto"/>
                <w:sz w:val="24"/>
                <w:szCs w:val="24"/>
                <w:highlight w:val="none"/>
                <w:lang w:bidi="ar"/>
              </w:rPr>
              <w:t>/COD</w:t>
            </w:r>
            <w:r>
              <w:rPr>
                <w:color w:val="auto"/>
                <w:sz w:val="24"/>
                <w:szCs w:val="24"/>
                <w:highlight w:val="none"/>
                <w:vertAlign w:val="subscript"/>
                <w:lang w:bidi="ar"/>
              </w:rPr>
              <w:t>Cr</w:t>
            </w:r>
            <w:r>
              <w:rPr>
                <w:color w:val="auto"/>
                <w:sz w:val="24"/>
                <w:szCs w:val="24"/>
                <w:highlight w:val="none"/>
                <w:lang w:bidi="ar"/>
              </w:rPr>
              <w:t>＞0.45可生化性较好，BOD</w:t>
            </w:r>
            <w:r>
              <w:rPr>
                <w:color w:val="auto"/>
                <w:sz w:val="24"/>
                <w:szCs w:val="24"/>
                <w:highlight w:val="none"/>
                <w:vertAlign w:val="subscript"/>
                <w:lang w:bidi="ar"/>
              </w:rPr>
              <w:t>5</w:t>
            </w:r>
            <w:r>
              <w:rPr>
                <w:color w:val="auto"/>
                <w:sz w:val="24"/>
                <w:szCs w:val="24"/>
                <w:highlight w:val="none"/>
                <w:lang w:bidi="ar"/>
              </w:rPr>
              <w:t>/COD</w:t>
            </w:r>
            <w:r>
              <w:rPr>
                <w:color w:val="auto"/>
                <w:sz w:val="24"/>
                <w:szCs w:val="24"/>
                <w:highlight w:val="none"/>
                <w:vertAlign w:val="subscript"/>
                <w:lang w:bidi="ar"/>
              </w:rPr>
              <w:t>Cr</w:t>
            </w:r>
            <w:r>
              <w:rPr>
                <w:color w:val="auto"/>
                <w:sz w:val="24"/>
                <w:szCs w:val="24"/>
                <w:highlight w:val="none"/>
                <w:lang w:bidi="ar"/>
              </w:rPr>
              <w:t>＜0.3较难生化，BOD</w:t>
            </w:r>
            <w:r>
              <w:rPr>
                <w:color w:val="auto"/>
                <w:sz w:val="24"/>
                <w:szCs w:val="24"/>
                <w:highlight w:val="none"/>
                <w:vertAlign w:val="subscript"/>
                <w:lang w:bidi="ar"/>
              </w:rPr>
              <w:t>5</w:t>
            </w:r>
            <w:r>
              <w:rPr>
                <w:color w:val="auto"/>
                <w:sz w:val="24"/>
                <w:szCs w:val="24"/>
                <w:highlight w:val="none"/>
                <w:lang w:bidi="ar"/>
              </w:rPr>
              <w:t>/COD</w:t>
            </w:r>
            <w:r>
              <w:rPr>
                <w:color w:val="auto"/>
                <w:sz w:val="24"/>
                <w:szCs w:val="24"/>
                <w:highlight w:val="none"/>
                <w:vertAlign w:val="subscript"/>
                <w:lang w:bidi="ar"/>
              </w:rPr>
              <w:t>Cr</w:t>
            </w:r>
            <w:r>
              <w:rPr>
                <w:color w:val="auto"/>
                <w:sz w:val="24"/>
                <w:szCs w:val="24"/>
                <w:highlight w:val="none"/>
                <w:lang w:bidi="ar"/>
              </w:rPr>
              <w:t>＜0.25不易生化。</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分析确定的污水厂进水水质，BOD</w:t>
            </w:r>
            <w:r>
              <w:rPr>
                <w:color w:val="auto"/>
                <w:sz w:val="24"/>
                <w:szCs w:val="24"/>
                <w:highlight w:val="none"/>
                <w:vertAlign w:val="subscript"/>
                <w:lang w:bidi="ar"/>
              </w:rPr>
              <w:t>5</w:t>
            </w:r>
            <w:r>
              <w:rPr>
                <w:color w:val="auto"/>
                <w:sz w:val="24"/>
                <w:szCs w:val="24"/>
                <w:highlight w:val="none"/>
                <w:lang w:bidi="ar"/>
              </w:rPr>
              <w:t>/COD</w:t>
            </w:r>
            <w:r>
              <w:rPr>
                <w:color w:val="auto"/>
                <w:sz w:val="24"/>
                <w:szCs w:val="24"/>
                <w:highlight w:val="none"/>
                <w:vertAlign w:val="subscript"/>
                <w:lang w:bidi="ar"/>
              </w:rPr>
              <w:t>Cr</w:t>
            </w:r>
            <w:r>
              <w:rPr>
                <w:color w:val="auto"/>
                <w:sz w:val="24"/>
                <w:szCs w:val="24"/>
                <w:highlight w:val="none"/>
                <w:lang w:bidi="ar"/>
              </w:rPr>
              <w:t>=</w:t>
            </w:r>
            <w:r>
              <w:rPr>
                <w:rFonts w:hint="eastAsia"/>
                <w:color w:val="auto"/>
                <w:sz w:val="24"/>
                <w:szCs w:val="24"/>
                <w:highlight w:val="none"/>
                <w:lang w:val="en-US" w:eastAsia="zh-CN" w:bidi="ar"/>
              </w:rPr>
              <w:t>0.5，</w:t>
            </w:r>
            <w:r>
              <w:rPr>
                <w:color w:val="auto"/>
                <w:sz w:val="24"/>
                <w:szCs w:val="24"/>
                <w:highlight w:val="none"/>
                <w:lang w:bidi="ar"/>
              </w:rPr>
              <w:t>其可生化性属于相对较好的城市污水，可通过生物降解。</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②BOD</w:t>
            </w:r>
            <w:r>
              <w:rPr>
                <w:b/>
                <w:bCs/>
                <w:color w:val="auto"/>
                <w:sz w:val="24"/>
                <w:szCs w:val="24"/>
                <w:highlight w:val="none"/>
                <w:vertAlign w:val="subscript"/>
                <w:lang w:bidi="ar"/>
              </w:rPr>
              <w:t>5</w:t>
            </w:r>
            <w:r>
              <w:rPr>
                <w:b/>
                <w:bCs/>
                <w:color w:val="auto"/>
                <w:sz w:val="24"/>
                <w:szCs w:val="24"/>
                <w:highlight w:val="none"/>
                <w:lang w:bidi="ar"/>
              </w:rPr>
              <w:t>/TKN（即C/N）比值</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C/N比值是判别能否有效脱氮的重要指标。从理论上讲，C/N≥2.86就能进行脱氮，但一般认为，C/N≥3.5才能进行有效脱氮。</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分析确定的进水水质，C/N=3.5，刚好能满足生物脱氮要求。</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③BOD</w:t>
            </w:r>
            <w:r>
              <w:rPr>
                <w:b/>
                <w:bCs/>
                <w:color w:val="auto"/>
                <w:sz w:val="24"/>
                <w:szCs w:val="24"/>
                <w:highlight w:val="none"/>
                <w:vertAlign w:val="subscript"/>
                <w:lang w:bidi="ar"/>
              </w:rPr>
              <w:t>5</w:t>
            </w:r>
            <w:r>
              <w:rPr>
                <w:b/>
                <w:bCs/>
                <w:color w:val="auto"/>
                <w:sz w:val="24"/>
                <w:szCs w:val="24"/>
                <w:highlight w:val="none"/>
                <w:lang w:bidi="ar"/>
              </w:rPr>
              <w:t>/TP比值</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该指标是鉴别能否生物除磷的主要指标。生物除磷是活性污泥中聚磷菌在厌氧条件下分解细胞内的聚磷酸盐同时产生ATP，并利用ATP将废水中的脂肪酸等有机物摄入细胞，以PHB（聚-β-羟基丁酸）及糖原等有机颗粒的形式贮存于细胞内，同时随着聚磷酸盐的分解，释放磷；一旦进入好氧环境，除磷菌又可利用聚-β-羟基丁酸氧化分解所释放的能量来超量摄取废水中的磷，并把所摄取的磷合成聚磷酸盐而贮存于细胞内，经沉淀分离，把富含磷的剩余污泥排出系统，达到生物除磷的目的。进水中的BOD</w:t>
            </w:r>
            <w:r>
              <w:rPr>
                <w:color w:val="auto"/>
                <w:sz w:val="24"/>
                <w:szCs w:val="24"/>
                <w:highlight w:val="none"/>
                <w:vertAlign w:val="subscript"/>
                <w:lang w:bidi="ar"/>
              </w:rPr>
              <w:t>5</w:t>
            </w:r>
            <w:r>
              <w:rPr>
                <w:color w:val="auto"/>
                <w:sz w:val="24"/>
                <w:szCs w:val="24"/>
                <w:highlight w:val="none"/>
                <w:lang w:bidi="ar"/>
              </w:rPr>
              <w:t>是作为营养物供除磷菌活动的基质，故BOD</w:t>
            </w:r>
            <w:r>
              <w:rPr>
                <w:color w:val="auto"/>
                <w:sz w:val="24"/>
                <w:szCs w:val="24"/>
                <w:highlight w:val="none"/>
                <w:vertAlign w:val="subscript"/>
                <w:lang w:bidi="ar"/>
              </w:rPr>
              <w:t>5</w:t>
            </w:r>
            <w:r>
              <w:rPr>
                <w:color w:val="auto"/>
                <w:sz w:val="24"/>
                <w:szCs w:val="24"/>
                <w:highlight w:val="none"/>
                <w:lang w:bidi="ar"/>
              </w:rPr>
              <w:t>/TP是衡量能否达到除磷的重要指标，一般认为该值要大于20，比值越大，生物除磷效果越明显。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分析确定的进水水质，本工程BOD</w:t>
            </w:r>
            <w:r>
              <w:rPr>
                <w:color w:val="auto"/>
                <w:sz w:val="24"/>
                <w:szCs w:val="24"/>
                <w:highlight w:val="none"/>
                <w:vertAlign w:val="subscript"/>
                <w:lang w:bidi="ar"/>
              </w:rPr>
              <w:t>5</w:t>
            </w:r>
            <w:r>
              <w:rPr>
                <w:color w:val="auto"/>
                <w:sz w:val="24"/>
                <w:szCs w:val="24"/>
                <w:highlight w:val="none"/>
                <w:lang w:bidi="ar"/>
              </w:rPr>
              <w:t>/TP=31.1，可以采用生物除磷工艺。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综上所述，本次生活污水处理厂进水水质可采用二级生化处理工艺，同时可以采用生物脱氮除磷工艺。</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3</w:t>
            </w:r>
            <w:r>
              <w:rPr>
                <w:b/>
                <w:bCs/>
                <w:color w:val="auto"/>
                <w:sz w:val="24"/>
                <w:szCs w:val="24"/>
                <w:highlight w:val="none"/>
                <w:lang w:bidi="ar"/>
              </w:rPr>
              <w:t>）对污水厂处理工艺的要求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通常采用生化处理工艺的污水处理厂对污水中SS及BOD</w:t>
            </w:r>
            <w:r>
              <w:rPr>
                <w:color w:val="auto"/>
                <w:sz w:val="24"/>
                <w:szCs w:val="24"/>
                <w:highlight w:val="none"/>
                <w:vertAlign w:val="subscript"/>
                <w:lang w:bidi="ar"/>
              </w:rPr>
              <w:t>5</w:t>
            </w:r>
            <w:r>
              <w:rPr>
                <w:color w:val="auto"/>
                <w:sz w:val="24"/>
                <w:szCs w:val="24"/>
                <w:highlight w:val="none"/>
                <w:lang w:bidi="ar"/>
              </w:rPr>
              <w:t>指标的处理效率见2-</w:t>
            </w:r>
            <w:r>
              <w:rPr>
                <w:rStyle w:val="28"/>
                <w:rFonts w:hint="eastAsia"/>
                <w:color w:val="auto"/>
                <w:sz w:val="24"/>
                <w:szCs w:val="24"/>
                <w:highlight w:val="none"/>
                <w:lang w:val="en-US" w:eastAsia="zh-CN"/>
              </w:rPr>
              <w:t>12</w:t>
            </w:r>
            <w:r>
              <w:rPr>
                <w:color w:val="auto"/>
                <w:sz w:val="24"/>
                <w:szCs w:val="24"/>
                <w:highlight w:val="none"/>
                <w:lang w:bidi="ar"/>
              </w:rPr>
              <w:t>。</w:t>
            </w:r>
          </w:p>
          <w:p>
            <w:pPr>
              <w:pageBreakBefore w:val="0"/>
              <w:kinsoku/>
              <w:wordWrap/>
              <w:topLinePunct w:val="0"/>
              <w:autoSpaceDE w:val="0"/>
              <w:autoSpaceDN w:val="0"/>
              <w:bidi w:val="0"/>
              <w:adjustRightInd w:val="0"/>
              <w:snapToGrid w:val="0"/>
              <w:spacing w:line="360" w:lineRule="auto"/>
              <w:ind w:left="0" w:leftChars="0" w:right="0" w:rightChars="0"/>
              <w:jc w:val="center"/>
              <w:rPr>
                <w:rFonts w:eastAsia="黑体"/>
                <w:bCs/>
                <w:snapToGrid w:val="0"/>
                <w:color w:val="auto"/>
                <w:szCs w:val="18"/>
                <w:highlight w:val="none"/>
                <w:lang w:bidi="ar"/>
              </w:rPr>
            </w:pPr>
            <w:r>
              <w:rPr>
                <w:rFonts w:eastAsia="黑体"/>
                <w:bCs/>
                <w:snapToGrid w:val="0"/>
                <w:color w:val="auto"/>
                <w:szCs w:val="18"/>
                <w:highlight w:val="none"/>
                <w:lang w:bidi="ar"/>
              </w:rPr>
              <w:t>表2-12</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污水处理厂的处理效率表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993"/>
              <w:gridCol w:w="948"/>
              <w:gridCol w:w="948"/>
              <w:gridCol w:w="948"/>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5" w:type="pct"/>
                  <w:vMerge w:val="restar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处理方法</w:t>
                  </w:r>
                </w:p>
              </w:tc>
              <w:tc>
                <w:tcPr>
                  <w:tcW w:w="2171" w:type="pct"/>
                  <w:vMerge w:val="restar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主要工艺</w:t>
                  </w:r>
                </w:p>
              </w:tc>
              <w:tc>
                <w:tcPr>
                  <w:tcW w:w="2063" w:type="pct"/>
                  <w:gridSpan w:val="4"/>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5" w:type="pct"/>
                  <w:vMerge w:val="continue"/>
                  <w:vAlign w:val="center"/>
                </w:tcPr>
                <w:p>
                  <w:pPr>
                    <w:pStyle w:val="53"/>
                    <w:pageBreakBefore w:val="0"/>
                    <w:kinsoku/>
                    <w:wordWrap/>
                    <w:topLinePunct w:val="0"/>
                    <w:bidi w:val="0"/>
                    <w:spacing w:line="240" w:lineRule="auto"/>
                    <w:ind w:left="0" w:leftChars="0" w:right="0" w:rightChars="0"/>
                    <w:rPr>
                      <w:b/>
                      <w:bCs/>
                      <w:color w:val="auto"/>
                      <w:szCs w:val="21"/>
                      <w:highlight w:val="none"/>
                    </w:rPr>
                  </w:pPr>
                </w:p>
              </w:tc>
              <w:tc>
                <w:tcPr>
                  <w:tcW w:w="2171" w:type="pct"/>
                  <w:vMerge w:val="continue"/>
                  <w:vAlign w:val="center"/>
                </w:tcPr>
                <w:p>
                  <w:pPr>
                    <w:pStyle w:val="53"/>
                    <w:pageBreakBefore w:val="0"/>
                    <w:kinsoku/>
                    <w:wordWrap/>
                    <w:topLinePunct w:val="0"/>
                    <w:bidi w:val="0"/>
                    <w:spacing w:line="240" w:lineRule="auto"/>
                    <w:ind w:left="0" w:leftChars="0" w:right="0" w:rightChars="0"/>
                    <w:rPr>
                      <w:b/>
                      <w:bCs/>
                      <w:color w:val="auto"/>
                      <w:szCs w:val="21"/>
                      <w:highlight w:val="none"/>
                    </w:rPr>
                  </w:pPr>
                </w:p>
              </w:tc>
              <w:tc>
                <w:tcPr>
                  <w:tcW w:w="515" w:type="pc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SS</w:t>
                  </w:r>
                </w:p>
              </w:tc>
              <w:tc>
                <w:tcPr>
                  <w:tcW w:w="515" w:type="pc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BOD</w:t>
                  </w:r>
                  <w:r>
                    <w:rPr>
                      <w:b/>
                      <w:bCs/>
                      <w:color w:val="auto"/>
                      <w:szCs w:val="21"/>
                      <w:highlight w:val="none"/>
                      <w:vertAlign w:val="subscript"/>
                    </w:rPr>
                    <w:t>5</w:t>
                  </w:r>
                </w:p>
              </w:tc>
              <w:tc>
                <w:tcPr>
                  <w:tcW w:w="515" w:type="pc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TN</w:t>
                  </w:r>
                </w:p>
              </w:tc>
              <w:tc>
                <w:tcPr>
                  <w:tcW w:w="517" w:type="pc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生物膜法</w:t>
                  </w:r>
                </w:p>
              </w:tc>
              <w:tc>
                <w:tcPr>
                  <w:tcW w:w="2171"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初次沉淀池、生物膜反应、二次沉淀</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60-90</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65-90</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60-85</w:t>
                  </w:r>
                </w:p>
              </w:tc>
              <w:tc>
                <w:tcPr>
                  <w:tcW w:w="517"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活性污泥法</w:t>
                  </w:r>
                </w:p>
              </w:tc>
              <w:tc>
                <w:tcPr>
                  <w:tcW w:w="2171"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初次沉淀池、活性污泥反应、二次沉淀</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70-90</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65-95</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60-85</w:t>
                  </w:r>
                </w:p>
              </w:tc>
              <w:tc>
                <w:tcPr>
                  <w:tcW w:w="517"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6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深度处理</w:t>
                  </w:r>
                </w:p>
              </w:tc>
              <w:tc>
                <w:tcPr>
                  <w:tcW w:w="2171"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混凝沉淀过滤</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90-99</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80-96</w:t>
                  </w:r>
                </w:p>
              </w:tc>
              <w:tc>
                <w:tcPr>
                  <w:tcW w:w="515"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65-90</w:t>
                  </w:r>
                </w:p>
              </w:tc>
              <w:tc>
                <w:tcPr>
                  <w:tcW w:w="517"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80-95</w:t>
                  </w:r>
                </w:p>
              </w:tc>
            </w:tr>
          </w:tbl>
          <w:p>
            <w:pPr>
              <w:pageBreakBefore w:val="0"/>
              <w:kinsoku/>
              <w:wordWrap/>
              <w:topLinePunct w:val="0"/>
              <w:bidi w:val="0"/>
              <w:spacing w:line="360" w:lineRule="auto"/>
              <w:ind w:left="0" w:leftChars="0" w:right="0" w:rightChars="0" w:firstLine="422" w:firstLineChars="200"/>
              <w:rPr>
                <w:b/>
                <w:bCs/>
                <w:color w:val="auto"/>
                <w:highlight w:val="none"/>
                <w:lang w:bidi="ar"/>
              </w:rPr>
            </w:pPr>
            <w:r>
              <w:rPr>
                <w:b/>
                <w:bCs/>
                <w:color w:val="auto"/>
                <w:highlight w:val="none"/>
                <w:lang w:bidi="ar"/>
              </w:rPr>
              <w:t>注：活性污泥法根据水质、工艺流程等情况，可不设置初次沉淀池。</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根据污水处理目标，SS去除率应该达到95%，BOD</w:t>
            </w:r>
            <w:r>
              <w:rPr>
                <w:color w:val="auto"/>
                <w:sz w:val="24"/>
                <w:szCs w:val="24"/>
                <w:highlight w:val="none"/>
                <w:vertAlign w:val="subscript"/>
                <w:lang w:bidi="ar"/>
              </w:rPr>
              <w:t>5</w:t>
            </w:r>
            <w:r>
              <w:rPr>
                <w:color w:val="auto"/>
                <w:sz w:val="24"/>
                <w:szCs w:val="24"/>
                <w:highlight w:val="none"/>
                <w:lang w:bidi="ar"/>
              </w:rPr>
              <w:t>去除率应该达到82.1%，TN去除率应该达到62.5%，TP去除率应该达到88.9%。从上表可以看出，采用二级生化处理工艺，其SS、TP的处理率将不能满足本工程的需要，因此，本工程将在生化处理的基础上，增加深度处理设施。</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综上所述，根据污水处理厂进水水质和排放标准的要求，只有具有除磷脱氮功能的二级生物处理加深度处理才能满足设计要求。因此，本工程污水厂的总体工艺流程包括：预处理单元、生化处理单元、深度处理单元和污泥处理单元，其流程简图见图。</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object>
                <v:shape id="_x0000_i1027" o:spt="75" type="#_x0000_t75" style="height:51pt;width:408.6pt;" o:ole="t" filled="f" o:preferrelative="t" stroked="f" coordsize="21600,21600">
                  <v:path/>
                  <v:fill on="f" focussize="0,0"/>
                  <v:stroke on="f" joinstyle="miter"/>
                  <v:imagedata r:id="rId16" o:title=""/>
                  <o:lock v:ext="edit" aspectratio="f"/>
                  <w10:wrap type="none"/>
                  <w10:anchorlock/>
                </v:shape>
                <o:OLEObject Type="Embed" ProgID="Visio.Drawing.11" ShapeID="_x0000_i1027" DrawAspect="Content" ObjectID="_1468075727" r:id="rId15">
                  <o:LockedField>false</o:LockedField>
                </o:OLEObject>
              </w:objec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图2-4</w:t>
            </w:r>
            <w:r>
              <w:rPr>
                <w:rFonts w:hint="eastAsia" w:eastAsia="黑体"/>
                <w:color w:val="auto"/>
                <w:highlight w:val="none"/>
              </w:rPr>
              <w:t xml:space="preserve"> </w:t>
            </w:r>
            <w:r>
              <w:rPr>
                <w:rFonts w:eastAsia="黑体"/>
                <w:color w:val="auto"/>
                <w:highlight w:val="none"/>
              </w:rPr>
              <w:t>污水处理流程简图</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①预处理单元（土建利旧，新增或更换设备）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水在进入生物处理单元前必须进行预处理，以保证后续处理工段的运行。预处理单元包括粗格栅、污水提升泵房、细格栅、沉砂池等。主要去除污水中的砂粒、栅渣、油等。本项目扩建工程预处理段土建利旧，新增或更换设备即可。</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②生化处理单元（扩建）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本工程需采用具有除磷脱氮功能的生物处理工艺，该工艺能将总氮去除率由常规生化处理的20%左右提高到70%～95%，总磷去除率则通过生物合成由15%～20%提高到70%～90%，一般情况下可稳定可靠地运行。</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③深度处理单元（新增）</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一般情况下，具有除磷脱氮功能的二级生物处理工艺出水能够达到一级B排放标准。但是要使出水中的SS、TN、TP等污染物质达到一级A标准，除了对二级生物处理段强化外，还需要后续深度处理段进一步去除水中SS和TP等污染物。</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④污泥处理单元（新增扩建）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由于本工程在生化处理单元需采用生物除磷脱氮工艺，若采用重力浓缩，不仅不利于环境卫生，也会造成污泥在浓缩池内停留时间过长造成磷的二次释放，不利于生物除磷。因此本工程污泥处理单元考虑采用机械浓缩脱水工艺。且由于一期污泥脱水含水率要求为80%，含水率过高，本次提标扩建后要求污泥含水率达到60%。</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综上，本项目提标扩建工程工艺方案论证主要从生化处理、深度处理及污泥处理版块进行论证。</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4</w:t>
            </w:r>
            <w:r>
              <w:rPr>
                <w:b/>
                <w:bCs/>
                <w:color w:val="auto"/>
                <w:sz w:val="24"/>
                <w:szCs w:val="24"/>
                <w:highlight w:val="none"/>
                <w:lang w:bidi="ar"/>
              </w:rPr>
              <w:t>）生化处理工艺论证</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bookmarkStart w:id="1" w:name="_Toc514787104"/>
            <w:r>
              <w:rPr>
                <w:color w:val="auto"/>
                <w:sz w:val="24"/>
                <w:szCs w:val="24"/>
                <w:highlight w:val="none"/>
                <w:lang w:bidi="ar"/>
              </w:rPr>
              <w:t>根据现场实际情况及出水水质要求。目前我国污水处理厂采用的脱氮除磷工艺用于改造项目较多主要有三类：①A</w:t>
            </w:r>
            <w:r>
              <w:rPr>
                <w:color w:val="auto"/>
                <w:sz w:val="24"/>
                <w:szCs w:val="24"/>
                <w:highlight w:val="none"/>
                <w:vertAlign w:val="superscript"/>
                <w:lang w:bidi="ar"/>
              </w:rPr>
              <w:t>2</w:t>
            </w:r>
            <w:r>
              <w:rPr>
                <w:color w:val="auto"/>
                <w:sz w:val="24"/>
                <w:szCs w:val="24"/>
                <w:highlight w:val="none"/>
                <w:lang w:bidi="ar"/>
              </w:rPr>
              <w:t>/O系列；②MBR系</w:t>
            </w:r>
            <w:bookmarkEnd w:id="1"/>
            <w:r>
              <w:rPr>
                <w:color w:val="auto"/>
                <w:sz w:val="24"/>
                <w:szCs w:val="24"/>
                <w:highlight w:val="none"/>
                <w:lang w:bidi="ar"/>
              </w:rPr>
              <w:t>列；③MBBR系列。</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①改良型A</w:t>
            </w:r>
            <w:r>
              <w:rPr>
                <w:b/>
                <w:bCs/>
                <w:color w:val="auto"/>
                <w:sz w:val="24"/>
                <w:szCs w:val="24"/>
                <w:highlight w:val="none"/>
                <w:vertAlign w:val="superscript"/>
                <w:lang w:bidi="ar"/>
              </w:rPr>
              <w:t>2</w:t>
            </w:r>
            <w:r>
              <w:rPr>
                <w:b/>
                <w:bCs/>
                <w:color w:val="auto"/>
                <w:sz w:val="24"/>
                <w:szCs w:val="24"/>
                <w:highlight w:val="none"/>
                <w:lang w:bidi="ar"/>
              </w:rPr>
              <w:t>/O工艺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改良型A</w:t>
            </w:r>
            <w:r>
              <w:rPr>
                <w:color w:val="auto"/>
                <w:sz w:val="24"/>
                <w:szCs w:val="24"/>
                <w:highlight w:val="none"/>
                <w:vertAlign w:val="superscript"/>
                <w:lang w:bidi="ar"/>
              </w:rPr>
              <w:t>2</w:t>
            </w:r>
            <w:r>
              <w:rPr>
                <w:color w:val="auto"/>
                <w:sz w:val="24"/>
                <w:szCs w:val="24"/>
                <w:highlight w:val="none"/>
                <w:lang w:bidi="ar"/>
              </w:rPr>
              <w:t>/O工艺流程如图所示。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drawing>
                <wp:anchor distT="0" distB="0" distL="114300" distR="114300" simplePos="0" relativeHeight="251670528" behindDoc="1" locked="0" layoutInCell="1" allowOverlap="1">
                  <wp:simplePos x="0" y="0"/>
                  <wp:positionH relativeFrom="column">
                    <wp:posOffset>890270</wp:posOffset>
                  </wp:positionH>
                  <wp:positionV relativeFrom="paragraph">
                    <wp:posOffset>139700</wp:posOffset>
                  </wp:positionV>
                  <wp:extent cx="4321175" cy="1630680"/>
                  <wp:effectExtent l="0" t="0" r="0" b="0"/>
                  <wp:wrapThrough wrapText="bothSides">
                    <wp:wrapPolygon>
                      <wp:start x="1524" y="0"/>
                      <wp:lineTo x="667" y="3533"/>
                      <wp:lineTo x="667" y="8075"/>
                      <wp:lineTo x="286" y="9589"/>
                      <wp:lineTo x="476" y="10093"/>
                      <wp:lineTo x="2952" y="12112"/>
                      <wp:lineTo x="2952" y="19178"/>
                      <wp:lineTo x="3238" y="19682"/>
                      <wp:lineTo x="5237" y="20187"/>
                      <wp:lineTo x="9903" y="20187"/>
                      <wp:lineTo x="17807" y="19682"/>
                      <wp:lineTo x="18664" y="19430"/>
                      <wp:lineTo x="18473" y="12112"/>
                      <wp:lineTo x="20949" y="9589"/>
                      <wp:lineTo x="21140" y="8832"/>
                      <wp:lineTo x="19997" y="7318"/>
                      <wp:lineTo x="17712" y="6561"/>
                      <wp:lineTo x="6761" y="4037"/>
                      <wp:lineTo x="6190" y="0"/>
                      <wp:lineTo x="1524" y="0"/>
                    </wp:wrapPolygon>
                  </wp:wrapThrough>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tretch>
                            <a:fillRect/>
                          </a:stretch>
                        </pic:blipFill>
                        <pic:spPr>
                          <a:xfrm>
                            <a:off x="0" y="0"/>
                            <a:ext cx="4321175" cy="1630680"/>
                          </a:xfrm>
                          <a:prstGeom prst="rect">
                            <a:avLst/>
                          </a:prstGeom>
                          <a:noFill/>
                          <a:ln>
                            <a:noFill/>
                          </a:ln>
                        </pic:spPr>
                      </pic:pic>
                    </a:graphicData>
                  </a:graphic>
                </wp:anchor>
              </w:drawing>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p>
          <w:p>
            <w:pPr>
              <w:pageBreakBefore w:val="0"/>
              <w:kinsoku/>
              <w:wordWrap/>
              <w:topLinePunct w:val="0"/>
              <w:bidi w:val="0"/>
              <w:spacing w:line="360" w:lineRule="auto"/>
              <w:ind w:left="0" w:leftChars="0" w:right="0" w:rightChars="0"/>
              <w:jc w:val="center"/>
              <w:rPr>
                <w:rFonts w:eastAsia="黑体"/>
                <w:color w:val="auto"/>
                <w:highlight w:val="none"/>
              </w:rPr>
            </w:pPr>
          </w:p>
          <w:p>
            <w:pPr>
              <w:pageBreakBefore w:val="0"/>
              <w:kinsoku/>
              <w:wordWrap/>
              <w:topLinePunct w:val="0"/>
              <w:bidi w:val="0"/>
              <w:spacing w:line="360" w:lineRule="auto"/>
              <w:ind w:left="0" w:leftChars="0" w:right="0" w:rightChars="0"/>
              <w:jc w:val="center"/>
              <w:rPr>
                <w:rFonts w:eastAsia="黑体"/>
                <w:color w:val="auto"/>
                <w:highlight w:val="none"/>
              </w:rPr>
            </w:pP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图2-5</w:t>
            </w:r>
            <w:r>
              <w:rPr>
                <w:rFonts w:hint="eastAsia" w:eastAsia="黑体"/>
                <w:color w:val="auto"/>
                <w:highlight w:val="none"/>
              </w:rPr>
              <w:t xml:space="preserve"> </w:t>
            </w:r>
            <w:r>
              <w:rPr>
                <w:rFonts w:eastAsia="黑体"/>
                <w:color w:val="auto"/>
                <w:highlight w:val="none"/>
              </w:rPr>
              <w:t>改良型A</w:t>
            </w:r>
            <w:r>
              <w:rPr>
                <w:rFonts w:eastAsia="黑体"/>
                <w:color w:val="auto"/>
                <w:highlight w:val="none"/>
                <w:vertAlign w:val="superscript"/>
              </w:rPr>
              <w:t>2</w:t>
            </w:r>
            <w:r>
              <w:rPr>
                <w:rFonts w:eastAsia="黑体"/>
                <w:color w:val="auto"/>
                <w:highlight w:val="none"/>
              </w:rPr>
              <w:t>/O工艺流程图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改良型A</w:t>
            </w:r>
            <w:r>
              <w:rPr>
                <w:color w:val="auto"/>
                <w:sz w:val="24"/>
                <w:szCs w:val="24"/>
                <w:highlight w:val="none"/>
                <w:vertAlign w:val="superscript"/>
                <w:lang w:bidi="ar"/>
              </w:rPr>
              <w:t>2</w:t>
            </w:r>
            <w:r>
              <w:rPr>
                <w:color w:val="auto"/>
                <w:sz w:val="24"/>
                <w:szCs w:val="24"/>
                <w:highlight w:val="none"/>
                <w:lang w:bidi="ar"/>
              </w:rPr>
              <w:t>/O工艺是在厌氧池前增加预脱硝池和选择池，以降低回流污泥中硝酸盐对厌氧放磷的影响，并抑制丝状菌生长，为了解决缺氧池反硝化碳源不足的问题，将进水按一定比例进入厌氧池和缺氧池中。</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改良A</w:t>
            </w:r>
            <w:r>
              <w:rPr>
                <w:b/>
                <w:bCs/>
                <w:color w:val="auto"/>
                <w:sz w:val="24"/>
                <w:szCs w:val="24"/>
                <w:highlight w:val="none"/>
                <w:vertAlign w:val="superscript"/>
                <w:lang w:bidi="ar"/>
              </w:rPr>
              <w:t>2</w:t>
            </w:r>
            <w:r>
              <w:rPr>
                <w:b/>
                <w:bCs/>
                <w:color w:val="auto"/>
                <w:sz w:val="24"/>
                <w:szCs w:val="24"/>
                <w:highlight w:val="none"/>
                <w:lang w:bidi="ar"/>
              </w:rPr>
              <w:t>/O法的改进原理如下：</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回流活性污泥首先进入预缺脱硝区（包含在厌氧区内）进行反硝化反应，去除其中的溶解氧及硝酸盐氮，这样可以保证厌氧区的厌氧效果，提高系统的除磷能力。</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回流活性污泥中硝酸盐氮的反硝化是靠分配部分进水中的碳源（BOD</w:t>
            </w:r>
            <w:r>
              <w:rPr>
                <w:color w:val="auto"/>
                <w:sz w:val="24"/>
                <w:szCs w:val="24"/>
                <w:highlight w:val="none"/>
                <w:vertAlign w:val="subscript"/>
                <w:lang w:bidi="ar"/>
              </w:rPr>
              <w:t>5</w:t>
            </w:r>
            <w:r>
              <w:rPr>
                <w:color w:val="auto"/>
                <w:sz w:val="24"/>
                <w:szCs w:val="24"/>
                <w:highlight w:val="none"/>
                <w:lang w:bidi="ar"/>
              </w:rPr>
              <w:t>）进行反硝化，其反硝化速率远远高于依靠内源呼吸作用进行的反硝化，因此需要的反硝化停留时间短、容积小。</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当出水对TN、TP都有较高要求的情况下，除氮靠混合液回流和污泥回流携带的硝态氮至缺氧区进行反硝化来完成。由于污泥回流在运行过程中随多种因素而变，一般为回流率为30%～200%，大多回流率在100%左右运行，因此需有混合液回流。</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采用分段进水有如下作用：为了控制和适应厌氧区、缺氧区对碳源的利用，采用分段进水，以达到各区段能更好地达到预期处理效果。为适应进水水质的变化，可根据需要调节进水量，改变运行模式，增加了运行方式的灵活性。</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生化单元运行时，系统内生物量的平衡主要靠活性污泥回流来实现，反硝化所需的硝态氮主要靠混合液回流来实现。而污泥回流所需的能耗远远高于混合液回流所需的能耗。为此，为既保持生化系统内的生物量，又达到除氮的目的，需合理调整、控制这两个回流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改良型A</w:t>
            </w:r>
            <w:r>
              <w:rPr>
                <w:color w:val="auto"/>
                <w:sz w:val="24"/>
                <w:szCs w:val="24"/>
                <w:highlight w:val="none"/>
                <w:vertAlign w:val="superscript"/>
                <w:lang w:bidi="ar"/>
              </w:rPr>
              <w:t>2</w:t>
            </w:r>
            <w:r>
              <w:rPr>
                <w:color w:val="auto"/>
                <w:sz w:val="24"/>
                <w:szCs w:val="24"/>
                <w:highlight w:val="none"/>
                <w:lang w:bidi="ar"/>
              </w:rPr>
              <w:t>/O工艺在进水碳源充足或要求总氮去除率较低时，可以很好的均衡除磷脱氮效果，且运行稳定可靠。但若碳源不足或要求总氮去除率较高时，总氮的实际去除效果就达不到要求。</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本工艺具有如下特点：</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本工艺在系统上可以称为最简单的同步脱氮除磷工艺，是针对高效生物脱氮除磷，工艺运行可靠，节省化学药剂使用，总的水力停留时间少于其他同类工艺。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在厌氧（缺氧）、好氧交替运行条件下，丝状菌不能大量增殖，无污泥膨胀之虞，SVI值一般均小于100。</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运行管理方便改良A</w:t>
            </w:r>
            <w:r>
              <w:rPr>
                <w:color w:val="auto"/>
                <w:sz w:val="24"/>
                <w:szCs w:val="24"/>
                <w:highlight w:val="none"/>
                <w:vertAlign w:val="superscript"/>
                <w:lang w:bidi="ar"/>
              </w:rPr>
              <w:t>2</w:t>
            </w:r>
            <w:r>
              <w:rPr>
                <w:color w:val="auto"/>
                <w:sz w:val="24"/>
                <w:szCs w:val="24"/>
                <w:highlight w:val="none"/>
                <w:lang w:bidi="ar"/>
              </w:rPr>
              <w:t>/O工艺抗冲击负荷能力强，运行稳定。</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污泥肥效高改良A</w:t>
            </w:r>
            <w:r>
              <w:rPr>
                <w:color w:val="auto"/>
                <w:sz w:val="24"/>
                <w:szCs w:val="24"/>
                <w:highlight w:val="none"/>
                <w:vertAlign w:val="superscript"/>
                <w:lang w:bidi="ar"/>
              </w:rPr>
              <w:t>2</w:t>
            </w:r>
            <w:r>
              <w:rPr>
                <w:color w:val="auto"/>
                <w:sz w:val="24"/>
                <w:szCs w:val="24"/>
                <w:highlight w:val="none"/>
                <w:lang w:bidi="ar"/>
              </w:rPr>
              <w:t>/O工艺剩余污泥含磷量3%～5%，肥效高，可利用作污泥堆肥。</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本法也存在如下各项的待解决问题：</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除磷效果难于再行提高，污泥增长有一定的限度，不易提高，特别是当P/BOD值高时更是如此。</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脱氮效果也难于进一步提高，内循环量一般以2Q为限，不宜太高。</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进入沉淀池的处理水要保持一定浓度的溶解氧，减少停留时间，防止产生厌氧状态和污泥释放磷的现象出现、但溶解氧浓度也不宜过高，以防循环混合液对缺氧反应器的干扰。</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②MBR膜生物处理工艺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MBR又称膜生物反应器（MembraneBio-Reactor），是一种将高效膜分离技术与传统活性污泥法相结合的新型高效污水处理工艺，它用具有独特结构的MBR平片膜组件置于曝气池中，经过好氧曝气和生物处理后的水，由泵通过滤膜过滤后抽出。它利用膜分离设备将生化反应池中的活性污泥和大分子有机物质截留住，省掉二沉池。活性污泥浓度因此大大提高，水力停留时间（HRT）和污泥停留时间（SRT）可以分别控制，而难降解的物质在反应器中不断反应、降解。由于MBR膜的存在大大提高了系统固液分离的能力，从而使系统出水，水质和容积负荷都得到大幅度提高，经膜处理后的水水质标准高（超过国家一级A标准），经过消毒，最后形成水质和生物安全性高的优质再生水，可直接作为新生水源。由于膜的过滤作用，微生物被完全截留在MBR膜生物反应器中，实现了水力停留时间与活性污泥泥龄的彻底分离，消除了传统活性污泥法中污泥膨胀问题。膜生物反应器具有对污染物去除效率高、硝化能力强，可同时进行硝化、反硝化、脱氮效果好、出水水质稳定、剩余污泥产量低、设备紧凑、占地面积少（只有传统工艺的1/3-1/2）、增量扩容方便、自动化程度高、操作简单等优点。</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与许多传统的生物水处理工艺相比，MBR具有以下主要特点：</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出水水质优质稳定：</w:t>
            </w:r>
            <w:r>
              <w:rPr>
                <w:color w:val="auto"/>
                <w:sz w:val="24"/>
                <w:szCs w:val="24"/>
                <w:highlight w:val="none"/>
                <w:lang w:bidi="ar"/>
              </w:rPr>
              <w:t>由于膜的高效分离作用，分离效果远好于传统沉淀池，处理出水极其清澈，悬浮物和浊度接近于零，细菌和病毒被大幅去除，出水水质优于建设部颁发的生活杂用水水质标准（CJ25.1-89），可以直接作为非饮用市政杂用水进行回用。同时，膜分离也使微生物被完全被截流在生物反应器内，使得系统内能够维持较高的微生物浓度，不但提高了反应装置对污染物的整体去除效率，保证了良好的出水水质，同时反应器对进水负荷（水质及水量）的各种变化具有很好的适应性，耐冲击负荷，能够稳定获得优质的出水水质。</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剩余污泥产量少：</w:t>
            </w:r>
            <w:r>
              <w:rPr>
                <w:color w:val="auto"/>
                <w:sz w:val="24"/>
                <w:szCs w:val="24"/>
                <w:highlight w:val="none"/>
                <w:lang w:bidi="ar"/>
              </w:rPr>
              <w:t>该工艺可以在高容积负荷、低污泥负荷下运行，剩余污泥产量低（理论上可以实现零污泥排放），降低了污泥处理费用。</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占地面积小，不受设置场合限制：</w:t>
            </w:r>
            <w:r>
              <w:rPr>
                <w:color w:val="auto"/>
                <w:sz w:val="24"/>
                <w:szCs w:val="24"/>
                <w:highlight w:val="none"/>
                <w:lang w:bidi="ar"/>
              </w:rPr>
              <w:t>生物反应器内能维持高浓度的微生物量，处理装置容积负荷高，占地面积大大节省；该工艺流程简单、结构紧凑、占地面积省，不受设置场所限制，适合于任何场合，可做成地面式、半地下式和地下式。</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可去除氨氮及难降解有机物：</w:t>
            </w:r>
            <w:r>
              <w:rPr>
                <w:color w:val="auto"/>
                <w:sz w:val="24"/>
                <w:szCs w:val="24"/>
                <w:highlight w:val="none"/>
                <w:lang w:bidi="ar"/>
              </w:rPr>
              <w:t>由于微生物被完全截流在生物反应器内，从而有利于增殖缓慢的微生物如硝化细菌的截留生长，系统硝化效率得以提高。同时，可增长一些难降解的有机物在系统中的水力停留时间，有利于难降解有机物降解效率的提高。</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操作管理方便，易于实现自动控制：</w:t>
            </w:r>
            <w:r>
              <w:rPr>
                <w:color w:val="auto"/>
                <w:sz w:val="24"/>
                <w:szCs w:val="24"/>
                <w:highlight w:val="none"/>
                <w:lang w:bidi="ar"/>
              </w:rPr>
              <w:t>该工艺实现了水力停留时间（HRT）与污泥停留时间（SRT）的完全分离，运行控制更加灵活稳定，是污水处理中容易实现装备化的新技术，可实现微机自动控制，从而使操作管理更为方便。</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易于从传统工艺进行改造：</w:t>
            </w:r>
            <w:r>
              <w:rPr>
                <w:color w:val="auto"/>
                <w:sz w:val="24"/>
                <w:szCs w:val="24"/>
                <w:highlight w:val="none"/>
                <w:lang w:bidi="ar"/>
              </w:rPr>
              <w:t>该工艺可以作为传统污水处理工艺的深度处理单元，在城市二级污水处理厂出水深度处理（从而实现城市污水的大量回用）等领域有着广阔的应用前景。</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膜生物反应器也存在一些不足。主要表现在以下几个方面：</w:t>
            </w:r>
            <w:r>
              <w:rPr>
                <w:color w:val="auto"/>
                <w:sz w:val="24"/>
                <w:szCs w:val="24"/>
                <w:highlight w:val="none"/>
                <w:lang w:bidi="ar"/>
              </w:rPr>
              <w:t>膜造价高，使膜-生物反应器的基建投资高于传统污水处理工艺；膜污染容易出现，给操作管理带来不便；能耗高，首先MBR泥水分离过程必须保持一定的膜驱动压力，其次是MBR池中MLSS浓度非常高，要保持足够的传氧速率，必须加大曝气强度，还有为了加大膜通量、减轻膜污染，必须增大流速，冲刷膜表面，造成MBR的能耗要比传统的生物处理工艺高。</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③MBBR移动床生物膜工艺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bookmarkStart w:id="2" w:name="_Toc514787168"/>
            <w:bookmarkStart w:id="3" w:name="_Toc514787152"/>
            <w:r>
              <w:rPr>
                <w:color w:val="auto"/>
                <w:sz w:val="24"/>
                <w:szCs w:val="24"/>
                <w:highlight w:val="none"/>
                <w:lang w:bidi="ar"/>
              </w:rPr>
              <w:t>MBBR移动床生物膜工艺吸取了传统的活性污泥法和生物接触氧化法两者的优点而成为一种新型、高效的复合工艺处理方法。其核心部分就是以比重接近水的悬浮填料直接投加到曝气池中作为微生物的活性载体，依靠曝气池内的曝气和水流的提升作用而处于流化状态，当微生物附着在载体上，漂浮的载体在反应器内随着混合液的回旋翻转作用而自由移动，从而达到污水处理的目的。作为悬浮生长的活性污泥法和附着生长的生物膜法相结合的一种工艺，MBBR法兼具两者的优点：占地少—在相同的负荷条件下它只需要普通氧化池20%的容积；微生物附着在载体上随水流流动所以不需活性污泥回流或循环反冲洗；载体生物不断脱落，避免堵塞；有机负荷高、耐冲击负荷能力强，所以出水水质稳定；水头损失小、动力消耗低，运行简单，操作管理容易；同时适用于改造工程等。MBBR法已经作为一种成熟的工艺广泛应用于造纸废水、食品工业废水、屠宰废水、炼油废水等工业废水中，同时也可以处理城市生活污水以及城市废水与工业废水的混合污水。许多工程实例表明，用MBBR法处理污水效果良好。</w:t>
            </w:r>
          </w:p>
          <w:bookmarkEnd w:id="2"/>
          <w:bookmarkEnd w:id="3"/>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MBBR工艺的原理：</w:t>
            </w:r>
            <w:r>
              <w:rPr>
                <w:color w:val="auto"/>
                <w:sz w:val="24"/>
                <w:szCs w:val="24"/>
                <w:highlight w:val="none"/>
                <w:lang w:bidi="ar"/>
              </w:rPr>
              <w:t>MBBR工艺原理是通过向反应器中投加一定数量的悬浮载体，提高反应器中的生物量及生物种类，从而提高反应器的处理效率。由于填料密度接近于水，所以在曝气的时候，与水呈完全混合状态，微生物生长的环境为气、液、固三相。载体在水中的碰撞和剪切作用，使空气气泡更加细小，增加了氧气的利用率。另外，每个载体内外均具有不同的生物种类，内部生长一些厌氧菌或兼氧菌，外部为好养菌，这样每个载体都为一个微型反应器，使硝化反应和反硝化反应同时存在，从而提高了处理效果。</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与其他生物膜反应器相比，MBBR最大的不同就是他结合了活性污泥法和生物膜法诸多优点，同时尽可能的避免了他们的缺点：</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与其他淹没式生物膜反应器一样，MBBR能形成高度专性的活性生物膜并适应反应器内的环境，高度转型的活性生物膜反应器单位体积的效率较高，并增加了工艺的稳定性。从而减少了反应器的体积。</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与其他淹没式生物膜反应器不同，MBBR是污水连续通过的工艺，无需为了保证效果和产水量所需的载体反冲洗，因此减少了水头和运行的负责性；</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MBBR的灵活性和工艺流程与活性污泥法非常相似，可将多个反应器沿着水流反向顺序布置（串联），以满足多种处理目标。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MBBR的大多数活性生物量持续滞留在反应器内，其生物作用与泥水分离无关，而出水体浓度至少比反应器内的固体浓度低一个数量级，因此除了传统的沉淀池外，MBBR可采用各种不同的固液分离工艺。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MBBR具有多样性，反应器采用不同的几何形式，非常适合既有池子改造。</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本项目中脱磷是项目一个比较高的要求，且占地受限，本着节约占地、节省投资和运行费用等综合考虑，</w:t>
            </w:r>
            <w:r>
              <w:rPr>
                <w:b/>
                <w:bCs/>
                <w:color w:val="auto"/>
                <w:sz w:val="24"/>
                <w:szCs w:val="24"/>
                <w:highlight w:val="none"/>
                <w:u w:val="single"/>
                <w:lang w:bidi="ar"/>
              </w:rPr>
              <w:t>因此这里推荐采用MBBR移动床生物膜工艺。</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5</w:t>
            </w:r>
            <w:r>
              <w:rPr>
                <w:b/>
                <w:bCs/>
                <w:color w:val="auto"/>
                <w:sz w:val="24"/>
                <w:szCs w:val="24"/>
                <w:highlight w:val="none"/>
                <w:lang w:bidi="ar"/>
              </w:rPr>
              <w:t>）深度处理工艺论证</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深度处理的工艺流程，视处理目的和要求的不同，可为以下工艺的组合：混凝沉淀、过滤、活性炭吸附、臭氧化等生物除氮、离子交换、电渗析、反渗透等。</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bookmarkStart w:id="4" w:name="_Toc374372650"/>
            <w:r>
              <w:rPr>
                <w:color w:val="auto"/>
                <w:sz w:val="24"/>
                <w:szCs w:val="24"/>
                <w:highlight w:val="none"/>
                <w:lang w:bidi="ar"/>
              </w:rPr>
              <w:t>①混凝沉淀</w:t>
            </w:r>
            <w:bookmarkEnd w:id="4"/>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在城市污水的深度处理中，混凝沉淀起到的作用包括进一步去除悬浮物、BOD及除磷。因污水中的磷酸盐大部分为可溶性，一级处理去除很少，一般的二级处理也只能去除20%左右，强化二级处理则可大幅度提高磷去除率至50～75%。混凝沉淀能除磷90～95%，是有效的除磷方法。另外，混凝沉淀还能去除污水中的乳化油和其他工业水污染物。</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②过滤</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过滤在深度处理中的作用为：进一步去除二级处理后水中生物絮体和胶体物质，显著降低出水的悬浮物含量和浊度，能使出水清澈透明，为出水的安全回用提供保证；增加以下指标的去除效率：悬浮固体、浊度、磷、BOD、COD、重金属、细菌、病毒和其他物质；</w:t>
            </w:r>
            <w:bookmarkStart w:id="5" w:name="_Toc374372651"/>
            <w:r>
              <w:rPr>
                <w:color w:val="auto"/>
                <w:sz w:val="24"/>
                <w:szCs w:val="24"/>
                <w:highlight w:val="none"/>
                <w:lang w:bidi="ar"/>
              </w:rPr>
              <w:t>去除化学絮凝过程中产生的铁盐、铝盐、石灰等沉积物；</w:t>
            </w:r>
            <w:bookmarkEnd w:id="5"/>
            <w:r>
              <w:rPr>
                <w:color w:val="auto"/>
                <w:sz w:val="24"/>
                <w:szCs w:val="24"/>
                <w:highlight w:val="none"/>
                <w:lang w:bidi="ar"/>
              </w:rPr>
              <w:t>去除化学法除磷时水中不溶性磷；由于去除了悬浮物和其他干扰物质，因而可增进消毒效率，并降低消毒剂用量；在深度处理工艺中，过滤能克服生物和化学处理的不规则性，从而提高回用的连续性和可靠性。</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bookmarkStart w:id="6" w:name="_Toc374372652"/>
            <w:r>
              <w:rPr>
                <w:color w:val="auto"/>
                <w:sz w:val="24"/>
                <w:szCs w:val="24"/>
                <w:highlight w:val="none"/>
                <w:lang w:bidi="ar"/>
              </w:rPr>
              <w:t>③活性炭吸附</w:t>
            </w:r>
            <w:bookmarkEnd w:id="6"/>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活性炭在城市污水深度处理中的作用，主要是去除生物法所不能去除的某些溶解有机物。活性炭还能去除痕量重金属。</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bookmarkStart w:id="7" w:name="_Toc374372653"/>
            <w:r>
              <w:rPr>
                <w:color w:val="auto"/>
                <w:sz w:val="24"/>
                <w:szCs w:val="24"/>
                <w:highlight w:val="none"/>
                <w:lang w:bidi="ar"/>
              </w:rPr>
              <w:t>④臭氧氧化</w:t>
            </w:r>
            <w:bookmarkEnd w:id="7"/>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臭氧是一种强氧化剂，也是一种有效的消毒药剂。主要是提高卫生指标和去除一些重金属。其主要作用包括：杀菌能力非常强，能杀死氯所不能杀死的病毒和胞囊；能氧化多种有机物和无机物，如酚、氧化物、铁和锰等；去除水中的臭和味。</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根据二级处理水进行深度处理的去除对象，采用的主要处理方法列于下表：</w:t>
            </w:r>
          </w:p>
          <w:p>
            <w:pPr>
              <w:pageBreakBefore w:val="0"/>
              <w:kinsoku/>
              <w:wordWrap/>
              <w:topLinePunct w:val="0"/>
              <w:autoSpaceDE w:val="0"/>
              <w:autoSpaceDN w:val="0"/>
              <w:bidi w:val="0"/>
              <w:adjustRightInd w:val="0"/>
              <w:snapToGrid w:val="0"/>
              <w:spacing w:line="360" w:lineRule="auto"/>
              <w:ind w:left="0" w:leftChars="0" w:right="0" w:rightChars="0"/>
              <w:jc w:val="center"/>
              <w:rPr>
                <w:rFonts w:eastAsia="黑体"/>
                <w:bCs/>
                <w:snapToGrid w:val="0"/>
                <w:color w:val="auto"/>
                <w:szCs w:val="18"/>
                <w:highlight w:val="none"/>
                <w:lang w:bidi="ar"/>
              </w:rPr>
            </w:pPr>
            <w:r>
              <w:rPr>
                <w:rFonts w:eastAsia="黑体"/>
                <w:bCs/>
                <w:snapToGrid w:val="0"/>
                <w:color w:val="auto"/>
                <w:szCs w:val="18"/>
                <w:highlight w:val="none"/>
                <w:lang w:bidi="ar"/>
              </w:rPr>
              <w:t>表2-13</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二级处理水深度处理去除对象和所采用的处理技术</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16"/>
              <w:gridCol w:w="2253"/>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6" w:type="pct"/>
                  <w:gridSpan w:val="2"/>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去除对象</w:t>
                  </w:r>
                </w:p>
              </w:tc>
              <w:tc>
                <w:tcPr>
                  <w:tcW w:w="1224" w:type="pc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有关指标</w:t>
                  </w:r>
                </w:p>
              </w:tc>
              <w:tc>
                <w:tcPr>
                  <w:tcW w:w="2459" w:type="pct"/>
                  <w:vAlign w:val="center"/>
                </w:tcPr>
                <w:p>
                  <w:pPr>
                    <w:pStyle w:val="53"/>
                    <w:pageBreakBefore w:val="0"/>
                    <w:kinsoku/>
                    <w:wordWrap/>
                    <w:topLinePunct w:val="0"/>
                    <w:bidi w:val="0"/>
                    <w:spacing w:line="240" w:lineRule="auto"/>
                    <w:ind w:left="0" w:leftChars="0" w:right="0" w:rightChars="0"/>
                    <w:rPr>
                      <w:b/>
                      <w:bCs/>
                      <w:color w:val="auto"/>
                      <w:szCs w:val="21"/>
                      <w:highlight w:val="none"/>
                    </w:rPr>
                  </w:pPr>
                  <w:r>
                    <w:rPr>
                      <w:b/>
                      <w:bCs/>
                      <w:color w:val="auto"/>
                      <w:szCs w:val="21"/>
                      <w:highlight w:val="none"/>
                    </w:rPr>
                    <w:t>采用的主要处理技术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1" w:type="pct"/>
                  <w:vMerge w:val="restar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有机物</w:t>
                  </w:r>
                </w:p>
              </w:tc>
              <w:tc>
                <w:tcPr>
                  <w:tcW w:w="71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悬浮状态</w:t>
                  </w:r>
                </w:p>
              </w:tc>
              <w:tc>
                <w:tcPr>
                  <w:tcW w:w="122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SS、VSS</w:t>
                  </w: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过滤、混凝沉淀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1" w:type="pct"/>
                  <w:vMerge w:val="continue"/>
                  <w:vAlign w:val="center"/>
                </w:tcPr>
                <w:p>
                  <w:pPr>
                    <w:pStyle w:val="53"/>
                    <w:pageBreakBefore w:val="0"/>
                    <w:kinsoku/>
                    <w:wordWrap/>
                    <w:topLinePunct w:val="0"/>
                    <w:bidi w:val="0"/>
                    <w:spacing w:line="240" w:lineRule="auto"/>
                    <w:ind w:left="0" w:leftChars="0" w:right="0" w:rightChars="0"/>
                    <w:rPr>
                      <w:color w:val="auto"/>
                      <w:szCs w:val="21"/>
                      <w:highlight w:val="none"/>
                    </w:rPr>
                  </w:pPr>
                </w:p>
              </w:tc>
              <w:tc>
                <w:tcPr>
                  <w:tcW w:w="71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溶解状态</w:t>
                  </w:r>
                </w:p>
              </w:tc>
              <w:tc>
                <w:tcPr>
                  <w:tcW w:w="122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BOD、COD、TOC、TOD</w:t>
                  </w: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混凝沉淀、活性炭吸附、臭氧氧化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1" w:type="pct"/>
                  <w:vMerge w:val="restar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植物性营养盐类</w:t>
                  </w:r>
                </w:p>
              </w:tc>
              <w:tc>
                <w:tcPr>
                  <w:tcW w:w="714" w:type="pct"/>
                  <w:vMerge w:val="restar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氮</w:t>
                  </w:r>
                </w:p>
              </w:tc>
              <w:tc>
                <w:tcPr>
                  <w:tcW w:w="1224" w:type="pct"/>
                  <w:vMerge w:val="restar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T-N、K-N、NH</w:t>
                  </w:r>
                  <w:r>
                    <w:rPr>
                      <w:color w:val="auto"/>
                      <w:szCs w:val="21"/>
                      <w:highlight w:val="none"/>
                      <w:vertAlign w:val="subscript"/>
                    </w:rPr>
                    <w:t>3</w:t>
                  </w:r>
                  <w:r>
                    <w:rPr>
                      <w:color w:val="auto"/>
                      <w:szCs w:val="21"/>
                      <w:highlight w:val="none"/>
                    </w:rPr>
                    <w:t>-N、NO</w:t>
                  </w:r>
                  <w:r>
                    <w:rPr>
                      <w:color w:val="auto"/>
                      <w:szCs w:val="21"/>
                      <w:highlight w:val="none"/>
                      <w:vertAlign w:val="subscript"/>
                    </w:rPr>
                    <w:t>2</w:t>
                  </w:r>
                  <w:r>
                    <w:rPr>
                      <w:color w:val="auto"/>
                      <w:szCs w:val="21"/>
                      <w:highlight w:val="none"/>
                    </w:rPr>
                    <w:t>-N、NO</w:t>
                  </w:r>
                  <w:r>
                    <w:rPr>
                      <w:color w:val="auto"/>
                      <w:szCs w:val="21"/>
                      <w:highlight w:val="none"/>
                      <w:vertAlign w:val="subscript"/>
                    </w:rPr>
                    <w:t>3</w:t>
                  </w:r>
                  <w:r>
                    <w:rPr>
                      <w:color w:val="auto"/>
                      <w:szCs w:val="21"/>
                      <w:highlight w:val="none"/>
                    </w:rPr>
                    <w:t>-N</w:t>
                  </w: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吹脱、折点氯化、生物脱氮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1" w:type="pct"/>
                  <w:vMerge w:val="continue"/>
                  <w:vAlign w:val="center"/>
                </w:tcPr>
                <w:p>
                  <w:pPr>
                    <w:pStyle w:val="53"/>
                    <w:pageBreakBefore w:val="0"/>
                    <w:kinsoku/>
                    <w:wordWrap/>
                    <w:topLinePunct w:val="0"/>
                    <w:bidi w:val="0"/>
                    <w:spacing w:line="240" w:lineRule="auto"/>
                    <w:ind w:left="0" w:leftChars="0" w:right="0" w:rightChars="0"/>
                    <w:rPr>
                      <w:color w:val="auto"/>
                      <w:szCs w:val="21"/>
                      <w:highlight w:val="none"/>
                    </w:rPr>
                  </w:pPr>
                </w:p>
              </w:tc>
              <w:tc>
                <w:tcPr>
                  <w:tcW w:w="714" w:type="pct"/>
                  <w:vMerge w:val="continue"/>
                  <w:vAlign w:val="center"/>
                </w:tcPr>
                <w:p>
                  <w:pPr>
                    <w:pStyle w:val="53"/>
                    <w:pageBreakBefore w:val="0"/>
                    <w:kinsoku/>
                    <w:wordWrap/>
                    <w:topLinePunct w:val="0"/>
                    <w:bidi w:val="0"/>
                    <w:spacing w:line="240" w:lineRule="auto"/>
                    <w:ind w:left="0" w:leftChars="0" w:right="0" w:rightChars="0"/>
                    <w:rPr>
                      <w:color w:val="auto"/>
                      <w:szCs w:val="21"/>
                      <w:highlight w:val="none"/>
                    </w:rPr>
                  </w:pPr>
                </w:p>
              </w:tc>
              <w:tc>
                <w:tcPr>
                  <w:tcW w:w="1224" w:type="pct"/>
                  <w:vMerge w:val="continue"/>
                  <w:vAlign w:val="center"/>
                </w:tcPr>
                <w:p>
                  <w:pPr>
                    <w:pStyle w:val="53"/>
                    <w:pageBreakBefore w:val="0"/>
                    <w:kinsoku/>
                    <w:wordWrap/>
                    <w:topLinePunct w:val="0"/>
                    <w:bidi w:val="0"/>
                    <w:spacing w:line="240" w:lineRule="auto"/>
                    <w:ind w:left="0" w:leftChars="0" w:right="0" w:rightChars="0"/>
                    <w:rPr>
                      <w:color w:val="auto"/>
                      <w:szCs w:val="21"/>
                      <w:highlight w:val="none"/>
                    </w:rPr>
                  </w:pP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生物脱氮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01" w:type="pct"/>
                  <w:vMerge w:val="continue"/>
                  <w:vAlign w:val="center"/>
                </w:tcPr>
                <w:p>
                  <w:pPr>
                    <w:pStyle w:val="53"/>
                    <w:pageBreakBefore w:val="0"/>
                    <w:kinsoku/>
                    <w:wordWrap/>
                    <w:topLinePunct w:val="0"/>
                    <w:bidi w:val="0"/>
                    <w:spacing w:line="240" w:lineRule="auto"/>
                    <w:ind w:left="0" w:leftChars="0" w:right="0" w:rightChars="0"/>
                    <w:rPr>
                      <w:color w:val="auto"/>
                      <w:szCs w:val="21"/>
                      <w:highlight w:val="none"/>
                    </w:rPr>
                  </w:pPr>
                </w:p>
              </w:tc>
              <w:tc>
                <w:tcPr>
                  <w:tcW w:w="71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磷</w:t>
                  </w:r>
                </w:p>
              </w:tc>
              <w:tc>
                <w:tcPr>
                  <w:tcW w:w="122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PO</w:t>
                  </w:r>
                  <w:r>
                    <w:rPr>
                      <w:color w:val="auto"/>
                      <w:szCs w:val="21"/>
                      <w:highlight w:val="none"/>
                      <w:vertAlign w:val="subscript"/>
                    </w:rPr>
                    <w:t>4</w:t>
                  </w:r>
                  <w:r>
                    <w:rPr>
                      <w:color w:val="auto"/>
                      <w:szCs w:val="21"/>
                      <w:highlight w:val="none"/>
                    </w:rPr>
                    <w:t>-P、T-P</w:t>
                  </w: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金属盐混凝沉淀石灰混凝沉淀、晶析法、生物除磷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1" w:type="pct"/>
                  <w:vMerge w:val="restar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微量成分</w:t>
                  </w:r>
                </w:p>
              </w:tc>
              <w:tc>
                <w:tcPr>
                  <w:tcW w:w="71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溶解性无机物无机盐类</w:t>
                  </w:r>
                </w:p>
              </w:tc>
              <w:tc>
                <w:tcPr>
                  <w:tcW w:w="122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电导度、Na、Ca、Cl离子</w:t>
                  </w: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反渗透、电渗析、离子交换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1" w:type="pct"/>
                  <w:vMerge w:val="continue"/>
                  <w:vAlign w:val="center"/>
                </w:tcPr>
                <w:p>
                  <w:pPr>
                    <w:pStyle w:val="53"/>
                    <w:pageBreakBefore w:val="0"/>
                    <w:kinsoku/>
                    <w:wordWrap/>
                    <w:topLinePunct w:val="0"/>
                    <w:bidi w:val="0"/>
                    <w:spacing w:line="240" w:lineRule="auto"/>
                    <w:ind w:left="0" w:leftChars="0" w:right="0" w:rightChars="0"/>
                    <w:rPr>
                      <w:color w:val="auto"/>
                      <w:szCs w:val="21"/>
                      <w:highlight w:val="none"/>
                    </w:rPr>
                  </w:pPr>
                </w:p>
              </w:tc>
              <w:tc>
                <w:tcPr>
                  <w:tcW w:w="71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微生物</w:t>
                  </w:r>
                </w:p>
              </w:tc>
              <w:tc>
                <w:tcPr>
                  <w:tcW w:w="1224"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细菌病毒</w:t>
                  </w:r>
                </w:p>
              </w:tc>
              <w:tc>
                <w:tcPr>
                  <w:tcW w:w="2459" w:type="pct"/>
                  <w:vAlign w:val="center"/>
                </w:tcPr>
                <w:p>
                  <w:pPr>
                    <w:pStyle w:val="53"/>
                    <w:pageBreakBefore w:val="0"/>
                    <w:kinsoku/>
                    <w:wordWrap/>
                    <w:topLinePunct w:val="0"/>
                    <w:bidi w:val="0"/>
                    <w:spacing w:line="240" w:lineRule="auto"/>
                    <w:ind w:left="0" w:leftChars="0" w:right="0" w:rightChars="0"/>
                    <w:rPr>
                      <w:color w:val="auto"/>
                      <w:szCs w:val="21"/>
                      <w:highlight w:val="none"/>
                    </w:rPr>
                  </w:pPr>
                  <w:r>
                    <w:rPr>
                      <w:color w:val="auto"/>
                      <w:szCs w:val="21"/>
                      <w:highlight w:val="none"/>
                    </w:rPr>
                    <w:t>臭氧氧化、消毒（氯气、次氯酸钠、紫外线）</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污水厂出水中悬浮物浓度不仅涉及到出水SS指标，出水中的BOD</w:t>
            </w:r>
            <w:r>
              <w:rPr>
                <w:color w:val="auto"/>
                <w:sz w:val="24"/>
                <w:szCs w:val="24"/>
                <w:highlight w:val="none"/>
                <w:vertAlign w:val="subscript"/>
                <w:lang w:bidi="ar"/>
              </w:rPr>
              <w:t>5</w:t>
            </w:r>
            <w:r>
              <w:rPr>
                <w:color w:val="auto"/>
                <w:sz w:val="24"/>
                <w:szCs w:val="24"/>
                <w:highlight w:val="none"/>
                <w:lang w:bidi="ar"/>
              </w:rPr>
              <w:t>、CODcr、T-P等指标也与之有关。因此，降低SS值不只是单纯地使SS值指标合格，同时会更进一步地去掉BOD</w:t>
            </w:r>
            <w:r>
              <w:rPr>
                <w:color w:val="auto"/>
                <w:sz w:val="24"/>
                <w:szCs w:val="24"/>
                <w:highlight w:val="none"/>
                <w:vertAlign w:val="subscript"/>
                <w:lang w:bidi="ar"/>
              </w:rPr>
              <w:t>5</w:t>
            </w:r>
            <w:r>
              <w:rPr>
                <w:color w:val="auto"/>
                <w:sz w:val="24"/>
                <w:szCs w:val="24"/>
                <w:highlight w:val="none"/>
                <w:lang w:bidi="ar"/>
              </w:rPr>
              <w:t>、P及其他污染物。所以，本工程深度处理应以SS的去除作为重点目标。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从上表和前节论述中可以看到，过滤及混凝沉淀是去除SS、VSS的主要技术手段。根据众多污水厂、给水厂的运行经验，采用沉淀的方式可达到有效去除悬浮物的目的。</w:t>
            </w:r>
            <w:r>
              <w:rPr>
                <w:b/>
                <w:bCs/>
                <w:color w:val="auto"/>
                <w:sz w:val="24"/>
                <w:szCs w:val="24"/>
                <w:highlight w:val="none"/>
                <w:u w:val="single"/>
                <w:lang w:bidi="ar"/>
              </w:rPr>
              <w:t>因此本工程设计采用絮凝+过滤的方案</w:t>
            </w:r>
            <w:r>
              <w:rPr>
                <w:color w:val="auto"/>
                <w:sz w:val="24"/>
                <w:szCs w:val="24"/>
                <w:highlight w:val="none"/>
                <w:lang w:bidi="ar"/>
              </w:rPr>
              <w:t>，该方法处理效果好，运行可靠，有成熟经验，费用较省。</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6</w:t>
            </w:r>
            <w:r>
              <w:rPr>
                <w:b/>
                <w:bCs/>
                <w:color w:val="auto"/>
                <w:sz w:val="24"/>
                <w:szCs w:val="24"/>
                <w:highlight w:val="none"/>
                <w:lang w:bidi="ar"/>
              </w:rPr>
              <w:t>）消毒工艺</w:t>
            </w:r>
          </w:p>
          <w:p>
            <w:pPr>
              <w:pageBreakBefore w:val="0"/>
              <w:kinsoku/>
              <w:wordWrap/>
              <w:topLinePunct w:val="0"/>
              <w:bidi w:val="0"/>
              <w:spacing w:line="360" w:lineRule="auto"/>
              <w:ind w:left="0" w:leftChars="0" w:right="0" w:rightChars="0" w:firstLine="480" w:firstLineChars="200"/>
              <w:rPr>
                <w:b/>
                <w:bCs/>
                <w:color w:val="auto"/>
                <w:sz w:val="24"/>
                <w:szCs w:val="24"/>
                <w:highlight w:val="none"/>
                <w:u w:val="single"/>
                <w:lang w:bidi="ar"/>
              </w:rPr>
            </w:pPr>
            <w:r>
              <w:rPr>
                <w:color w:val="auto"/>
                <w:sz w:val="24"/>
                <w:szCs w:val="24"/>
                <w:highlight w:val="none"/>
                <w:lang w:bidi="ar"/>
              </w:rPr>
              <w:t>污水经深度处理后，水质已经得到改善，但处理水中仍含有大量的致病细菌和寄生虫卵。根据国家《城镇污水处理厂污染物排放标准》（GB18918-2002）的要求，污水处理厂出水必须进行消毒处理。</w:t>
            </w:r>
            <w:r>
              <w:rPr>
                <w:b/>
                <w:bCs/>
                <w:color w:val="auto"/>
                <w:sz w:val="24"/>
                <w:szCs w:val="24"/>
                <w:highlight w:val="none"/>
                <w:u w:val="single"/>
                <w:lang w:bidi="ar"/>
              </w:rPr>
              <w:t>本工程消毒仍然采用现状紫外线消毒方式。</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细菌受紫外光照射后，紫外光谱能量为细菌核酸所吸收，使核酸结构破坏，从而达到消毒的目的。紫外线消毒具有广谱消毒效果、速度快、接触时间短，反应快速、效率高，无需投加任何化学药剂，不影响水的物理性质和化学成分，不增加水的臭和味，占地小，操作简单，便于管理，易于实现自动化。</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w:t>
            </w:r>
            <w:r>
              <w:rPr>
                <w:rFonts w:hint="eastAsia"/>
                <w:b/>
                <w:bCs/>
                <w:color w:val="auto"/>
                <w:sz w:val="24"/>
                <w:szCs w:val="24"/>
                <w:highlight w:val="none"/>
                <w:lang w:val="en-US" w:eastAsia="zh-CN" w:bidi="ar"/>
              </w:rPr>
              <w:t>7</w:t>
            </w:r>
            <w:r>
              <w:rPr>
                <w:b/>
                <w:bCs/>
                <w:color w:val="auto"/>
                <w:sz w:val="24"/>
                <w:szCs w:val="24"/>
                <w:highlight w:val="none"/>
                <w:lang w:bidi="ar"/>
              </w:rPr>
              <w:t>）污泥处理处置工艺论证</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①污泥处理要求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污水处理过程中产生的污泥，有机物含量较高且不易稳定，易腐化，并含有寄生虫卵，处理不好将造成二次污染，故必须妥善处理。</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污泥处理的要求：</w:t>
            </w:r>
            <w:r>
              <w:rPr>
                <w:color w:val="auto"/>
                <w:sz w:val="24"/>
                <w:szCs w:val="24"/>
                <w:highlight w:val="none"/>
                <w:lang w:bidi="ar"/>
              </w:rPr>
              <w:t>减少有机物，使污泥稳定化；减少污泥体积，降低污泥后续处置费用，使污泥减量化；减少污泥有害物质，杀灭寄生虫卵和病原微生物，使污泥无害化；利用污泥中可用物质，化害为利、循环利用、保护环境，使污泥资源化；因选用生物脱氮除磷工艺，故尽量避免磷的二次污染。</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②污泥处理工艺选择</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A.污泥消化</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污泥消化可分为好氧消化和厌氧消化两种形式，好氧消化需要消耗大量的能源，一般采用较少。目前使用得较多的是厌氧消化。</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污泥消化的最大优点就是使污泥得到充分的稳定，避免在处置过程中造成二次污染。污泥消化同时也存在如下缺点：</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污泥消化池系统中，由于污泥停留时间长、消化池产生的沼气需设沼气罐储存，所以占地大，另外对消防、防爆要求高。对于生物除磷工艺，还会导致磷的二次释放。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消化池系统投资高、管理复杂，目前已建成的消化池系统的投资折合成贷款，其利息及管理费就使沼气成本每m</w:t>
            </w:r>
            <w:r>
              <w:rPr>
                <w:color w:val="auto"/>
                <w:sz w:val="24"/>
                <w:szCs w:val="24"/>
                <w:highlight w:val="none"/>
                <w:vertAlign w:val="superscript"/>
                <w:lang w:bidi="ar"/>
              </w:rPr>
              <w:t>3</w:t>
            </w:r>
            <w:r>
              <w:rPr>
                <w:color w:val="auto"/>
                <w:sz w:val="24"/>
                <w:szCs w:val="24"/>
                <w:highlight w:val="none"/>
                <w:lang w:bidi="ar"/>
              </w:rPr>
              <w:t>超过1元。</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沼气商品化存在困难。由于其产量不稳定、产气率低，无法作为商品燃气供应市场；另一方面，由于其成本高，作为商品无利可图，目前大部份有消化池的污水处理厂的沼气，多是自用和放空。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要求污泥达到灭菌和无害化，必须采用高温消化，而高温消化，污泥必须加热。加热系统不但需要资金，而且管理也麻烦，系统的维护工作量大。目前国内有些建有消化池系统的污水处理厂，采用常温消化（设计为中温消化），这种消化系统不能使污泥达到灭菌和无害化。</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就本项目而言，规模较小，采用污泥消化的费效比相当低，实际上国内也有专家指出，对于规模小于10×10</w:t>
            </w:r>
            <w:r>
              <w:rPr>
                <w:color w:val="auto"/>
                <w:sz w:val="24"/>
                <w:szCs w:val="24"/>
                <w:highlight w:val="none"/>
                <w:vertAlign w:val="superscript"/>
                <w:lang w:bidi="ar"/>
              </w:rPr>
              <w:t>4</w:t>
            </w:r>
            <w:r>
              <w:rPr>
                <w:color w:val="auto"/>
                <w:sz w:val="24"/>
                <w:szCs w:val="24"/>
                <w:highlight w:val="none"/>
                <w:lang w:bidi="ar"/>
              </w:rPr>
              <w:t>m</w:t>
            </w:r>
            <w:r>
              <w:rPr>
                <w:color w:val="auto"/>
                <w:sz w:val="24"/>
                <w:szCs w:val="24"/>
                <w:highlight w:val="none"/>
                <w:vertAlign w:val="superscript"/>
                <w:lang w:bidi="ar"/>
              </w:rPr>
              <w:t>3</w:t>
            </w:r>
            <w:r>
              <w:rPr>
                <w:color w:val="auto"/>
                <w:sz w:val="24"/>
                <w:szCs w:val="24"/>
                <w:highlight w:val="none"/>
                <w:lang w:bidi="ar"/>
              </w:rPr>
              <w:t>/d的污水厂，污泥采用厌氧消化都是不经济的。另一方面，在污水处理中，反应池系统泥龄（硝化及反硝化）&gt;12d，好氧泥龄约10d，可以认为污泥已得到基本的稳定。同时国内许多已建成的污水处理厂，采用生物脱氮除磷工艺，产生的污泥直接浓缩脱水，其效果（主要指泥饼含水率）与经消化后脱水相近。因此经过好氧稳定的污泥，直接浓缩脱水是可行的。由于该种方式总体效果较好，目前已在中、小型城市污水处理厂中得到广泛应用。</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综上所述，本项目污泥拟采用直接浓缩脱水，不经消化。</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B.污泥处理工艺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不须消化的污泥处理工艺有两种方式，一是重力浓缩、机械脱水；一是机械浓缩、机械脱水。两种方式比较见下表。</w:t>
            </w:r>
          </w:p>
          <w:p>
            <w:pPr>
              <w:pageBreakBefore w:val="0"/>
              <w:kinsoku/>
              <w:wordWrap/>
              <w:topLinePunct w:val="0"/>
              <w:autoSpaceDE w:val="0"/>
              <w:autoSpaceDN w:val="0"/>
              <w:bidi w:val="0"/>
              <w:adjustRightInd w:val="0"/>
              <w:snapToGrid w:val="0"/>
              <w:spacing w:line="360" w:lineRule="auto"/>
              <w:ind w:left="0" w:leftChars="0" w:right="0" w:rightChars="0"/>
              <w:jc w:val="center"/>
              <w:rPr>
                <w:rFonts w:eastAsia="黑体"/>
                <w:bCs/>
                <w:snapToGrid w:val="0"/>
                <w:color w:val="auto"/>
                <w:szCs w:val="18"/>
                <w:highlight w:val="none"/>
                <w:lang w:bidi="ar"/>
              </w:rPr>
            </w:pPr>
            <w:r>
              <w:rPr>
                <w:rFonts w:eastAsia="黑体"/>
                <w:bCs/>
                <w:snapToGrid w:val="0"/>
                <w:color w:val="auto"/>
                <w:szCs w:val="18"/>
                <w:highlight w:val="none"/>
                <w:lang w:bidi="ar"/>
              </w:rPr>
              <w:t>表2-14</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污泥浓缩脱水方式比较表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98"/>
              <w:gridCol w:w="3197"/>
              <w:gridCol w:w="3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项目</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机械浓缩、脱水</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重力浓缩、机械脱水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主要构（建）筑物</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1．污泥贮泥池</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2．浓缩、脱水机房</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3．污泥堆棚</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1．污泥浓缩池</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2．脱水机房</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3．污泥堆棚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主要设备</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1．污泥浓缩、脱水机</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2．加药设备</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1．浓缩池刮泥机</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2．脱水机</w:t>
                  </w:r>
                </w:p>
                <w:p>
                  <w:pPr>
                    <w:pStyle w:val="53"/>
                    <w:pageBreakBefore w:val="0"/>
                    <w:kinsoku/>
                    <w:wordWrap/>
                    <w:topLinePunct w:val="0"/>
                    <w:bidi w:val="0"/>
                    <w:spacing w:line="240" w:lineRule="auto"/>
                    <w:ind w:left="0" w:leftChars="0" w:right="0" w:rightChars="0"/>
                    <w:jc w:val="left"/>
                    <w:rPr>
                      <w:color w:val="auto"/>
                      <w:highlight w:val="none"/>
                    </w:rPr>
                  </w:pPr>
                  <w:r>
                    <w:rPr>
                      <w:color w:val="auto"/>
                      <w:highlight w:val="none"/>
                    </w:rPr>
                    <w:t>3．加药设备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小</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总絮凝剂用量</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3.5～5.5kg/T·DS</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≤3.5kg/T·DS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对环境影响</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无大的污泥敞开式构筑物，对周围环境影响小</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污泥浓缩池露天布置，气味难闻，对周围环境影大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总土建费用</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小</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总设备费用</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一般</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2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对剩余污泥中磷的二次污染</w:t>
                  </w:r>
                </w:p>
              </w:tc>
              <w:tc>
                <w:tcPr>
                  <w:tcW w:w="173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无污染</w:t>
                  </w:r>
                </w:p>
              </w:tc>
              <w:tc>
                <w:tcPr>
                  <w:tcW w:w="1741"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有污染</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两种方式均能达到80%的含水率，但从比较表中可以看出，采用机械浓缩、脱水处理工艺在占地、环境保护、投资以及除磷方面具有比较明显的优势，因此本工程推荐采用机械浓缩、脱水工艺。</w:t>
            </w:r>
          </w:p>
          <w:p>
            <w:pPr>
              <w:pageBreakBefore w:val="0"/>
              <w:kinsoku/>
              <w:wordWrap/>
              <w:topLinePunct w:val="0"/>
              <w:bidi w:val="0"/>
              <w:spacing w:line="360" w:lineRule="auto"/>
              <w:ind w:left="0" w:leftChars="0" w:right="0" w:rightChars="0" w:firstLine="480" w:firstLineChars="200"/>
              <w:rPr>
                <w:b/>
                <w:bCs/>
                <w:color w:val="auto"/>
                <w:sz w:val="24"/>
                <w:szCs w:val="24"/>
                <w:highlight w:val="none"/>
                <w:u w:val="single"/>
                <w:lang w:bidi="ar"/>
              </w:rPr>
            </w:pPr>
            <w:r>
              <w:rPr>
                <w:color w:val="auto"/>
                <w:sz w:val="24"/>
                <w:szCs w:val="24"/>
                <w:highlight w:val="none"/>
                <w:lang w:bidi="ar"/>
              </w:rPr>
              <w:t>就机械浓缩脱水而言，主要有两种形式，一是浓缩、脱水一体机；一是机械浓缩机+机械脱水机。采用浓缩、脱水一体机的优点是设备紧凑、单一，无需中间过度，环境条件好，药耗省，但其缺点是出水含固率不高，达不到垃圾填埋场的接受标准（含水率≤60%）。采用机械浓缩机+机械脱水机这种形式的优点是处理效果好，脱水后污泥的含固率相对较高，但缺点是系统较为复杂，管理的环节较多，占地面积相应较大。因此根据本工程的特点，且按照规范要求，</w:t>
            </w:r>
            <w:r>
              <w:rPr>
                <w:b/>
                <w:bCs/>
                <w:color w:val="auto"/>
                <w:sz w:val="24"/>
                <w:szCs w:val="24"/>
                <w:highlight w:val="none"/>
                <w:u w:val="single"/>
                <w:lang w:bidi="ar"/>
              </w:rPr>
              <w:t>污泥处理工艺推荐采用机械浓缩、机械脱水的方式。</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常用的机械浓缩设备有带式浓缩机、转鼓浓缩机。下表为上述两种浓缩机的详细技术经济比较。</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rFonts w:eastAsia="黑体"/>
                <w:bCs/>
                <w:snapToGrid w:val="0"/>
                <w:color w:val="auto"/>
                <w:szCs w:val="18"/>
                <w:highlight w:val="none"/>
                <w:lang w:bidi="ar"/>
              </w:rPr>
              <w:t>表2-15</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污泥浓缩机机型比较一览表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4"/>
              <w:gridCol w:w="3859"/>
              <w:gridCol w:w="3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项目</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带式浓缩机</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叠螺式浓缩机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占地面积大</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重量相当</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重量相当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工作环境</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敞开式结构，卫生条件差</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封闭式结构，卫生条件好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噪音</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噪音较小</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噪音小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电耗低</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固体捕获率</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85～90%</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设备价格低，国内生产厂家多</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设备价格较低，国内生产厂家多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2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运行维护</w:t>
                  </w:r>
                </w:p>
              </w:tc>
              <w:tc>
                <w:tcPr>
                  <w:tcW w:w="209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需更换滤带及易损件零件，需冲洗水泵，维护技术要求不高，较简单，维修费用低</w:t>
                  </w:r>
                </w:p>
              </w:tc>
              <w:tc>
                <w:tcPr>
                  <w:tcW w:w="18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高性能、耐用，基本无需维护</w:t>
                  </w:r>
                </w:p>
              </w:tc>
            </w:tr>
          </w:tbl>
          <w:p>
            <w:pPr>
              <w:pageBreakBefore w:val="0"/>
              <w:kinsoku/>
              <w:wordWrap/>
              <w:topLinePunct w:val="0"/>
              <w:bidi w:val="0"/>
              <w:spacing w:line="360" w:lineRule="auto"/>
              <w:ind w:left="0" w:leftChars="0" w:right="0" w:rightChars="0" w:firstLine="480" w:firstLineChars="200"/>
              <w:rPr>
                <w:b/>
                <w:bCs/>
                <w:color w:val="auto"/>
                <w:sz w:val="24"/>
                <w:szCs w:val="24"/>
                <w:highlight w:val="none"/>
                <w:u w:val="single"/>
                <w:lang w:bidi="ar"/>
              </w:rPr>
            </w:pPr>
            <w:r>
              <w:rPr>
                <w:color w:val="auto"/>
                <w:sz w:val="24"/>
                <w:szCs w:val="24"/>
                <w:highlight w:val="none"/>
                <w:lang w:bidi="ar"/>
              </w:rPr>
              <w:t>从上表可以看出，两种浓缩机各有优势，其中转鼓式浓缩机占地面积小，卫生条件好，浓缩效果稳定，且基本不需维护维修。</w:t>
            </w:r>
            <w:r>
              <w:rPr>
                <w:b/>
                <w:bCs/>
                <w:color w:val="auto"/>
                <w:sz w:val="24"/>
                <w:szCs w:val="24"/>
                <w:highlight w:val="none"/>
                <w:u w:val="single"/>
                <w:lang w:bidi="ar"/>
              </w:rPr>
              <w:t>故本工程拟选用叠螺式浓缩机作为污泥机械浓缩设备。</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常用的机械脱水设备有带式脱水机、离心脱水机、板框压滤机。下表为上述三种污泥脱水设备的详细技术经济比较。</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rFonts w:eastAsia="黑体"/>
                <w:bCs/>
                <w:snapToGrid w:val="0"/>
                <w:color w:val="auto"/>
                <w:szCs w:val="18"/>
                <w:highlight w:val="none"/>
                <w:lang w:bidi="ar"/>
              </w:rPr>
              <w:t>表2-16</w:t>
            </w:r>
            <w:r>
              <w:rPr>
                <w:rFonts w:hint="eastAsia" w:eastAsia="黑体"/>
                <w:bCs/>
                <w:snapToGrid w:val="0"/>
                <w:color w:val="auto"/>
                <w:szCs w:val="18"/>
                <w:highlight w:val="none"/>
                <w:lang w:bidi="ar"/>
              </w:rPr>
              <w:t xml:space="preserve"> </w:t>
            </w:r>
            <w:r>
              <w:rPr>
                <w:rFonts w:eastAsia="黑体"/>
                <w:bCs/>
                <w:snapToGrid w:val="0"/>
                <w:color w:val="auto"/>
                <w:szCs w:val="18"/>
                <w:highlight w:val="none"/>
                <w:lang w:bidi="ar"/>
              </w:rPr>
              <w:t>污泥脱水机机型比较一览表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1"/>
              <w:gridCol w:w="2695"/>
              <w:gridCol w:w="2350"/>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项目</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带式脱水机</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离心脱水机</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板框压滤机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脱水效果</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脱水效果好</w:t>
                  </w:r>
                </w:p>
                <w:p>
                  <w:pPr>
                    <w:pStyle w:val="53"/>
                    <w:pageBreakBefore w:val="0"/>
                    <w:kinsoku/>
                    <w:wordWrap/>
                    <w:topLinePunct w:val="0"/>
                    <w:bidi w:val="0"/>
                    <w:spacing w:line="240" w:lineRule="auto"/>
                    <w:ind w:left="0" w:leftChars="0" w:right="0" w:rightChars="0"/>
                    <w:rPr>
                      <w:color w:val="auto"/>
                      <w:highlight w:val="none"/>
                    </w:rPr>
                  </w:pPr>
                  <w:r>
                    <w:rPr>
                      <w:color w:val="auto"/>
                      <w:highlight w:val="none"/>
                    </w:rPr>
                    <w:t>（污泥含水率80%）</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脱水效果好</w:t>
                  </w:r>
                </w:p>
                <w:p>
                  <w:pPr>
                    <w:pStyle w:val="53"/>
                    <w:pageBreakBefore w:val="0"/>
                    <w:kinsoku/>
                    <w:wordWrap/>
                    <w:topLinePunct w:val="0"/>
                    <w:bidi w:val="0"/>
                    <w:spacing w:line="240" w:lineRule="auto"/>
                    <w:ind w:left="0" w:leftChars="0" w:right="0" w:rightChars="0"/>
                    <w:rPr>
                      <w:color w:val="auto"/>
                      <w:highlight w:val="none"/>
                    </w:rPr>
                  </w:pPr>
                  <w:r>
                    <w:rPr>
                      <w:color w:val="auto"/>
                      <w:highlight w:val="none"/>
                    </w:rPr>
                    <w:t>（污泥含水率80%）</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脱水效果好</w:t>
                  </w:r>
                </w:p>
                <w:p>
                  <w:pPr>
                    <w:pStyle w:val="53"/>
                    <w:pageBreakBefore w:val="0"/>
                    <w:kinsoku/>
                    <w:wordWrap/>
                    <w:topLinePunct w:val="0"/>
                    <w:bidi w:val="0"/>
                    <w:spacing w:line="240" w:lineRule="auto"/>
                    <w:ind w:left="0" w:leftChars="0" w:right="0" w:rightChars="0"/>
                    <w:rPr>
                      <w:color w:val="auto"/>
                      <w:highlight w:val="none"/>
                    </w:rPr>
                  </w:pPr>
                  <w:r>
                    <w:rPr>
                      <w:color w:val="auto"/>
                      <w:highlight w:val="none"/>
                    </w:rPr>
                    <w:t>（污泥含水率小于60%）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占地面积大</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占地面积小</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占地面积较小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重量重，有腐蚀性问题</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重量较重，有腐蚀性问题</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重量较重，有腐蚀性问题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工作环境</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敞开式结构，卫生条件差</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封闭式结构，卫生条件好</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封闭式结构，卫生条件好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bCs/>
                      <w:color w:val="auto"/>
                      <w:highlight w:val="none"/>
                    </w:rPr>
                    <w:t>泥饼厚度</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10mm—20mm</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10mm—20mm</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30mm—40mm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电耗低</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电耗较大</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电耗较低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药耗</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药品消耗较多</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药品消耗较少</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药品消耗较少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bCs/>
                      <w:color w:val="auto"/>
                      <w:highlight w:val="none"/>
                    </w:rPr>
                    <w:t>自动化程度</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时常需要人工帮助卸泥，自动化程度较低</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有时需要人工帮助卸泥，自动化程度较高</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完全实现全自动化运行，自动化程度高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设备价格低，国内生产厂家多</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设备价格高，国内生产厂家少，大部分为进口设备</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设备价格较高，要求达到小于60%的含水率，需要采用进口设备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运行维护</w:t>
                  </w:r>
                </w:p>
              </w:tc>
              <w:tc>
                <w:tcPr>
                  <w:tcW w:w="1464"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需更换滤布及易损件零件，需冲洗水泵和空压机，维护技术求不高，较简单，维修费用低</w:t>
                  </w:r>
                </w:p>
              </w:tc>
              <w:tc>
                <w:tcPr>
                  <w:tcW w:w="1277"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需备易损件，较少清洗，维护技术要求较高，维护费用较低</w:t>
                  </w:r>
                </w:p>
              </w:tc>
              <w:tc>
                <w:tcPr>
                  <w:tcW w:w="1675"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需备易损件，较少清洗，维护费用较低</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从上表可以看出，这三种脱水机各有优势，其中带式脱水机设备和运行费用较低，国内制造技术成熟，运行稳定可靠，日常维护维修方便，运行经验丰富，缺点是运行时需要有人值守，工人劳动强度较大，冲洗水量较大，设备往往为敞开式，有气味散发，且污泥含水率达不到60%。而离心脱水机和板框脱水机均为封闭式结构，卫生条件好，不需要有人值守，冲洗水量也较少。但板框式脱水机为近年来开始使用的新型脱水设备，其运行和管理的成熟程度较板框脱水机低，且污泥含水率达不到60%。据多方咨询了解部分进口的板框压滤机具有封闭系统，不会打湿、溅湿泥饼；保证操作环境无反冲洗水影响，而出现的潮湿；清洗时间短，每次需要时间约30min；使用的反冲洗水量小；需要的高度低，所需的空间小等特点，且根据规范规定及环保部门要求，</w:t>
            </w:r>
            <w:r>
              <w:rPr>
                <w:b/>
                <w:bCs/>
                <w:color w:val="auto"/>
                <w:sz w:val="24"/>
                <w:szCs w:val="24"/>
                <w:highlight w:val="none"/>
                <w:u w:val="single"/>
                <w:lang w:bidi="ar"/>
              </w:rPr>
              <w:t>本工程应该选用污泥含水率能达到60%要求的板框压滤机作为污泥机械脱水设备。</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综上，为使一期工程由一级B提标至一级A，需进行深度处理，即一期工程污水处理工艺采用：粗格栅及提升泵房+</w:t>
            </w:r>
            <w:r>
              <w:rPr>
                <w:b/>
                <w:bCs/>
                <w:color w:val="auto"/>
                <w:sz w:val="24"/>
                <w:szCs w:val="32"/>
                <w:highlight w:val="none"/>
                <w:lang w:bidi="ar"/>
              </w:rPr>
              <w:t>细格栅及旋流沉砂池+厌氧池+氧化沟</w:t>
            </w:r>
            <w:r>
              <w:rPr>
                <w:b/>
                <w:bCs/>
                <w:color w:val="auto"/>
                <w:sz w:val="24"/>
                <w:szCs w:val="24"/>
                <w:highlight w:val="none"/>
                <w:lang w:bidi="ar"/>
              </w:rPr>
              <w:t>+二沉池+絮凝池+转鼓滤池+</w:t>
            </w:r>
            <w:r>
              <w:rPr>
                <w:b/>
                <w:bCs/>
                <w:color w:val="auto"/>
                <w:sz w:val="24"/>
                <w:szCs w:val="32"/>
                <w:highlight w:val="none"/>
                <w:lang w:bidi="ar"/>
              </w:rPr>
              <w:t>紫外线消毒渠；</w:t>
            </w:r>
            <w:r>
              <w:rPr>
                <w:b/>
                <w:bCs/>
                <w:color w:val="auto"/>
                <w:sz w:val="24"/>
                <w:szCs w:val="24"/>
                <w:highlight w:val="none"/>
                <w:lang w:bidi="ar"/>
              </w:rPr>
              <w:t>二期工程污水处理工艺采用：粗格栅及提升泵房+</w:t>
            </w:r>
            <w:r>
              <w:rPr>
                <w:b/>
                <w:bCs/>
                <w:color w:val="auto"/>
                <w:sz w:val="24"/>
                <w:szCs w:val="32"/>
                <w:highlight w:val="none"/>
                <w:lang w:bidi="ar"/>
              </w:rPr>
              <w:t>细格栅及旋流沉砂池+</w:t>
            </w:r>
            <w:r>
              <w:rPr>
                <w:b/>
                <w:bCs/>
                <w:color w:val="auto"/>
                <w:sz w:val="24"/>
                <w:szCs w:val="24"/>
                <w:highlight w:val="none"/>
                <w:lang w:bidi="ar"/>
              </w:rPr>
              <w:t>MBBR+二沉池+絮凝池+转鼓滤池+</w:t>
            </w:r>
            <w:r>
              <w:rPr>
                <w:b/>
                <w:bCs/>
                <w:color w:val="auto"/>
                <w:sz w:val="24"/>
                <w:szCs w:val="32"/>
                <w:highlight w:val="none"/>
                <w:lang w:bidi="ar"/>
              </w:rPr>
              <w:t>紫外线消毒渠。</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2、运营期工艺流程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本次对一期工程原有污水处理工艺进行提标改造，保持原有设计处理规模1万m</w:t>
            </w:r>
            <w:r>
              <w:rPr>
                <w:color w:val="auto"/>
                <w:sz w:val="24"/>
                <w:szCs w:val="32"/>
                <w:highlight w:val="none"/>
                <w:vertAlign w:val="superscript"/>
                <w:lang w:bidi="ar"/>
              </w:rPr>
              <w:t>3</w:t>
            </w:r>
            <w:r>
              <w:rPr>
                <w:color w:val="auto"/>
                <w:sz w:val="24"/>
                <w:szCs w:val="32"/>
                <w:highlight w:val="none"/>
                <w:lang w:bidi="ar"/>
              </w:rPr>
              <w:t>/d；扩建二期工程，设计处理规模为1万m</w:t>
            </w:r>
            <w:r>
              <w:rPr>
                <w:color w:val="auto"/>
                <w:sz w:val="24"/>
                <w:szCs w:val="32"/>
                <w:highlight w:val="none"/>
                <w:vertAlign w:val="superscript"/>
                <w:lang w:bidi="ar"/>
              </w:rPr>
              <w:t>3</w:t>
            </w:r>
            <w:r>
              <w:rPr>
                <w:color w:val="auto"/>
                <w:sz w:val="24"/>
                <w:szCs w:val="32"/>
                <w:highlight w:val="none"/>
                <w:lang w:bidi="ar"/>
              </w:rPr>
              <w:t>/d。项目改扩建后，污水厂总设计处理规模为2万m</w:t>
            </w:r>
            <w:r>
              <w:rPr>
                <w:color w:val="auto"/>
                <w:sz w:val="24"/>
                <w:szCs w:val="32"/>
                <w:highlight w:val="none"/>
                <w:vertAlign w:val="superscript"/>
                <w:lang w:bidi="ar"/>
              </w:rPr>
              <w:t>3</w:t>
            </w:r>
            <w:r>
              <w:rPr>
                <w:color w:val="auto"/>
                <w:sz w:val="24"/>
                <w:szCs w:val="32"/>
                <w:highlight w:val="none"/>
                <w:lang w:bidi="ar"/>
              </w:rPr>
              <w:t>/d，一期污水厂主要工艺为“厌氧池+氧化沟+二沉池+絮凝池+转鼓滤池”，二期污水厂主要工艺为“MBBR+二沉池+絮凝池+转鼓滤池”，具体生产工艺流程见下图。</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主要工艺流程简述：</w:t>
            </w:r>
            <w:r>
              <w:rPr>
                <w:color w:val="auto"/>
                <w:sz w:val="24"/>
                <w:szCs w:val="24"/>
                <w:highlight w:val="none"/>
                <w:lang w:bidi="ar"/>
              </w:rPr>
              <w:t>污水经粗格栅截留部分大颗粒与漂浮杂物后经泵提升至细格栅及旋流沉砂池，去除污水中的小颗粒悬浮物、漂浮物以及砂类，沉积在沉砂池底部的泥沙经鼓风机排入砂水分离器进行螺旋砂水分离器，上清液经排水管道自流入粗格栅井中；经除砂后的污水进入生化池（一期：厌氧池+氧化沟，二期：MBBR生化池）中进行生化处理；而后经生化处理后的污水进入二沉池投加PFS除磷，再经絮凝池投加PAM，再经转鼓滤池进一步去除废水色度和氧化难降解的有机物质，随后经紫外线消毒，尾水执行《城镇污水处理厂污染物排放标准》（GB18918-2002）一级标准A标准，通过尾水管排至前河。</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object>
                <v:shape id="_x0000_i1028" o:spt="75" type="#_x0000_t75" style="height:407.55pt;width:370.4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pPr>
              <w:pageBreakBefore w:val="0"/>
              <w:kinsoku/>
              <w:wordWrap/>
              <w:topLinePunct w:val="0"/>
              <w:bidi w:val="0"/>
              <w:spacing w:line="360" w:lineRule="auto"/>
              <w:ind w:left="0" w:leftChars="0" w:right="0" w:rightChars="0"/>
              <w:jc w:val="center"/>
              <w:rPr>
                <w:rFonts w:eastAsia="黑体"/>
                <w:color w:val="auto"/>
                <w:highlight w:val="none"/>
              </w:rPr>
            </w:pPr>
            <w:bookmarkStart w:id="8" w:name="OLE_LINK1"/>
            <w:r>
              <w:rPr>
                <w:rFonts w:eastAsia="黑体"/>
                <w:color w:val="auto"/>
                <w:highlight w:val="none"/>
              </w:rPr>
              <w:t>图2-6</w:t>
            </w:r>
            <w:r>
              <w:rPr>
                <w:rFonts w:hint="eastAsia" w:eastAsia="黑体"/>
                <w:color w:val="auto"/>
                <w:highlight w:val="none"/>
              </w:rPr>
              <w:t xml:space="preserve"> </w:t>
            </w:r>
            <w:r>
              <w:rPr>
                <w:rFonts w:eastAsia="黑体"/>
                <w:color w:val="auto"/>
                <w:highlight w:val="none"/>
              </w:rPr>
              <w:t>运营期工艺流程及产污环节图</w:t>
            </w:r>
            <w:bookmarkEnd w:id="8"/>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3、运营期主要污染环节</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废气：</w:t>
            </w:r>
            <w:r>
              <w:rPr>
                <w:color w:val="auto"/>
                <w:sz w:val="24"/>
                <w:szCs w:val="24"/>
                <w:highlight w:val="none"/>
                <w:lang w:bidi="ar"/>
              </w:rPr>
              <w:t>主要为恶臭、柴油发电机废气、食堂油烟。</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24"/>
                <w:highlight w:val="none"/>
                <w:lang w:bidi="ar"/>
              </w:rPr>
              <w:t>废水：</w:t>
            </w:r>
            <w:r>
              <w:rPr>
                <w:color w:val="auto"/>
                <w:sz w:val="24"/>
                <w:szCs w:val="24"/>
                <w:highlight w:val="none"/>
                <w:lang w:bidi="ar"/>
              </w:rPr>
              <w:t>主要是</w:t>
            </w:r>
            <w:r>
              <w:rPr>
                <w:color w:val="auto"/>
                <w:sz w:val="24"/>
                <w:szCs w:val="32"/>
                <w:highlight w:val="none"/>
                <w:lang w:bidi="ar"/>
              </w:rPr>
              <w:t>厂内生活污水（含食堂废水）、生产废水（化验室器皿清洗废水、设备冲洗废水、地坪冲洗废水、反冲洗废水）、脱水滤液等。</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噪声：</w:t>
            </w:r>
            <w:r>
              <w:rPr>
                <w:color w:val="auto"/>
                <w:sz w:val="24"/>
                <w:szCs w:val="24"/>
                <w:highlight w:val="none"/>
                <w:lang w:bidi="ar"/>
              </w:rPr>
              <w:t>提升泵、风机、各类水泵等设备运行噪声。</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固废：</w:t>
            </w:r>
            <w:r>
              <w:rPr>
                <w:color w:val="auto"/>
                <w:sz w:val="24"/>
                <w:szCs w:val="32"/>
                <w:highlight w:val="none"/>
                <w:lang w:bidi="ar"/>
              </w:rPr>
              <w:t>生活垃圾、餐厨垃圾、栅渣及沉砂、污泥、废包装材料、</w:t>
            </w:r>
            <w:r>
              <w:rPr>
                <w:color w:val="auto"/>
                <w:sz w:val="24"/>
                <w:szCs w:val="24"/>
                <w:highlight w:val="none"/>
                <w:lang w:bidi="ar"/>
              </w:rPr>
              <w:t>化验废液（包含化验室废液与在线监测系统废液）、废机油</w:t>
            </w:r>
            <w:r>
              <w:rPr>
                <w:rFonts w:hint="eastAsia"/>
                <w:color w:val="auto"/>
                <w:sz w:val="24"/>
                <w:szCs w:val="24"/>
                <w:highlight w:val="none"/>
                <w:lang w:eastAsia="zh-CN" w:bidi="ar"/>
              </w:rPr>
              <w:t>、</w:t>
            </w:r>
            <w:r>
              <w:rPr>
                <w:rFonts w:hint="eastAsia"/>
                <w:color w:val="auto"/>
                <w:sz w:val="24"/>
                <w:szCs w:val="24"/>
                <w:highlight w:val="none"/>
                <w:lang w:val="en-US" w:eastAsia="zh-CN" w:bidi="ar"/>
              </w:rPr>
              <w:t>废紫外灯管</w:t>
            </w:r>
            <w:r>
              <w:rPr>
                <w:color w:val="auto"/>
                <w:sz w:val="24"/>
                <w:szCs w:val="24"/>
                <w:highlight w:val="none"/>
                <w:lang w:bidi="ar"/>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与项目有关的原有环境污染问题</w:t>
            </w:r>
          </w:p>
        </w:tc>
        <w:tc>
          <w:tcPr>
            <w:tcW w:w="4782" w:type="pct"/>
          </w:tcPr>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一、原有项目概况</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宣汉县南坝镇城市生活污水处理厂位于四川省达州市宣汉县南坝镇龙驹坝，现南坝污水处理厂一期项目设计处理规模1.0万m</w:t>
            </w:r>
            <w:r>
              <w:rPr>
                <w:color w:val="auto"/>
                <w:sz w:val="24"/>
                <w:szCs w:val="24"/>
                <w:highlight w:val="none"/>
                <w:vertAlign w:val="superscript"/>
                <w:lang w:bidi="ar"/>
              </w:rPr>
              <w:t>3</w:t>
            </w:r>
            <w:r>
              <w:rPr>
                <w:color w:val="auto"/>
                <w:sz w:val="24"/>
                <w:szCs w:val="24"/>
                <w:highlight w:val="none"/>
                <w:lang w:bidi="ar"/>
              </w:rPr>
              <w:t>/d，为集中式城镇生活污水处理厂。一期项目于2016年通水运行，生活污水处理工艺为“</w:t>
            </w:r>
            <w:r>
              <w:rPr>
                <w:b/>
                <w:bCs/>
                <w:color w:val="auto"/>
                <w:sz w:val="24"/>
                <w:szCs w:val="24"/>
                <w:highlight w:val="none"/>
                <w:lang w:bidi="ar"/>
              </w:rPr>
              <w:t>粗格栅及提升泵房+</w:t>
            </w:r>
            <w:r>
              <w:rPr>
                <w:b/>
                <w:bCs/>
                <w:color w:val="auto"/>
                <w:sz w:val="24"/>
                <w:szCs w:val="32"/>
                <w:highlight w:val="none"/>
                <w:lang w:bidi="ar"/>
              </w:rPr>
              <w:t>细格栅及旋流沉砂池+厌氧池+氧化沟</w:t>
            </w:r>
            <w:r>
              <w:rPr>
                <w:b/>
                <w:bCs/>
                <w:color w:val="auto"/>
                <w:sz w:val="24"/>
                <w:szCs w:val="24"/>
                <w:highlight w:val="none"/>
                <w:lang w:bidi="ar"/>
              </w:rPr>
              <w:t>+二沉池</w:t>
            </w:r>
            <w:r>
              <w:rPr>
                <w:rFonts w:hint="eastAsia"/>
                <w:b/>
                <w:bCs/>
                <w:color w:val="auto"/>
                <w:sz w:val="24"/>
                <w:szCs w:val="24"/>
                <w:highlight w:val="none"/>
                <w:lang w:val="en-US" w:eastAsia="zh-CN" w:bidi="ar"/>
              </w:rPr>
              <w:t>+</w:t>
            </w:r>
            <w:r>
              <w:rPr>
                <w:b/>
                <w:bCs/>
                <w:color w:val="auto"/>
                <w:sz w:val="24"/>
                <w:szCs w:val="32"/>
                <w:highlight w:val="none"/>
                <w:lang w:bidi="ar"/>
              </w:rPr>
              <w:t>紫外线消毒渠</w:t>
            </w:r>
            <w:r>
              <w:rPr>
                <w:color w:val="auto"/>
                <w:sz w:val="24"/>
                <w:szCs w:val="24"/>
                <w:highlight w:val="none"/>
                <w:lang w:bidi="ar"/>
              </w:rPr>
              <w:t>”，出水标准执行《城镇污水处理厂污染物排放标准》（GB18918-2002）一级排放标准B标准，</w:t>
            </w:r>
            <w:r>
              <w:rPr>
                <w:color w:val="auto"/>
                <w:sz w:val="24"/>
                <w:szCs w:val="32"/>
                <w:highlight w:val="none"/>
                <w:lang w:bidi="ar"/>
              </w:rPr>
              <w:t>处理达标后的尾水排入前河。</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二、原有工程环保审批情况</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环评手续：</w:t>
            </w:r>
            <w:r>
              <w:rPr>
                <w:color w:val="auto"/>
                <w:sz w:val="24"/>
                <w:szCs w:val="24"/>
                <w:highlight w:val="none"/>
                <w:lang w:bidi="ar"/>
              </w:rPr>
              <w:t>2011年7月，由西南交通大学编制完成了宣汉县自来水公司《宣汉县南坝镇城市生活污水处理工程环境影响报告表》，2011年8月3日，原四川省环境保护厅以川环审批〔2011〕324号对该报告表予以审查批复，批复处理规模为1万</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w:t>
            </w:r>
            <w:r>
              <w:rPr>
                <w:color w:val="auto"/>
                <w:sz w:val="24"/>
                <w:szCs w:val="24"/>
                <w:highlight w:val="none"/>
                <w:lang w:bidi="ar"/>
              </w:rPr>
              <w:t>。</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竣工环境保护验收：</w:t>
            </w:r>
            <w:r>
              <w:rPr>
                <w:color w:val="auto"/>
                <w:sz w:val="24"/>
                <w:szCs w:val="24"/>
                <w:highlight w:val="none"/>
                <w:lang w:bidi="ar"/>
              </w:rPr>
              <w:t>2020年1月，</w:t>
            </w:r>
            <w:r>
              <w:rPr>
                <w:color w:val="auto"/>
                <w:sz w:val="24"/>
                <w:szCs w:val="32"/>
                <w:highlight w:val="none"/>
                <w:lang w:bidi="ar"/>
              </w:rPr>
              <w:t>四川汉润水业有限公司</w:t>
            </w:r>
            <w:r>
              <w:rPr>
                <w:color w:val="auto"/>
                <w:sz w:val="24"/>
                <w:szCs w:val="24"/>
                <w:highlight w:val="none"/>
                <w:lang w:bidi="ar"/>
              </w:rPr>
              <w:t>编制完成了《宣汉县南坝镇城市生活污水处理工程（一期）竣工环境保护验收监测报告表》，并项目通过了竣工环保验收。</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排污许可：</w:t>
            </w:r>
            <w:r>
              <w:rPr>
                <w:color w:val="auto"/>
                <w:sz w:val="24"/>
                <w:szCs w:val="24"/>
                <w:highlight w:val="none"/>
                <w:lang w:bidi="ar"/>
              </w:rPr>
              <w:t>2022年5月6日，原有工程取得《排污许可证》，有效期：2022年7月6日至2027年7月5日止，登记编号为：91511722MABTRURT1G002V。</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说明：宣汉县自来水公司</w:t>
            </w:r>
            <w:r>
              <w:rPr>
                <w:rFonts w:hint="eastAsia"/>
                <w:b/>
                <w:bCs/>
                <w:color w:val="auto"/>
                <w:sz w:val="24"/>
                <w:szCs w:val="24"/>
                <w:highlight w:val="none"/>
                <w:lang w:bidi="ar"/>
              </w:rPr>
              <w:t>于2019年更名为</w:t>
            </w:r>
            <w:r>
              <w:rPr>
                <w:b/>
                <w:bCs/>
                <w:color w:val="auto"/>
                <w:sz w:val="24"/>
                <w:szCs w:val="24"/>
                <w:highlight w:val="none"/>
                <w:lang w:bidi="ar"/>
              </w:rPr>
              <w:t>四川汉润水业有限公司</w:t>
            </w:r>
            <w:r>
              <w:rPr>
                <w:rFonts w:hint="eastAsia"/>
                <w:b/>
                <w:bCs/>
                <w:color w:val="auto"/>
                <w:sz w:val="24"/>
                <w:szCs w:val="24"/>
                <w:highlight w:val="none"/>
                <w:lang w:bidi="ar"/>
              </w:rPr>
              <w:t>，</w:t>
            </w:r>
            <w:r>
              <w:rPr>
                <w:rFonts w:hint="eastAsia"/>
                <w:b/>
                <w:bCs/>
                <w:color w:val="auto"/>
                <w:sz w:val="24"/>
                <w:szCs w:val="24"/>
                <w:highlight w:val="none"/>
                <w:lang w:val="en-US" w:eastAsia="zh-CN" w:bidi="ar"/>
              </w:rPr>
              <w:t>后</w:t>
            </w:r>
            <w:r>
              <w:rPr>
                <w:rFonts w:hint="eastAsia"/>
                <w:b/>
                <w:bCs/>
                <w:color w:val="auto"/>
                <w:sz w:val="24"/>
                <w:szCs w:val="24"/>
                <w:highlight w:val="none"/>
                <w:lang w:bidi="ar"/>
              </w:rPr>
              <w:t>于2022年</w:t>
            </w:r>
            <w:r>
              <w:rPr>
                <w:rFonts w:hint="eastAsia"/>
                <w:b/>
                <w:bCs/>
                <w:color w:val="auto"/>
                <w:sz w:val="24"/>
                <w:szCs w:val="24"/>
                <w:highlight w:val="none"/>
                <w:lang w:val="en-US" w:eastAsia="zh-CN" w:bidi="ar"/>
              </w:rPr>
              <w:t>3</w:t>
            </w:r>
            <w:r>
              <w:rPr>
                <w:rFonts w:hint="eastAsia"/>
                <w:b/>
                <w:bCs/>
                <w:color w:val="auto"/>
                <w:sz w:val="24"/>
                <w:szCs w:val="24"/>
                <w:highlight w:val="none"/>
                <w:lang w:bidi="ar"/>
              </w:rPr>
              <w:t>月改制更名为</w:t>
            </w:r>
            <w:r>
              <w:rPr>
                <w:b/>
                <w:bCs/>
                <w:color w:val="auto"/>
                <w:sz w:val="24"/>
                <w:szCs w:val="24"/>
                <w:highlight w:val="none"/>
                <w:lang w:bidi="ar"/>
              </w:rPr>
              <w:t>四川汉润水务集团有限公司</w:t>
            </w:r>
            <w:r>
              <w:rPr>
                <w:rFonts w:hint="eastAsia"/>
                <w:b/>
                <w:bCs/>
                <w:color w:val="auto"/>
                <w:sz w:val="24"/>
                <w:szCs w:val="24"/>
                <w:highlight w:val="none"/>
                <w:lang w:bidi="ar"/>
              </w:rPr>
              <w:t>。</w:t>
            </w:r>
            <w:r>
              <w:rPr>
                <w:rFonts w:hint="eastAsia"/>
                <w:b w:val="0"/>
                <w:bCs w:val="0"/>
                <w:color w:val="auto"/>
                <w:sz w:val="24"/>
                <w:szCs w:val="24"/>
                <w:highlight w:val="none"/>
                <w:lang w:val="en-US" w:eastAsia="zh-CN" w:bidi="ar"/>
              </w:rPr>
              <w:t>下设6个子公司，其中，</w:t>
            </w:r>
            <w:r>
              <w:rPr>
                <w:rFonts w:hint="eastAsia"/>
                <w:color w:val="auto"/>
                <w:sz w:val="24"/>
                <w:szCs w:val="24"/>
                <w:highlight w:val="none"/>
                <w:lang w:bidi="ar"/>
              </w:rPr>
              <w:t>宣汉县鑫润污水处理有限公司</w:t>
            </w:r>
            <w:r>
              <w:rPr>
                <w:rFonts w:hint="eastAsia"/>
                <w:color w:val="auto"/>
                <w:sz w:val="24"/>
                <w:szCs w:val="24"/>
                <w:highlight w:val="none"/>
                <w:lang w:val="en-US" w:eastAsia="zh-CN" w:bidi="ar"/>
              </w:rPr>
              <w:t>主要负责县城污水处理厂运营管理；</w:t>
            </w:r>
            <w:r>
              <w:rPr>
                <w:color w:val="auto"/>
                <w:sz w:val="24"/>
                <w:szCs w:val="24"/>
                <w:highlight w:val="none"/>
                <w:lang w:bidi="ar"/>
              </w:rPr>
              <w:t>宣汉县鑫瀚污水处理有限公司</w:t>
            </w:r>
            <w:r>
              <w:rPr>
                <w:rFonts w:hint="eastAsia"/>
                <w:color w:val="auto"/>
                <w:sz w:val="24"/>
                <w:szCs w:val="24"/>
                <w:highlight w:val="none"/>
                <w:lang w:val="en-US" w:eastAsia="zh-CN" w:bidi="ar"/>
              </w:rPr>
              <w:t>主要负责全县乡镇（园区）污水处理运营管理。</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三、原项目项目组成及建设内容</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项目一期工程组成及主要环境问题见表2-17。</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表2-17</w:t>
            </w:r>
            <w:r>
              <w:rPr>
                <w:rFonts w:hint="eastAsia" w:eastAsia="黑体"/>
                <w:color w:val="auto"/>
                <w:highlight w:val="none"/>
                <w:lang w:bidi="ar"/>
              </w:rPr>
              <w:t xml:space="preserve"> </w:t>
            </w:r>
            <w:r>
              <w:rPr>
                <w:rFonts w:eastAsia="黑体"/>
                <w:color w:val="auto"/>
                <w:highlight w:val="none"/>
                <w:lang w:bidi="ar"/>
              </w:rPr>
              <w:t>一期项目组成及主要环境问题</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59"/>
              <w:gridCol w:w="645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项目组成</w:t>
                  </w:r>
                </w:p>
              </w:tc>
              <w:tc>
                <w:tcPr>
                  <w:tcW w:w="3868" w:type="pct"/>
                  <w:gridSpan w:val="2"/>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建设内容及规模</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主体工程</w:t>
                  </w:r>
                </w:p>
              </w:tc>
              <w:tc>
                <w:tcPr>
                  <w:tcW w:w="358"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预处理</w:t>
                  </w:r>
                </w:p>
              </w:tc>
              <w:tc>
                <w:tcPr>
                  <w:tcW w:w="3510" w:type="pct"/>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粗格栅及提升泵房：</w:t>
                  </w:r>
                  <w:r>
                    <w:rPr>
                      <w:color w:val="auto"/>
                      <w:sz w:val="21"/>
                      <w:highlight w:val="none"/>
                    </w:rPr>
                    <w:t>1座，钢筋砼结构，土建利用现状2万m</w:t>
                  </w:r>
                  <w:r>
                    <w:rPr>
                      <w:color w:val="auto"/>
                      <w:sz w:val="21"/>
                      <w:highlight w:val="none"/>
                      <w:vertAlign w:val="superscript"/>
                    </w:rPr>
                    <w:t>3</w:t>
                  </w:r>
                  <w:r>
                    <w:rPr>
                      <w:color w:val="auto"/>
                      <w:sz w:val="21"/>
                      <w:highlight w:val="none"/>
                    </w:rPr>
                    <w:t>/d规模建设，设备按1万m</w:t>
                  </w:r>
                  <w:r>
                    <w:rPr>
                      <w:color w:val="auto"/>
                      <w:sz w:val="21"/>
                      <w:highlight w:val="none"/>
                      <w:vertAlign w:val="superscript"/>
                    </w:rPr>
                    <w:t>3</w:t>
                  </w:r>
                  <w:r>
                    <w:rPr>
                      <w:color w:val="auto"/>
                      <w:sz w:val="21"/>
                      <w:highlight w:val="none"/>
                    </w:rPr>
                    <w:t>/d进行安装，L×B×H=9.9×4.5×7.1/5.6×9.4×8.5m</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恶臭、噪声、栅渣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细格栅及旋流沉砂池：</w:t>
                  </w:r>
                  <w:r>
                    <w:rPr>
                      <w:color w:val="auto"/>
                      <w:sz w:val="21"/>
                      <w:highlight w:val="none"/>
                    </w:rPr>
                    <w:t>1座，钢筋砼结构，土建利用现状2万m</w:t>
                  </w:r>
                  <w:r>
                    <w:rPr>
                      <w:color w:val="auto"/>
                      <w:sz w:val="21"/>
                      <w:highlight w:val="none"/>
                      <w:vertAlign w:val="superscript"/>
                    </w:rPr>
                    <w:t>3</w:t>
                  </w:r>
                  <w:r>
                    <w:rPr>
                      <w:color w:val="auto"/>
                      <w:sz w:val="21"/>
                      <w:highlight w:val="none"/>
                    </w:rPr>
                    <w:t>/d规模建设，设备按1万m</w:t>
                  </w:r>
                  <w:r>
                    <w:rPr>
                      <w:color w:val="auto"/>
                      <w:sz w:val="21"/>
                      <w:highlight w:val="none"/>
                      <w:vertAlign w:val="superscript"/>
                    </w:rPr>
                    <w:t>3</w:t>
                  </w:r>
                  <w:r>
                    <w:rPr>
                      <w:color w:val="auto"/>
                      <w:sz w:val="21"/>
                      <w:highlight w:val="none"/>
                    </w:rPr>
                    <w:t>/d进行安装，L×B×H=16.0×2.9×1.8m，∅2130</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恶臭、噪声、沉砂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58"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生化处理</w:t>
                  </w:r>
                </w:p>
              </w:tc>
              <w:tc>
                <w:tcPr>
                  <w:tcW w:w="3510" w:type="pct"/>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厌氧池：</w:t>
                  </w:r>
                  <w:r>
                    <w:rPr>
                      <w:color w:val="auto"/>
                      <w:sz w:val="21"/>
                      <w:highlight w:val="none"/>
                    </w:rPr>
                    <w:t>2座，钢筋砼结构，土建按1万m</w:t>
                  </w:r>
                  <w:r>
                    <w:rPr>
                      <w:color w:val="auto"/>
                      <w:sz w:val="21"/>
                      <w:highlight w:val="none"/>
                      <w:vertAlign w:val="superscript"/>
                    </w:rPr>
                    <w:t>3</w:t>
                  </w:r>
                  <w:r>
                    <w:rPr>
                      <w:color w:val="auto"/>
                      <w:sz w:val="21"/>
                      <w:highlight w:val="none"/>
                    </w:rPr>
                    <w:t>/d规模建设，L×B×H=12.0×10.0×6.0m</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rPr>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氧化沟：</w:t>
                  </w:r>
                  <w:r>
                    <w:rPr>
                      <w:color w:val="auto"/>
                      <w:sz w:val="21"/>
                      <w:highlight w:val="none"/>
                    </w:rPr>
                    <w:t>2座，钢筋砼结构，土建按1万m</w:t>
                  </w:r>
                  <w:r>
                    <w:rPr>
                      <w:color w:val="auto"/>
                      <w:sz w:val="21"/>
                      <w:highlight w:val="none"/>
                      <w:vertAlign w:val="superscript"/>
                    </w:rPr>
                    <w:t>3</w:t>
                  </w:r>
                  <w:r>
                    <w:rPr>
                      <w:color w:val="auto"/>
                      <w:sz w:val="21"/>
                      <w:highlight w:val="none"/>
                    </w:rPr>
                    <w:t>/d规模建设，分缺氧区和好氧区，L×B×H=51.8×25.0×4.5m</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恶臭、噪声、污泥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二沉池：</w:t>
                  </w:r>
                  <w:r>
                    <w:rPr>
                      <w:color w:val="auto"/>
                      <w:sz w:val="21"/>
                      <w:highlight w:val="none"/>
                    </w:rPr>
                    <w:t>2座，钢筋砼结构，土建设计规模为1万m</w:t>
                  </w:r>
                  <w:r>
                    <w:rPr>
                      <w:color w:val="auto"/>
                      <w:sz w:val="21"/>
                      <w:highlight w:val="none"/>
                      <w:vertAlign w:val="superscript"/>
                    </w:rPr>
                    <w:t>3</w:t>
                  </w:r>
                  <w:r>
                    <w:rPr>
                      <w:color w:val="auto"/>
                      <w:sz w:val="21"/>
                      <w:highlight w:val="none"/>
                    </w:rPr>
                    <w:t>/d规模建设，∅29m，H=5.5m</w:t>
                  </w:r>
                </w:p>
              </w:tc>
              <w:tc>
                <w:tcPr>
                  <w:tcW w:w="76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回流污泥泵井：</w:t>
                  </w:r>
                  <w:r>
                    <w:rPr>
                      <w:color w:val="auto"/>
                      <w:sz w:val="21"/>
                      <w:highlight w:val="none"/>
                    </w:rPr>
                    <w:t>1座，钢筋砼结构，L×B×H=6.5×5.5×5.1m</w:t>
                  </w:r>
                </w:p>
              </w:tc>
              <w:tc>
                <w:tcPr>
                  <w:tcW w:w="76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恶臭、噪声、污泥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58"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消毒</w:t>
                  </w:r>
                </w:p>
              </w:tc>
              <w:tc>
                <w:tcPr>
                  <w:tcW w:w="3510"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紫外线消毒渠：</w:t>
                  </w:r>
                  <w:r>
                    <w:rPr>
                      <w:color w:val="auto"/>
                      <w:sz w:val="21"/>
                      <w:highlight w:val="none"/>
                    </w:rPr>
                    <w:t>1座，钢筋砼结构，L×B×H=14.15×3.0×（2.9-1.75）m</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p>
              </w:tc>
              <w:tc>
                <w:tcPr>
                  <w:tcW w:w="358"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污泥处理</w:t>
                  </w:r>
                </w:p>
              </w:tc>
              <w:tc>
                <w:tcPr>
                  <w:tcW w:w="3510" w:type="pct"/>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脱泥机房</w:t>
                  </w:r>
                  <w:r>
                    <w:rPr>
                      <w:b/>
                      <w:bCs/>
                      <w:color w:val="auto"/>
                      <w:sz w:val="21"/>
                      <w:highlight w:val="none"/>
                      <w:lang w:bidi="ar"/>
                    </w:rPr>
                    <w:t>及加药间</w:t>
                  </w:r>
                  <w:r>
                    <w:rPr>
                      <w:b/>
                      <w:bCs/>
                      <w:color w:val="auto"/>
                      <w:sz w:val="21"/>
                      <w:highlight w:val="none"/>
                    </w:rPr>
                    <w:t>：</w:t>
                  </w:r>
                  <w:r>
                    <w:rPr>
                      <w:color w:val="auto"/>
                      <w:sz w:val="21"/>
                      <w:highlight w:val="none"/>
                    </w:rPr>
                    <w:t>1栋，框架结构，L×B×H=24.0×9.0×（6.6-3.9）m</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恶臭、脱水滤液、噪声、泥饼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ageBreakBefore w:val="0"/>
                    <w:widowControl/>
                    <w:kinsoku/>
                    <w:wordWrap/>
                    <w:topLinePunct w:val="0"/>
                    <w:bidi w:val="0"/>
                    <w:ind w:left="0" w:leftChars="0" w:right="0" w:rightChars="0"/>
                    <w:textAlignment w:val="center"/>
                    <w:rPr>
                      <w:b/>
                      <w:bCs/>
                      <w:color w:val="auto"/>
                      <w:kern w:val="0"/>
                      <w:highlight w:val="none"/>
                      <w:lang w:bidi="ar"/>
                    </w:rPr>
                  </w:pPr>
                </w:p>
              </w:tc>
              <w:tc>
                <w:tcPr>
                  <w:tcW w:w="3510" w:type="pct"/>
                  <w:vAlign w:val="center"/>
                </w:tcPr>
                <w:p>
                  <w:pPr>
                    <w:pageBreakBefore w:val="0"/>
                    <w:widowControl/>
                    <w:kinsoku/>
                    <w:wordWrap/>
                    <w:topLinePunct w:val="0"/>
                    <w:bidi w:val="0"/>
                    <w:ind w:left="0" w:leftChars="0" w:right="0" w:rightChars="0"/>
                    <w:jc w:val="left"/>
                    <w:textAlignment w:val="center"/>
                    <w:rPr>
                      <w:color w:val="auto"/>
                      <w:highlight w:val="none"/>
                    </w:rPr>
                  </w:pPr>
                  <w:r>
                    <w:rPr>
                      <w:b/>
                      <w:bCs/>
                      <w:color w:val="auto"/>
                      <w:kern w:val="0"/>
                      <w:highlight w:val="none"/>
                      <w:lang w:bidi="ar"/>
                    </w:rPr>
                    <w:t>贮泥池：</w:t>
                  </w:r>
                  <w:r>
                    <w:rPr>
                      <w:color w:val="auto"/>
                      <w:highlight w:val="none"/>
                    </w:rPr>
                    <w:t>1座，钢筋砼结构，L×B×H=8.25×4.0×5.1m</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22"/>
                    <w:pageBreakBefore w:val="0"/>
                    <w:kinsoku/>
                    <w:wordWrap/>
                    <w:topLinePunct w:val="0"/>
                    <w:bidi w:val="0"/>
                    <w:spacing w:after="0"/>
                    <w:ind w:left="0" w:leftChars="0" w:right="0" w:rightChars="0" w:firstLine="0"/>
                    <w:rPr>
                      <w:b/>
                      <w:bCs/>
                      <w:color w:val="auto"/>
                      <w:sz w:val="21"/>
                      <w:highlight w:val="none"/>
                    </w:rPr>
                  </w:pPr>
                  <w:r>
                    <w:rPr>
                      <w:color w:val="auto"/>
                      <w:sz w:val="21"/>
                      <w:highlight w:val="none"/>
                    </w:rPr>
                    <w:t>辅助工程</w:t>
                  </w:r>
                </w:p>
              </w:tc>
              <w:tc>
                <w:tcPr>
                  <w:tcW w:w="3868"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进水在线监测：</w:t>
                  </w:r>
                  <w:r>
                    <w:rPr>
                      <w:color w:val="auto"/>
                      <w:sz w:val="21"/>
                      <w:highlight w:val="none"/>
                    </w:rPr>
                    <w:t>在脱泥机房附近设置进水在线监测室1座</w:t>
                  </w:r>
                  <w:r>
                    <w:rPr>
                      <w:color w:val="auto"/>
                      <w:sz w:val="21"/>
                      <w:highlight w:val="none"/>
                      <w:lang w:bidi="ar"/>
                    </w:rPr>
                    <w:t>，</w:t>
                  </w:r>
                  <w:r>
                    <w:rPr>
                      <w:color w:val="auto"/>
                      <w:sz w:val="21"/>
                      <w:highlight w:val="none"/>
                    </w:rPr>
                    <w:t>框架结构，尺寸：</w:t>
                  </w:r>
                  <w:r>
                    <w:rPr>
                      <w:color w:val="auto"/>
                      <w:sz w:val="21"/>
                      <w:highlight w:val="none"/>
                      <w:lang w:bidi="ar"/>
                    </w:rPr>
                    <w:t>L×B×H=5.0×5.0×4.2m</w:t>
                  </w:r>
                </w:p>
              </w:tc>
              <w:tc>
                <w:tcPr>
                  <w:tcW w:w="765"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化验废液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出水在线监测：</w:t>
                  </w:r>
                  <w:r>
                    <w:rPr>
                      <w:color w:val="auto"/>
                      <w:sz w:val="21"/>
                      <w:highlight w:val="none"/>
                    </w:rPr>
                    <w:t>在出水紫外线消毒渠附近设置出水在线监测室1座，框架结构，尺寸：L×B×H=5.0×5.0×3.9m</w:t>
                  </w:r>
                </w:p>
              </w:tc>
              <w:tc>
                <w:tcPr>
                  <w:tcW w:w="7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机修及库房：</w:t>
                  </w:r>
                  <w:r>
                    <w:rPr>
                      <w:color w:val="auto"/>
                      <w:sz w:val="21"/>
                      <w:highlight w:val="none"/>
                    </w:rPr>
                    <w:t>1栋，框架结构，L×B×H=15.6×6.0×5.1m，用于暂存设备配件、设备维修</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配电房：</w:t>
                  </w:r>
                  <w:r>
                    <w:rPr>
                      <w:color w:val="auto"/>
                      <w:sz w:val="21"/>
                      <w:highlight w:val="none"/>
                    </w:rPr>
                    <w:t>1栋，框架结构，L×B×H=20.1×10.8×4.5m，内设高低压配电柜、柴油发电机等</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发电废气、噪声、环境风险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自动控制系统：</w:t>
                  </w:r>
                  <w:r>
                    <w:rPr>
                      <w:color w:val="auto"/>
                      <w:sz w:val="21"/>
                      <w:highlight w:val="none"/>
                    </w:rPr>
                    <w:t>设置中控系统设备1套、在线仪表进水出水各1套、办公管理网络1套、电视监控系统1套、门禁系统1套等</w:t>
                  </w:r>
                </w:p>
              </w:tc>
              <w:tc>
                <w:tcPr>
                  <w:tcW w:w="765"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b/>
                      <w:bCs/>
                      <w:color w:val="auto"/>
                      <w:sz w:val="21"/>
                      <w:highlight w:val="none"/>
                    </w:rPr>
                  </w:pPr>
                  <w:r>
                    <w:rPr>
                      <w:b/>
                      <w:bCs/>
                      <w:color w:val="auto"/>
                      <w:sz w:val="21"/>
                      <w:highlight w:val="none"/>
                    </w:rPr>
                    <w:t>道路：</w:t>
                  </w:r>
                  <w:r>
                    <w:rPr>
                      <w:color w:val="auto"/>
                      <w:sz w:val="21"/>
                      <w:highlight w:val="none"/>
                    </w:rPr>
                    <w:t>建设场内地面道路</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化验室：</w:t>
                  </w:r>
                  <w:r>
                    <w:rPr>
                      <w:color w:val="auto"/>
                      <w:sz w:val="21"/>
                      <w:highlight w:val="none"/>
                    </w:rPr>
                    <w:t>设置于综合大楼1F，化验室检测指标为pH、COD、BOD</w:t>
                  </w:r>
                  <w:r>
                    <w:rPr>
                      <w:color w:val="auto"/>
                      <w:sz w:val="21"/>
                      <w:highlight w:val="none"/>
                      <w:vertAlign w:val="subscript"/>
                    </w:rPr>
                    <w:t>5</w:t>
                  </w:r>
                  <w:r>
                    <w:rPr>
                      <w:color w:val="auto"/>
                      <w:sz w:val="21"/>
                      <w:highlight w:val="none"/>
                    </w:rPr>
                    <w:t>、氨氮、总磷、总氮、污泥含水率等，所用硫酸、盐酸等试剂存放于化验室试剂柜储存</w:t>
                  </w:r>
                </w:p>
              </w:tc>
              <w:tc>
                <w:tcPr>
                  <w:tcW w:w="76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危废暂存间：</w:t>
                  </w:r>
                  <w:r>
                    <w:rPr>
                      <w:color w:val="auto"/>
                      <w:sz w:val="21"/>
                      <w:highlight w:val="none"/>
                    </w:rPr>
                    <w:t>1栋，2间，框架结构，建筑面积50m</w:t>
                  </w:r>
                  <w:r>
                    <w:rPr>
                      <w:color w:val="auto"/>
                      <w:sz w:val="21"/>
                      <w:highlight w:val="none"/>
                      <w:vertAlign w:val="superscript"/>
                    </w:rPr>
                    <w:t>2</w:t>
                  </w:r>
                  <w:r>
                    <w:rPr>
                      <w:color w:val="auto"/>
                      <w:sz w:val="21"/>
                      <w:highlight w:val="none"/>
                    </w:rPr>
                    <w:t>（25m</w:t>
                  </w:r>
                  <w:r>
                    <w:rPr>
                      <w:color w:val="auto"/>
                      <w:sz w:val="21"/>
                      <w:highlight w:val="none"/>
                      <w:vertAlign w:val="superscript"/>
                    </w:rPr>
                    <w:t>2</w:t>
                  </w:r>
                  <w:r>
                    <w:rPr>
                      <w:color w:val="auto"/>
                      <w:sz w:val="21"/>
                      <w:highlight w:val="none"/>
                    </w:rPr>
                    <w:t>/间），用于分别储存化验废液（化验室废液与在线监测系统废液）和废机油</w:t>
                  </w:r>
                </w:p>
              </w:tc>
              <w:tc>
                <w:tcPr>
                  <w:tcW w:w="76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22"/>
                    <w:pageBreakBefore w:val="0"/>
                    <w:kinsoku/>
                    <w:wordWrap/>
                    <w:topLinePunct w:val="0"/>
                    <w:bidi w:val="0"/>
                    <w:spacing w:after="0"/>
                    <w:ind w:left="0" w:leftChars="0" w:right="0" w:rightChars="0" w:firstLine="0"/>
                    <w:jc w:val="center"/>
                    <w:rPr>
                      <w:b/>
                      <w:bCs/>
                      <w:color w:val="auto"/>
                      <w:kern w:val="2"/>
                      <w:sz w:val="21"/>
                      <w:highlight w:val="none"/>
                    </w:rPr>
                  </w:pPr>
                  <w:r>
                    <w:rPr>
                      <w:color w:val="auto"/>
                      <w:sz w:val="21"/>
                      <w:highlight w:val="none"/>
                    </w:rPr>
                    <w:t>办公生活设施</w:t>
                  </w:r>
                </w:p>
              </w:tc>
              <w:tc>
                <w:tcPr>
                  <w:tcW w:w="3868" w:type="pct"/>
                  <w:gridSpan w:val="2"/>
                  <w:vAlign w:val="center"/>
                </w:tcPr>
                <w:p>
                  <w:pPr>
                    <w:pStyle w:val="22"/>
                    <w:pageBreakBefore w:val="0"/>
                    <w:kinsoku/>
                    <w:wordWrap/>
                    <w:topLinePunct w:val="0"/>
                    <w:bidi w:val="0"/>
                    <w:spacing w:after="0"/>
                    <w:ind w:left="0" w:leftChars="0" w:right="0" w:rightChars="0" w:firstLine="0"/>
                    <w:jc w:val="both"/>
                    <w:rPr>
                      <w:color w:val="auto"/>
                      <w:kern w:val="2"/>
                      <w:sz w:val="21"/>
                      <w:highlight w:val="none"/>
                    </w:rPr>
                  </w:pPr>
                  <w:r>
                    <w:rPr>
                      <w:b/>
                      <w:bCs/>
                      <w:color w:val="auto"/>
                      <w:kern w:val="2"/>
                      <w:sz w:val="21"/>
                      <w:highlight w:val="none"/>
                    </w:rPr>
                    <w:t>综合大楼：</w:t>
                  </w:r>
                  <w:r>
                    <w:rPr>
                      <w:color w:val="auto"/>
                      <w:sz w:val="21"/>
                      <w:highlight w:val="none"/>
                    </w:rPr>
                    <w:t>1栋，2F框架结构，L×B×H=36.0×12.0×7.2m，内设食堂、办公室、控制室、化验室等</w:t>
                  </w:r>
                </w:p>
              </w:tc>
              <w:tc>
                <w:tcPr>
                  <w:tcW w:w="765"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生活垃圾、生活污水、食堂废水、食堂油烟、餐厨垃圾、化验废液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b/>
                      <w:bCs/>
                      <w:color w:val="auto"/>
                      <w:kern w:val="2"/>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jc w:val="both"/>
                    <w:rPr>
                      <w:color w:val="auto"/>
                      <w:kern w:val="2"/>
                      <w:sz w:val="21"/>
                      <w:highlight w:val="none"/>
                    </w:rPr>
                  </w:pPr>
                  <w:r>
                    <w:rPr>
                      <w:b/>
                      <w:bCs/>
                      <w:color w:val="auto"/>
                      <w:kern w:val="2"/>
                      <w:sz w:val="21"/>
                      <w:highlight w:val="none"/>
                    </w:rPr>
                    <w:t>门卫及值班室：</w:t>
                  </w:r>
                  <w:r>
                    <w:rPr>
                      <w:color w:val="auto"/>
                      <w:sz w:val="21"/>
                      <w:highlight w:val="none"/>
                    </w:rPr>
                    <w:t>1栋，单层框架结构，L×B×H=4.2×3.9×3.2m</w:t>
                  </w:r>
                </w:p>
              </w:tc>
              <w:tc>
                <w:tcPr>
                  <w:tcW w:w="765"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生活垃圾、生活污水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公用工程</w:t>
                  </w:r>
                </w:p>
              </w:tc>
              <w:tc>
                <w:tcPr>
                  <w:tcW w:w="3868" w:type="pct"/>
                  <w:gridSpan w:val="2"/>
                  <w:vAlign w:val="center"/>
                </w:tcPr>
                <w:p>
                  <w:pPr>
                    <w:pStyle w:val="22"/>
                    <w:pageBreakBefore w:val="0"/>
                    <w:kinsoku/>
                    <w:wordWrap/>
                    <w:topLinePunct w:val="0"/>
                    <w:bidi w:val="0"/>
                    <w:spacing w:after="0"/>
                    <w:ind w:left="0" w:leftChars="0" w:right="0" w:rightChars="0" w:firstLine="0"/>
                    <w:jc w:val="both"/>
                    <w:rPr>
                      <w:b/>
                      <w:bCs/>
                      <w:color w:val="auto"/>
                      <w:sz w:val="21"/>
                      <w:highlight w:val="none"/>
                    </w:rPr>
                  </w:pPr>
                  <w:r>
                    <w:rPr>
                      <w:b/>
                      <w:bCs/>
                      <w:color w:val="auto"/>
                      <w:sz w:val="21"/>
                      <w:highlight w:val="none"/>
                    </w:rPr>
                    <w:t>厂区排水为雨污分流制</w:t>
                  </w:r>
                </w:p>
                <w:p>
                  <w:pPr>
                    <w:pStyle w:val="22"/>
                    <w:pageBreakBefore w:val="0"/>
                    <w:kinsoku/>
                    <w:wordWrap/>
                    <w:topLinePunct w:val="0"/>
                    <w:bidi w:val="0"/>
                    <w:spacing w:after="0"/>
                    <w:ind w:left="0" w:leftChars="0" w:right="0" w:rightChars="0" w:firstLine="0"/>
                    <w:jc w:val="both"/>
                    <w:rPr>
                      <w:color w:val="auto"/>
                      <w:sz w:val="21"/>
                      <w:highlight w:val="none"/>
                    </w:rPr>
                  </w:pPr>
                  <w:r>
                    <w:rPr>
                      <w:b/>
                      <w:bCs/>
                      <w:color w:val="auto"/>
                      <w:sz w:val="21"/>
                      <w:highlight w:val="none"/>
                    </w:rPr>
                    <w:t>厂区雨水：</w:t>
                  </w:r>
                  <w:r>
                    <w:rPr>
                      <w:color w:val="auto"/>
                      <w:sz w:val="21"/>
                      <w:highlight w:val="none"/>
                    </w:rPr>
                    <w:t>由道路雨水口收集后汇入厂区雨水管道，并自流排入前河</w:t>
                  </w:r>
                </w:p>
                <w:p>
                  <w:pPr>
                    <w:pStyle w:val="22"/>
                    <w:pageBreakBefore w:val="0"/>
                    <w:kinsoku/>
                    <w:wordWrap/>
                    <w:topLinePunct w:val="0"/>
                    <w:bidi w:val="0"/>
                    <w:spacing w:after="0"/>
                    <w:ind w:left="0" w:leftChars="0" w:right="0" w:rightChars="0" w:firstLine="0"/>
                    <w:jc w:val="both"/>
                    <w:rPr>
                      <w:color w:val="auto"/>
                      <w:sz w:val="21"/>
                      <w:highlight w:val="none"/>
                    </w:rPr>
                  </w:pPr>
                  <w:r>
                    <w:rPr>
                      <w:b/>
                      <w:bCs/>
                      <w:color w:val="auto"/>
                      <w:sz w:val="21"/>
                      <w:highlight w:val="none"/>
                    </w:rPr>
                    <w:t>厂内污水：</w:t>
                  </w:r>
                  <w:r>
                    <w:rPr>
                      <w:color w:val="auto"/>
                      <w:sz w:val="21"/>
                      <w:highlight w:val="none"/>
                    </w:rPr>
                    <w:t>厂内生活污水（含食堂废水）、生产废水（化验室器皿清洗废水、设备冲洗废水、地坪冲洗废水、反冲洗废水）、脱水滤液等经厂内污水管道收集后汇入提升泵房，与进厂污水一并处理</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jc w:val="both"/>
                    <w:rPr>
                      <w:color w:val="auto"/>
                      <w:sz w:val="21"/>
                      <w:highlight w:val="none"/>
                    </w:rPr>
                  </w:pPr>
                  <w:r>
                    <w:rPr>
                      <w:b/>
                      <w:bCs/>
                      <w:color w:val="auto"/>
                      <w:sz w:val="21"/>
                      <w:highlight w:val="none"/>
                    </w:rPr>
                    <w:t>给水：</w:t>
                  </w:r>
                  <w:r>
                    <w:rPr>
                      <w:color w:val="auto"/>
                      <w:sz w:val="21"/>
                      <w:highlight w:val="none"/>
                    </w:rPr>
                    <w:t>厂区给水由市政管网提供，给水干管管径DN100，厂区内呈环网状，利于消防和安全供水</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jc w:val="both"/>
                    <w:rPr>
                      <w:color w:val="auto"/>
                      <w:sz w:val="21"/>
                      <w:highlight w:val="none"/>
                    </w:rPr>
                  </w:pPr>
                  <w:r>
                    <w:rPr>
                      <w:b/>
                      <w:bCs/>
                      <w:color w:val="auto"/>
                      <w:sz w:val="21"/>
                      <w:highlight w:val="none"/>
                    </w:rPr>
                    <w:t>回用水：</w:t>
                  </w:r>
                  <w:r>
                    <w:rPr>
                      <w:color w:val="auto"/>
                      <w:sz w:val="21"/>
                      <w:highlight w:val="none"/>
                    </w:rPr>
                    <w:t>厂内考虑了Q=20m</w:t>
                  </w:r>
                  <w:r>
                    <w:rPr>
                      <w:color w:val="auto"/>
                      <w:sz w:val="21"/>
                      <w:highlight w:val="none"/>
                      <w:vertAlign w:val="superscript"/>
                    </w:rPr>
                    <w:t>3</w:t>
                  </w:r>
                  <w:r>
                    <w:rPr>
                      <w:color w:val="auto"/>
                      <w:sz w:val="21"/>
                      <w:highlight w:val="none"/>
                    </w:rPr>
                    <w:t>/h的中水利用，直接从紫外线消毒渠出水井中取水，主要用于厂内道路、构筑物池体冲洗、绿化、水景等使用</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b/>
                      <w:bCs/>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jc w:val="both"/>
                    <w:rPr>
                      <w:color w:val="auto"/>
                      <w:sz w:val="21"/>
                      <w:highlight w:val="none"/>
                    </w:rPr>
                  </w:pPr>
                  <w:r>
                    <w:rPr>
                      <w:b/>
                      <w:bCs/>
                      <w:color w:val="auto"/>
                      <w:sz w:val="21"/>
                      <w:highlight w:val="none"/>
                    </w:rPr>
                    <w:t>供电：</w:t>
                  </w:r>
                  <w:r>
                    <w:rPr>
                      <w:color w:val="auto"/>
                      <w:sz w:val="21"/>
                      <w:highlight w:val="none"/>
                    </w:rPr>
                    <w:t>设置两路双电源供电，一路由市政10kV供电，一路由备用电源柴油发电机供电</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污水处理药剂：</w:t>
                  </w:r>
                  <w:r>
                    <w:rPr>
                      <w:color w:val="auto"/>
                      <w:sz w:val="21"/>
                      <w:highlight w:val="none"/>
                    </w:rPr>
                    <w:t>PAM、PFS等存放于脱水机房外</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both"/>
                    <w:rPr>
                      <w:color w:val="auto"/>
                      <w:sz w:val="21"/>
                      <w:highlight w:val="none"/>
                    </w:rPr>
                  </w:pPr>
                </w:p>
              </w:tc>
              <w:tc>
                <w:tcPr>
                  <w:tcW w:w="3868" w:type="pct"/>
                  <w:gridSpan w:val="2"/>
                  <w:vAlign w:val="center"/>
                </w:tcPr>
                <w:p>
                  <w:pPr>
                    <w:pStyle w:val="22"/>
                    <w:pageBreakBefore w:val="0"/>
                    <w:kinsoku/>
                    <w:wordWrap/>
                    <w:topLinePunct w:val="0"/>
                    <w:bidi w:val="0"/>
                    <w:spacing w:after="0"/>
                    <w:ind w:left="0" w:leftChars="0" w:right="0" w:rightChars="0" w:firstLine="0"/>
                    <w:rPr>
                      <w:color w:val="auto"/>
                      <w:sz w:val="21"/>
                      <w:highlight w:val="none"/>
                    </w:rPr>
                  </w:pPr>
                  <w:r>
                    <w:rPr>
                      <w:b/>
                      <w:bCs/>
                      <w:color w:val="auto"/>
                      <w:sz w:val="21"/>
                      <w:highlight w:val="none"/>
                    </w:rPr>
                    <w:t>化学试剂：</w:t>
                  </w:r>
                  <w:r>
                    <w:rPr>
                      <w:color w:val="auto"/>
                      <w:sz w:val="21"/>
                      <w:highlight w:val="none"/>
                    </w:rPr>
                    <w:t>存于化验分析室中的试剂柜储存</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环保工程</w:t>
                  </w:r>
                </w:p>
              </w:tc>
              <w:tc>
                <w:tcPr>
                  <w:tcW w:w="358"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废气治理</w:t>
                  </w:r>
                </w:p>
              </w:tc>
              <w:tc>
                <w:tcPr>
                  <w:tcW w:w="3510" w:type="pct"/>
                  <w:vAlign w:val="center"/>
                </w:tcPr>
                <w:p>
                  <w:pPr>
                    <w:pStyle w:val="22"/>
                    <w:pageBreakBefore w:val="0"/>
                    <w:kinsoku/>
                    <w:wordWrap/>
                    <w:topLinePunct w:val="0"/>
                    <w:bidi w:val="0"/>
                    <w:spacing w:after="0"/>
                    <w:ind w:left="0" w:leftChars="0" w:right="0" w:rightChars="0" w:firstLine="0"/>
                    <w:jc w:val="both"/>
                    <w:rPr>
                      <w:color w:val="auto"/>
                      <w:sz w:val="21"/>
                      <w:highlight w:val="none"/>
                    </w:rPr>
                  </w:pPr>
                  <w:r>
                    <w:rPr>
                      <w:color w:val="auto"/>
                      <w:sz w:val="21"/>
                      <w:highlight w:val="none"/>
                    </w:rPr>
                    <w:t>污泥脱水间设置机械排风设施，污泥贮池采用添加石灰、加强通风措施；以粗细格栅、污泥脱水间和污泥贮池的边界设置100米卫生防护距离，并由南坝镇人民政府对卫生防护距离内的居民限期搬迁</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废水治理</w:t>
                  </w:r>
                </w:p>
              </w:tc>
              <w:tc>
                <w:tcPr>
                  <w:tcW w:w="3510" w:type="pct"/>
                  <w:vAlign w:val="center"/>
                </w:tcPr>
                <w:p>
                  <w:pPr>
                    <w:pStyle w:val="22"/>
                    <w:pageBreakBefore w:val="0"/>
                    <w:kinsoku/>
                    <w:wordWrap/>
                    <w:topLinePunct w:val="0"/>
                    <w:bidi w:val="0"/>
                    <w:spacing w:after="0"/>
                    <w:ind w:left="0" w:leftChars="0" w:right="0" w:rightChars="0" w:firstLine="0"/>
                    <w:jc w:val="both"/>
                    <w:rPr>
                      <w:color w:val="auto"/>
                      <w:sz w:val="21"/>
                      <w:highlight w:val="none"/>
                    </w:rPr>
                  </w:pPr>
                  <w:r>
                    <w:rPr>
                      <w:color w:val="auto"/>
                      <w:sz w:val="21"/>
                      <w:highlight w:val="none"/>
                    </w:rPr>
                    <w:t>厂内生活污水、生产废水（化验室器皿清洗废水、设备冲洗废水、地坪冲洗废水、反冲洗废水）、脱水滤液等经厂内污水管道收集后汇入提升泵房，与进厂污水一并处理</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jc w:val="both"/>
                    <w:rPr>
                      <w:bCs/>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jc w:val="both"/>
                    <w:rPr>
                      <w:bCs/>
                      <w:color w:val="auto"/>
                      <w:sz w:val="21"/>
                      <w:highlight w:val="none"/>
                    </w:rPr>
                  </w:pPr>
                  <w:r>
                    <w:rPr>
                      <w:bCs/>
                      <w:color w:val="auto"/>
                      <w:sz w:val="21"/>
                      <w:highlight w:val="none"/>
                    </w:rPr>
                    <w:t>服务范围内的污水通过本项目处理达标后外排前河</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jc w:val="both"/>
                    <w:rPr>
                      <w:bCs/>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rPr>
                      <w:bCs/>
                      <w:color w:val="auto"/>
                      <w:sz w:val="21"/>
                      <w:highlight w:val="none"/>
                    </w:rPr>
                  </w:pPr>
                  <w:r>
                    <w:rPr>
                      <w:bCs/>
                      <w:color w:val="auto"/>
                      <w:sz w:val="21"/>
                      <w:highlight w:val="none"/>
                    </w:rPr>
                    <w:t>进水口已配备有流量、pH、SS、COD、NH</w:t>
                  </w:r>
                  <w:r>
                    <w:rPr>
                      <w:bCs/>
                      <w:color w:val="auto"/>
                      <w:sz w:val="21"/>
                      <w:highlight w:val="none"/>
                      <w:vertAlign w:val="subscript"/>
                    </w:rPr>
                    <w:t>3</w:t>
                  </w:r>
                  <w:r>
                    <w:rPr>
                      <w:bCs/>
                      <w:color w:val="auto"/>
                      <w:sz w:val="21"/>
                      <w:highlight w:val="none"/>
                    </w:rPr>
                    <w:t>-N在线监测设备</w:t>
                  </w:r>
                </w:p>
              </w:tc>
              <w:tc>
                <w:tcPr>
                  <w:tcW w:w="765" w:type="pct"/>
                  <w:vAlign w:val="center"/>
                </w:tcPr>
                <w:p>
                  <w:pPr>
                    <w:pageBreakBefore w:val="0"/>
                    <w:kinsoku/>
                    <w:wordWrap/>
                    <w:topLinePunct w:val="0"/>
                    <w:bidi w:val="0"/>
                    <w:ind w:left="0" w:leftChars="0" w:right="0" w:rightChars="0"/>
                    <w:jc w:val="center"/>
                    <w:rPr>
                      <w:color w:val="auto"/>
                      <w:kern w:val="0"/>
                      <w:highlight w:val="none"/>
                    </w:rPr>
                  </w:pPr>
                  <w:r>
                    <w:rPr>
                      <w:color w:val="auto"/>
                      <w:highlight w:val="none"/>
                    </w:rPr>
                    <w:t>化验废液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Style w:val="22"/>
                    <w:pageBreakBefore w:val="0"/>
                    <w:kinsoku/>
                    <w:wordWrap/>
                    <w:topLinePunct w:val="0"/>
                    <w:bidi w:val="0"/>
                    <w:spacing w:after="0"/>
                    <w:ind w:left="0" w:leftChars="0" w:right="0" w:rightChars="0" w:firstLine="0"/>
                    <w:jc w:val="both"/>
                    <w:rPr>
                      <w:bCs/>
                      <w:color w:val="auto"/>
                      <w:sz w:val="21"/>
                      <w:highlight w:val="none"/>
                    </w:rPr>
                  </w:pPr>
                </w:p>
              </w:tc>
              <w:tc>
                <w:tcPr>
                  <w:tcW w:w="3510" w:type="pct"/>
                  <w:vAlign w:val="center"/>
                </w:tcPr>
                <w:p>
                  <w:pPr>
                    <w:pStyle w:val="22"/>
                    <w:pageBreakBefore w:val="0"/>
                    <w:kinsoku/>
                    <w:wordWrap/>
                    <w:topLinePunct w:val="0"/>
                    <w:bidi w:val="0"/>
                    <w:spacing w:after="0"/>
                    <w:ind w:left="0" w:leftChars="0" w:right="0" w:rightChars="0" w:firstLine="0"/>
                    <w:rPr>
                      <w:bCs/>
                      <w:color w:val="auto"/>
                      <w:sz w:val="21"/>
                      <w:highlight w:val="none"/>
                    </w:rPr>
                  </w:pPr>
                  <w:r>
                    <w:rPr>
                      <w:bCs/>
                      <w:color w:val="auto"/>
                      <w:sz w:val="21"/>
                      <w:highlight w:val="none"/>
                    </w:rPr>
                    <w:t>出水口已配备有流量、pH、SS、COD、NH</w:t>
                  </w:r>
                  <w:r>
                    <w:rPr>
                      <w:bCs/>
                      <w:color w:val="auto"/>
                      <w:sz w:val="21"/>
                      <w:highlight w:val="none"/>
                      <w:vertAlign w:val="subscript"/>
                    </w:rPr>
                    <w:t>3</w:t>
                  </w:r>
                  <w:r>
                    <w:rPr>
                      <w:bCs/>
                      <w:color w:val="auto"/>
                      <w:sz w:val="21"/>
                      <w:highlight w:val="none"/>
                    </w:rPr>
                    <w:t>-N、总氮、总磷、水温在线监测设备</w:t>
                  </w:r>
                </w:p>
              </w:tc>
              <w:tc>
                <w:tcPr>
                  <w:tcW w:w="765" w:type="pct"/>
                  <w:vAlign w:val="center"/>
                </w:tcPr>
                <w:p>
                  <w:pPr>
                    <w:pageBreakBefore w:val="0"/>
                    <w:kinsoku/>
                    <w:wordWrap/>
                    <w:topLinePunct w:val="0"/>
                    <w:bidi w:val="0"/>
                    <w:ind w:left="0" w:leftChars="0" w:right="0" w:rightChars="0"/>
                    <w:jc w:val="center"/>
                    <w:rPr>
                      <w:color w:val="auto"/>
                      <w:kern w:val="0"/>
                      <w:highlight w:val="none"/>
                    </w:rPr>
                  </w:pPr>
                  <w:r>
                    <w:rPr>
                      <w:color w:val="auto"/>
                      <w:highlight w:val="none"/>
                    </w:rPr>
                    <w:t>化验废液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噪声治理</w:t>
                  </w:r>
                </w:p>
              </w:tc>
              <w:tc>
                <w:tcPr>
                  <w:tcW w:w="3510" w:type="pct"/>
                  <w:vAlign w:val="center"/>
                </w:tcPr>
                <w:p>
                  <w:pPr>
                    <w:pageBreakBefore w:val="0"/>
                    <w:kinsoku/>
                    <w:wordWrap/>
                    <w:topLinePunct w:val="0"/>
                    <w:bidi w:val="0"/>
                    <w:ind w:left="0" w:leftChars="0" w:right="0" w:rightChars="0"/>
                    <w:jc w:val="left"/>
                    <w:rPr>
                      <w:color w:val="auto"/>
                      <w:highlight w:val="none"/>
                    </w:rPr>
                  </w:pPr>
                  <w:r>
                    <w:rPr>
                      <w:color w:val="auto"/>
                      <w:highlight w:val="none"/>
                    </w:rPr>
                    <w:t>提升泵、搅拌机、潜水搅拌机、潜污泵、板框式压滤机、鼓风机、反洗水泵等通过选用低噪设备，采取地下或半地下安置方式；水泵、风机等高噪声设备均设置减震措施</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restart"/>
                  <w:vAlign w:val="center"/>
                </w:tcPr>
                <w:p>
                  <w:pPr>
                    <w:pageBreakBefore w:val="0"/>
                    <w:kinsoku/>
                    <w:wordWrap/>
                    <w:topLinePunct w:val="0"/>
                    <w:bidi w:val="0"/>
                    <w:ind w:left="0" w:leftChars="0" w:right="0" w:rightChars="0"/>
                    <w:jc w:val="center"/>
                    <w:rPr>
                      <w:b/>
                      <w:bCs/>
                      <w:color w:val="auto"/>
                      <w:highlight w:val="none"/>
                    </w:rPr>
                  </w:pPr>
                  <w:r>
                    <w:rPr>
                      <w:color w:val="auto"/>
                      <w:highlight w:val="none"/>
                    </w:rPr>
                    <w:t>固废治理</w:t>
                  </w:r>
                </w:p>
              </w:tc>
              <w:tc>
                <w:tcPr>
                  <w:tcW w:w="3510"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生活垃圾、餐厨垃圾：</w:t>
                  </w:r>
                  <w:r>
                    <w:rPr>
                      <w:color w:val="auto"/>
                      <w:highlight w:val="none"/>
                    </w:rPr>
                    <w:t>交由南坝工业园区垃圾分类回收点</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ageBreakBefore w:val="0"/>
                    <w:kinsoku/>
                    <w:wordWrap/>
                    <w:topLinePunct w:val="0"/>
                    <w:bidi w:val="0"/>
                    <w:ind w:left="0" w:leftChars="0" w:right="0" w:rightChars="0"/>
                    <w:jc w:val="center"/>
                    <w:rPr>
                      <w:color w:val="auto"/>
                      <w:highlight w:val="none"/>
                    </w:rPr>
                  </w:pPr>
                </w:p>
              </w:tc>
              <w:tc>
                <w:tcPr>
                  <w:tcW w:w="3510" w:type="pct"/>
                  <w:vAlign w:val="center"/>
                </w:tcPr>
                <w:p>
                  <w:pPr>
                    <w:pageBreakBefore w:val="0"/>
                    <w:kinsoku/>
                    <w:wordWrap/>
                    <w:topLinePunct w:val="0"/>
                    <w:bidi w:val="0"/>
                    <w:ind w:left="0" w:leftChars="0" w:right="0" w:rightChars="0"/>
                    <w:jc w:val="left"/>
                    <w:rPr>
                      <w:rFonts w:hint="eastAsia" w:eastAsia="宋体"/>
                      <w:b/>
                      <w:bCs/>
                      <w:color w:val="auto"/>
                      <w:highlight w:val="none"/>
                      <w:lang w:eastAsia="zh-CN"/>
                    </w:rPr>
                  </w:pPr>
                  <w:r>
                    <w:rPr>
                      <w:b/>
                      <w:bCs/>
                      <w:color w:val="auto"/>
                      <w:highlight w:val="none"/>
                    </w:rPr>
                    <w:t>栅渣及沉砂、污泥：</w:t>
                  </w:r>
                  <w:r>
                    <w:rPr>
                      <w:color w:val="auto"/>
                      <w:highlight w:val="none"/>
                    </w:rPr>
                    <w:t>栅渣及沉砂、污泥脱水后由宣汉县泰鑫保洁有限公司无害化转移至宣汉县垃圾处理厂进行无害化卫生填埋</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ageBreakBefore w:val="0"/>
                    <w:kinsoku/>
                    <w:wordWrap/>
                    <w:topLinePunct w:val="0"/>
                    <w:bidi w:val="0"/>
                    <w:ind w:left="0" w:leftChars="0" w:right="0" w:rightChars="0"/>
                    <w:jc w:val="left"/>
                    <w:rPr>
                      <w:b/>
                      <w:bCs/>
                      <w:color w:val="auto"/>
                      <w:highlight w:val="none"/>
                    </w:rPr>
                  </w:pPr>
                </w:p>
              </w:tc>
              <w:tc>
                <w:tcPr>
                  <w:tcW w:w="3510"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废包装材料：</w:t>
                  </w:r>
                  <w:r>
                    <w:rPr>
                      <w:color w:val="auto"/>
                      <w:highlight w:val="none"/>
                    </w:rPr>
                    <w:t>废包装材料定期交由废品收购站回收</w:t>
                  </w:r>
                </w:p>
              </w:tc>
              <w:tc>
                <w:tcPr>
                  <w:tcW w:w="765"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Merge w:val="continue"/>
                  <w:vAlign w:val="center"/>
                </w:tcPr>
                <w:p>
                  <w:pPr>
                    <w:pageBreakBefore w:val="0"/>
                    <w:kinsoku/>
                    <w:wordWrap/>
                    <w:topLinePunct w:val="0"/>
                    <w:bidi w:val="0"/>
                    <w:ind w:left="0" w:leftChars="0" w:right="0" w:rightChars="0"/>
                    <w:jc w:val="left"/>
                    <w:rPr>
                      <w:b/>
                      <w:bCs/>
                      <w:color w:val="auto"/>
                      <w:highlight w:val="none"/>
                    </w:rPr>
                  </w:pPr>
                </w:p>
              </w:tc>
              <w:tc>
                <w:tcPr>
                  <w:tcW w:w="3510"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化验废液（包含化验室废液与在线监测系统废液）、废机油：</w:t>
                  </w:r>
                  <w:r>
                    <w:rPr>
                      <w:color w:val="auto"/>
                      <w:highlight w:val="none"/>
                    </w:rPr>
                    <w:t>交由南充嘉源环保科技有限责任公司处置</w:t>
                  </w:r>
                </w:p>
              </w:tc>
              <w:tc>
                <w:tcPr>
                  <w:tcW w:w="765" w:type="pct"/>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r>
                    <w:rPr>
                      <w:color w:val="auto"/>
                      <w:sz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地下水防范</w:t>
                  </w:r>
                </w:p>
              </w:tc>
              <w:tc>
                <w:tcPr>
                  <w:tcW w:w="3510" w:type="pct"/>
                  <w:vAlign w:val="center"/>
                </w:tcPr>
                <w:p>
                  <w:pPr>
                    <w:pageBreakBefore w:val="0"/>
                    <w:kinsoku/>
                    <w:wordWrap/>
                    <w:topLinePunct w:val="0"/>
                    <w:bidi w:val="0"/>
                    <w:ind w:left="0" w:leftChars="0" w:right="0" w:rightChars="0"/>
                    <w:jc w:val="left"/>
                    <w:rPr>
                      <w:color w:val="auto"/>
                      <w:highlight w:val="none"/>
                    </w:rPr>
                  </w:pPr>
                  <w:r>
                    <w:rPr>
                      <w:b/>
                      <w:bCs/>
                      <w:color w:val="auto"/>
                      <w:highlight w:val="none"/>
                    </w:rPr>
                    <w:t>重点防渗区：</w:t>
                  </w:r>
                  <w:r>
                    <w:rPr>
                      <w:color w:val="auto"/>
                      <w:highlight w:val="none"/>
                    </w:rPr>
                    <w:t>项目粗格栅及提升泵房、细格栅及旋流沉砂池、厌氧池、氧化沟、二沉池和污泥回流泵井等已采取基础及底板垫层C15防水混凝土+P6等级的C30防水混凝土进行重点防渗；危废暂存间地面及墙裙已采取基础及底板垫层C15防水混凝土+P6等级的C30防水混凝土+2mm环氧树脂进行重点防渗</w:t>
                  </w:r>
                </w:p>
                <w:p>
                  <w:pPr>
                    <w:pageBreakBefore w:val="0"/>
                    <w:kinsoku/>
                    <w:wordWrap/>
                    <w:topLinePunct w:val="0"/>
                    <w:bidi w:val="0"/>
                    <w:ind w:left="0" w:leftChars="0" w:right="0" w:rightChars="0"/>
                    <w:jc w:val="left"/>
                    <w:rPr>
                      <w:color w:val="auto"/>
                      <w:highlight w:val="none"/>
                    </w:rPr>
                  </w:pPr>
                  <w:r>
                    <w:rPr>
                      <w:b/>
                      <w:bCs/>
                      <w:color w:val="auto"/>
                      <w:highlight w:val="none"/>
                    </w:rPr>
                    <w:t>一般防渗区：</w:t>
                  </w:r>
                  <w:r>
                    <w:rPr>
                      <w:color w:val="auto"/>
                      <w:highlight w:val="none"/>
                    </w:rPr>
                    <w:t>项目配电房（含柴油发电机房）、综合大楼、机修及库房等已采取基础及底板垫层C15防水混凝土+C30混凝土</w:t>
                  </w:r>
                </w:p>
                <w:p>
                  <w:pPr>
                    <w:pageBreakBefore w:val="0"/>
                    <w:kinsoku/>
                    <w:wordWrap/>
                    <w:topLinePunct w:val="0"/>
                    <w:bidi w:val="0"/>
                    <w:ind w:left="0" w:leftChars="0" w:right="0" w:rightChars="0"/>
                    <w:jc w:val="left"/>
                    <w:rPr>
                      <w:color w:val="auto"/>
                      <w:highlight w:val="none"/>
                    </w:rPr>
                  </w:pPr>
                  <w:r>
                    <w:rPr>
                      <w:b/>
                      <w:bCs/>
                      <w:color w:val="auto"/>
                      <w:highlight w:val="none"/>
                    </w:rPr>
                    <w:t>简单防渗区：</w:t>
                  </w:r>
                  <w:r>
                    <w:rPr>
                      <w:color w:val="auto"/>
                      <w:highlight w:val="none"/>
                    </w:rPr>
                    <w:t>项目门卫及值班室、厂区道路等已采取地面硬化进行简单防渗</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绿化</w:t>
                  </w:r>
                </w:p>
              </w:tc>
              <w:tc>
                <w:tcPr>
                  <w:tcW w:w="3510" w:type="pct"/>
                  <w:vAlign w:val="center"/>
                </w:tcPr>
                <w:p>
                  <w:pPr>
                    <w:pageBreakBefore w:val="0"/>
                    <w:kinsoku/>
                    <w:wordWrap/>
                    <w:topLinePunct w:val="0"/>
                    <w:bidi w:val="0"/>
                    <w:ind w:left="0" w:leftChars="0" w:right="0" w:rightChars="0"/>
                    <w:jc w:val="left"/>
                    <w:rPr>
                      <w:color w:val="auto"/>
                      <w:highlight w:val="none"/>
                    </w:rPr>
                  </w:pPr>
                  <w:r>
                    <w:rPr>
                      <w:color w:val="auto"/>
                      <w:highlight w:val="none"/>
                    </w:rPr>
                    <w:t>厂前区广场是绿化设计的重点，种植草皮及适宜本地气候植物，厂区围墙周边种植较为高大乔木，厂内以种植草皮花卉为主</w:t>
                  </w:r>
                </w:p>
              </w:tc>
              <w:tc>
                <w:tcPr>
                  <w:tcW w:w="76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w:t>
                  </w:r>
                </w:p>
              </w:tc>
            </w:tr>
          </w:tbl>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四、一期工程处理工艺</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一期工程污水处理工艺流程见下图：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object>
                <v:shape id="_x0000_i1029" o:spt="75" type="#_x0000_t75" style="height:322.45pt;width:391.8pt;" o:ole="t" filled="f" o:preferrelative="t" stroked="f" coordsize="21600,21600">
                  <v:path/>
                  <v:fill on="f" focussize="0,0"/>
                  <v:stroke on="f"/>
                  <v:imagedata r:id="rId21" o:title=""/>
                  <o:lock v:ext="edit" aspectratio="f"/>
                  <w10:wrap type="none"/>
                  <w10:anchorlock/>
                </v:shape>
                <o:OLEObject Type="Embed" ProgID="Visio.Drawing.11" ShapeID="_x0000_i1029" DrawAspect="Content" ObjectID="_1468075729" r:id="rId20">
                  <o:LockedField>false</o:LockedField>
                </o:OLEObject>
              </w:objec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rFonts w:eastAsia="黑体"/>
                <w:color w:val="auto"/>
                <w:highlight w:val="none"/>
              </w:rPr>
              <w:t>图2-7</w:t>
            </w:r>
            <w:r>
              <w:rPr>
                <w:rFonts w:hint="eastAsia" w:eastAsia="黑体"/>
                <w:color w:val="auto"/>
                <w:highlight w:val="none"/>
              </w:rPr>
              <w:t xml:space="preserve"> </w:t>
            </w:r>
            <w:r>
              <w:rPr>
                <w:rFonts w:eastAsia="黑体"/>
                <w:color w:val="auto"/>
                <w:highlight w:val="none"/>
              </w:rPr>
              <w:t>一期工程运营期工艺流程及产污环节图</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五、污染源治理及排放情况</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1、废水</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本次引用四川中蓉达环境保护技术有限公司出具的《宣汉县鑫瀚污水处理有限公司南坝镇城市生活污水处理厂委托检测》（中蓉达（2023）第WT063号）来说明项目一期工程废水排放情况，详见下表。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表2-18</w:t>
            </w:r>
            <w:r>
              <w:rPr>
                <w:rFonts w:hint="eastAsia" w:eastAsia="黑体"/>
                <w:color w:val="auto"/>
                <w:highlight w:val="none"/>
              </w:rPr>
              <w:t xml:space="preserve"> </w:t>
            </w:r>
            <w:r>
              <w:rPr>
                <w:rFonts w:eastAsia="黑体"/>
                <w:color w:val="auto"/>
                <w:highlight w:val="none"/>
              </w:rPr>
              <w:t>废水检测结果表</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700"/>
              <w:gridCol w:w="997"/>
              <w:gridCol w:w="1650"/>
              <w:gridCol w:w="1030"/>
              <w:gridCol w:w="1108"/>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检测时间</w:t>
                  </w:r>
                </w:p>
              </w:tc>
              <w:tc>
                <w:tcPr>
                  <w:tcW w:w="924"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点位</w:t>
                  </w:r>
                </w:p>
              </w:tc>
              <w:tc>
                <w:tcPr>
                  <w:tcW w:w="542"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编号</w:t>
                  </w:r>
                </w:p>
              </w:tc>
              <w:tc>
                <w:tcPr>
                  <w:tcW w:w="1457" w:type="pct"/>
                  <w:gridSpan w:val="2"/>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项目</w:t>
                  </w:r>
                </w:p>
              </w:tc>
              <w:tc>
                <w:tcPr>
                  <w:tcW w:w="602" w:type="pc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结果</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参考标准限值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2023年2月20日</w:t>
                  </w:r>
                </w:p>
              </w:tc>
              <w:tc>
                <w:tcPr>
                  <w:tcW w:w="924"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污水处理设施出口（1#）</w:t>
                  </w:r>
                </w:p>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经度：107.9788，纬度：31.3741</w:t>
                  </w:r>
                </w:p>
              </w:tc>
              <w:tc>
                <w:tcPr>
                  <w:tcW w:w="542"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232015WTS002</w:t>
                  </w: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化学需氧量</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23</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五日生化需氧量</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4.8</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悬浮物</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8.0</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动植物油</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0.49</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石油类</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0.21</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阴离子表面活性剂</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0.05</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总氮</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8.32</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氨氮</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0.198</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总磷</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0.26</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色度（倍）</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8</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pH（无量纲）</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7.4</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粪大肠菌群（MPN/L）</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9.4</w:t>
                  </w:r>
                  <w:r>
                    <w:rPr>
                      <w:color w:val="auto"/>
                      <w:sz w:val="21"/>
                      <w:highlight w:val="none"/>
                      <w:lang w:bidi="ar"/>
                    </w:rPr>
                    <w:t>×10</w:t>
                  </w:r>
                  <w:r>
                    <w:rPr>
                      <w:color w:val="auto"/>
                      <w:sz w:val="21"/>
                      <w:highlight w:val="none"/>
                      <w:vertAlign w:val="superscript"/>
                      <w:lang w:bidi="ar"/>
                    </w:rPr>
                    <w:t>3</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总汞#（</w:t>
                  </w:r>
                  <w:r>
                    <w:rPr>
                      <w:color w:val="auto"/>
                      <w:kern w:val="2"/>
                      <w:sz w:val="21"/>
                      <w:highlight w:val="none"/>
                      <w:lang w:bidi="ar"/>
                    </w:rPr>
                    <w:t>ug/</w:t>
                  </w:r>
                  <w:r>
                    <w:rPr>
                      <w:color w:val="auto"/>
                      <w:sz w:val="21"/>
                      <w:highlight w:val="none"/>
                    </w:rPr>
                    <w:t>L）</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0.04</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97"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烷基汞*（ng/L）</w:t>
                  </w:r>
                </w:p>
              </w:tc>
              <w:tc>
                <w:tcPr>
                  <w:tcW w:w="56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甲基汞</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0.37</w:t>
                  </w:r>
                </w:p>
              </w:tc>
              <w:tc>
                <w:tcPr>
                  <w:tcW w:w="85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9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6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乙基汞</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0.09</w:t>
                  </w:r>
                </w:p>
              </w:tc>
              <w:tc>
                <w:tcPr>
                  <w:tcW w:w="85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总镉</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0.001</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总铬</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0.005</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六价铬</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0.004</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总砷（</w:t>
                  </w:r>
                  <w:r>
                    <w:rPr>
                      <w:color w:val="auto"/>
                      <w:kern w:val="2"/>
                      <w:sz w:val="21"/>
                      <w:highlight w:val="none"/>
                      <w:lang w:bidi="ar"/>
                    </w:rPr>
                    <w:t>ug/</w:t>
                  </w:r>
                  <w:r>
                    <w:rPr>
                      <w:color w:val="auto"/>
                      <w:sz w:val="21"/>
                      <w:highlight w:val="none"/>
                    </w:rPr>
                    <w:t>L）</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1.6</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总铅</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0.01</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挥发酚</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0.01</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7"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92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54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1457" w:type="pct"/>
                  <w:gridSpan w:val="2"/>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总氰化物</w:t>
                  </w:r>
                </w:p>
              </w:tc>
              <w:tc>
                <w:tcPr>
                  <w:tcW w:w="602"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0.001</w:t>
                  </w:r>
                  <w:r>
                    <w:rPr>
                      <w:color w:val="auto"/>
                      <w:sz w:val="21"/>
                      <w:highlight w:val="none"/>
                      <w:vertAlign w:val="superscript"/>
                    </w:rPr>
                    <w:t>L</w:t>
                  </w:r>
                </w:p>
              </w:tc>
              <w:tc>
                <w:tcPr>
                  <w:tcW w:w="85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0.5</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中蓉达（2023）第WT063号报告，监测期间，一期工程出水水质满足《城镇污水处理厂污染物排放标准》（GB18918-2002）表1基本控制项目最高运行排放浓度（日均值）中一级B标准、表2部分一类污染物最高运行排放浓度（日均值）及表3选择控制项目最高运行排放浓度（日均值）。</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2、废气</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本次环评引用达州恒福环境监测服务有限公司出具的《宣汉县南坝镇城市生活污水处理厂提标改造及二期工程建设项目》（恒福（环）检字（2023）第0603号）来说明项目一期工程废气排放情况，详见下表。</w:t>
            </w:r>
          </w:p>
          <w:p>
            <w:pPr>
              <w:pageBreakBefore w:val="0"/>
              <w:kinsoku/>
              <w:wordWrap/>
              <w:topLinePunct w:val="0"/>
              <w:bidi w:val="0"/>
              <w:spacing w:line="360" w:lineRule="auto"/>
              <w:ind w:left="0" w:leftChars="0" w:right="0" w:rightChars="0"/>
              <w:jc w:val="center"/>
              <w:rPr>
                <w:rFonts w:hint="default" w:eastAsia="黑体"/>
                <w:color w:val="auto"/>
                <w:sz w:val="24"/>
                <w:szCs w:val="24"/>
                <w:highlight w:val="none"/>
                <w:lang w:val="en-US" w:eastAsia="zh-CN" w:bidi="ar"/>
              </w:rPr>
            </w:pPr>
            <w:r>
              <w:rPr>
                <w:rFonts w:eastAsia="黑体"/>
                <w:color w:val="auto"/>
                <w:highlight w:val="none"/>
              </w:rPr>
              <w:t>表2-19</w:t>
            </w:r>
            <w:r>
              <w:rPr>
                <w:rFonts w:hint="eastAsia" w:eastAsia="黑体"/>
                <w:color w:val="auto"/>
                <w:highlight w:val="none"/>
              </w:rPr>
              <w:t xml:space="preserve"> </w:t>
            </w:r>
            <w:r>
              <w:rPr>
                <w:rFonts w:eastAsia="黑体"/>
                <w:color w:val="auto"/>
                <w:highlight w:val="none"/>
              </w:rPr>
              <w:t>废气检测结果表</w:t>
            </w:r>
            <w:r>
              <w:rPr>
                <w:rFonts w:hint="eastAsia" w:eastAsia="黑体"/>
                <w:color w:val="auto"/>
                <w:highlight w:val="none"/>
                <w:lang w:val="en-US" w:eastAsia="zh-CN"/>
              </w:rPr>
              <w:t xml:space="preserve">  单位：</w:t>
            </w:r>
            <w:r>
              <w:rPr>
                <w:rFonts w:ascii="Times New Roman" w:hAnsi="Times New Roman" w:cs="Times New Roman"/>
                <w:bCs/>
                <w:color w:val="auto"/>
                <w:sz w:val="21"/>
                <w:szCs w:val="21"/>
                <w:highlight w:val="none"/>
              </w:rPr>
              <w:t>mg/m</w:t>
            </w:r>
            <w:r>
              <w:rPr>
                <w:rFonts w:ascii="Times New Roman" w:hAnsi="Times New Roman" w:cs="Times New Roman"/>
                <w:bCs/>
                <w:color w:val="auto"/>
                <w:sz w:val="21"/>
                <w:szCs w:val="21"/>
                <w:highlight w:val="none"/>
                <w:vertAlign w:val="superscript"/>
              </w:rPr>
              <w:t>3</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068"/>
              <w:gridCol w:w="2662"/>
              <w:gridCol w:w="970"/>
              <w:gridCol w:w="971"/>
              <w:gridCol w:w="1023"/>
              <w:gridCol w:w="917"/>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88" w:type="pct"/>
                  <w:vMerge w:val="restart"/>
                  <w:shd w:val="clear" w:color="auto" w:fill="auto"/>
                  <w:vAlign w:val="center"/>
                </w:tcPr>
                <w:p>
                  <w:pPr>
                    <w:pageBreakBefore w:val="0"/>
                    <w:kinsoku/>
                    <w:wordWrap/>
                    <w:topLinePunct w:val="0"/>
                    <w:bidi w:val="0"/>
                    <w:ind w:left="0" w:leftChars="0" w:right="0" w:rightChars="0"/>
                    <w:jc w:val="center"/>
                    <w:rPr>
                      <w:b/>
                      <w:color w:val="auto"/>
                      <w:highlight w:val="none"/>
                    </w:rPr>
                  </w:pPr>
                  <w:r>
                    <w:rPr>
                      <w:b/>
                      <w:color w:val="auto"/>
                      <w:highlight w:val="none"/>
                    </w:rPr>
                    <w:t>采样</w:t>
                  </w:r>
                </w:p>
                <w:p>
                  <w:pPr>
                    <w:pageBreakBefore w:val="0"/>
                    <w:kinsoku/>
                    <w:wordWrap/>
                    <w:topLinePunct w:val="0"/>
                    <w:bidi w:val="0"/>
                    <w:ind w:left="0" w:leftChars="0" w:right="0" w:rightChars="0"/>
                    <w:jc w:val="center"/>
                    <w:rPr>
                      <w:b/>
                      <w:color w:val="auto"/>
                      <w:highlight w:val="none"/>
                    </w:rPr>
                  </w:pPr>
                  <w:r>
                    <w:rPr>
                      <w:b/>
                      <w:color w:val="auto"/>
                      <w:highlight w:val="none"/>
                    </w:rPr>
                    <w:t>日期</w:t>
                  </w:r>
                </w:p>
              </w:tc>
              <w:tc>
                <w:tcPr>
                  <w:tcW w:w="580"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检测因子</w:t>
                  </w:r>
                </w:p>
              </w:tc>
              <w:tc>
                <w:tcPr>
                  <w:tcW w:w="1447"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检测点编号及位置</w:t>
                  </w:r>
                </w:p>
              </w:tc>
              <w:tc>
                <w:tcPr>
                  <w:tcW w:w="2110" w:type="pct"/>
                  <w:gridSpan w:val="4"/>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检测数据</w:t>
                  </w:r>
                </w:p>
              </w:tc>
              <w:tc>
                <w:tcPr>
                  <w:tcW w:w="472" w:type="pct"/>
                  <w:vMerge w:val="restar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sz w:val="21"/>
                      <w:highlight w:val="none"/>
                    </w:rPr>
                    <w:t>参考标准限值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88"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447"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527"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第一次</w:t>
                  </w:r>
                </w:p>
              </w:tc>
              <w:tc>
                <w:tcPr>
                  <w:tcW w:w="527"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第二次</w:t>
                  </w:r>
                </w:p>
              </w:tc>
              <w:tc>
                <w:tcPr>
                  <w:tcW w:w="556"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第三次</w:t>
                  </w:r>
                </w:p>
              </w:tc>
              <w:tc>
                <w:tcPr>
                  <w:tcW w:w="49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第四次</w:t>
                  </w:r>
                </w:p>
              </w:tc>
              <w:tc>
                <w:tcPr>
                  <w:tcW w:w="472"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2023.</w:t>
                  </w:r>
                </w:p>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06.24</w:t>
                  </w:r>
                </w:p>
              </w:tc>
              <w:tc>
                <w:tcPr>
                  <w:tcW w:w="580"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氨</w:t>
                  </w:r>
                </w:p>
              </w:tc>
              <w:tc>
                <w:tcPr>
                  <w:tcW w:w="144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1#，污水厂北侧厂界上风向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0.15</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0.12</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0.16</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0.14</w:t>
                  </w:r>
                </w:p>
              </w:tc>
              <w:tc>
                <w:tcPr>
                  <w:tcW w:w="472" w:type="pct"/>
                  <w:vMerge w:val="restart"/>
                  <w:shd w:val="clear" w:color="auto" w:fill="auto"/>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spacing w:val="12"/>
                      <w:kern w:val="28"/>
                      <w:highlight w:val="none"/>
                    </w:rPr>
                    <w:t>2#，</w:t>
                  </w:r>
                  <w:r>
                    <w:rPr>
                      <w:color w:val="auto"/>
                      <w:highlight w:val="none"/>
                    </w:rPr>
                    <w:t>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0.29</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0.19</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0.24</w:t>
                  </w:r>
                </w:p>
              </w:tc>
              <w:tc>
                <w:tcPr>
                  <w:tcW w:w="47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bidi w:val="0"/>
                    <w:ind w:left="0" w:leftChars="0" w:right="0" w:rightChars="0"/>
                    <w:jc w:val="center"/>
                    <w:rPr>
                      <w:bCs/>
                      <w:color w:val="auto"/>
                      <w:spacing w:val="12"/>
                      <w:kern w:val="28"/>
                      <w:highlight w:val="none"/>
                    </w:rPr>
                  </w:pPr>
                  <w:r>
                    <w:rPr>
                      <w:bCs/>
                      <w:color w:val="auto"/>
                      <w:spacing w:val="12"/>
                      <w:kern w:val="28"/>
                      <w:highlight w:val="none"/>
                    </w:rPr>
                    <w:t>3#，</w:t>
                  </w:r>
                  <w:r>
                    <w:rPr>
                      <w:color w:val="auto"/>
                      <w:highlight w:val="none"/>
                    </w:rPr>
                    <w:t>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0.25</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0.23</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0.22</w:t>
                  </w:r>
                </w:p>
              </w:tc>
              <w:tc>
                <w:tcPr>
                  <w:tcW w:w="47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bidi w:val="0"/>
                    <w:ind w:left="0" w:leftChars="0" w:right="0" w:rightChars="0"/>
                    <w:jc w:val="center"/>
                    <w:rPr>
                      <w:bCs/>
                      <w:color w:val="auto"/>
                      <w:spacing w:val="12"/>
                      <w:kern w:val="28"/>
                      <w:highlight w:val="none"/>
                    </w:rPr>
                  </w:pPr>
                  <w:r>
                    <w:rPr>
                      <w:bCs/>
                      <w:color w:val="auto"/>
                      <w:spacing w:val="12"/>
                      <w:kern w:val="28"/>
                      <w:highlight w:val="none"/>
                    </w:rPr>
                    <w:t>4#，</w:t>
                  </w:r>
                  <w:r>
                    <w:rPr>
                      <w:color w:val="auto"/>
                      <w:highlight w:val="none"/>
                    </w:rPr>
                    <w:t>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0.28</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0.25</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0.26</w:t>
                  </w:r>
                </w:p>
              </w:tc>
              <w:tc>
                <w:tcPr>
                  <w:tcW w:w="47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硫化氢</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1#，污水厂北侧厂界上风向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restart"/>
                  <w:shd w:val="clear" w:color="auto" w:fill="auto"/>
                  <w:vAlign w:val="center"/>
                </w:tcPr>
                <w:p>
                  <w:pPr>
                    <w:pageBreakBefore w:val="0"/>
                    <w:kinsoku/>
                    <w:wordWrap/>
                    <w:topLinePunct w:val="0"/>
                    <w:bidi w:val="0"/>
                    <w:ind w:left="0" w:leftChars="0" w:right="0" w:rightChars="0"/>
                    <w:jc w:val="center"/>
                    <w:rPr>
                      <w:rFonts w:hint="default" w:eastAsia="宋体"/>
                      <w:bCs/>
                      <w:color w:val="auto"/>
                      <w:highlight w:val="none"/>
                      <w:lang w:val="en-US" w:eastAsia="zh-CN"/>
                    </w:rPr>
                  </w:pPr>
                  <w:r>
                    <w:rPr>
                      <w:rFonts w:hint="eastAsia"/>
                      <w:bCs/>
                      <w:color w:val="auto"/>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3#，污水厂南侧下风向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4#，污水厂南侧下风向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臭气</w:t>
                  </w:r>
                </w:p>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浓度</w:t>
                  </w:r>
                </w:p>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（无量纲）</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1#，污水厂北侧厂界上风向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restart"/>
                  <w:shd w:val="clear" w:color="auto" w:fill="auto"/>
                  <w:vAlign w:val="center"/>
                </w:tcPr>
                <w:p>
                  <w:pPr>
                    <w:pageBreakBefore w:val="0"/>
                    <w:kinsoku/>
                    <w:wordWrap/>
                    <w:topLinePunct w:val="0"/>
                    <w:bidi w:val="0"/>
                    <w:ind w:left="0" w:leftChars="0" w:right="0" w:rightChars="0"/>
                    <w:jc w:val="center"/>
                    <w:rPr>
                      <w:rFonts w:hint="default" w:eastAsia="宋体"/>
                      <w:bCs/>
                      <w:color w:val="auto"/>
                      <w:highlight w:val="none"/>
                      <w:lang w:val="en-US" w:eastAsia="zh-CN"/>
                    </w:rPr>
                  </w:pPr>
                  <w:r>
                    <w:rPr>
                      <w:rFonts w:hint="eastAsia"/>
                      <w:bCs/>
                      <w:color w:val="auto"/>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3#，污水厂南侧下风向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4#，污水厂南侧下风向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甲烷（%）</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5#，污水厂曝气池上方</w:t>
                  </w:r>
                </w:p>
              </w:tc>
              <w:tc>
                <w:tcPr>
                  <w:tcW w:w="527" w:type="pct"/>
                  <w:shd w:val="clear" w:color="auto" w:fill="auto"/>
                  <w:vAlign w:val="center"/>
                </w:tcPr>
                <w:p>
                  <w:pPr>
                    <w:autoSpaceDE w:val="0"/>
                    <w:autoSpaceDN w:val="0"/>
                    <w:jc w:val="center"/>
                    <w:rPr>
                      <w:color w:val="auto"/>
                      <w:highlight w:val="none"/>
                    </w:rPr>
                  </w:pPr>
                  <w:r>
                    <w:rPr>
                      <w:rFonts w:hint="eastAsia"/>
                      <w:color w:val="auto"/>
                      <w:szCs w:val="21"/>
                      <w:highlight w:val="none"/>
                    </w:rPr>
                    <w:t>0.00014</w:t>
                  </w:r>
                </w:p>
              </w:tc>
              <w:tc>
                <w:tcPr>
                  <w:tcW w:w="527" w:type="pct"/>
                  <w:shd w:val="clear" w:color="auto" w:fill="auto"/>
                  <w:vAlign w:val="center"/>
                </w:tcPr>
                <w:p>
                  <w:pPr>
                    <w:autoSpaceDE w:val="0"/>
                    <w:autoSpaceDN w:val="0"/>
                    <w:jc w:val="center"/>
                    <w:rPr>
                      <w:color w:val="auto"/>
                      <w:highlight w:val="none"/>
                    </w:rPr>
                  </w:pPr>
                  <w:r>
                    <w:rPr>
                      <w:rFonts w:hint="eastAsia"/>
                      <w:color w:val="auto"/>
                      <w:szCs w:val="21"/>
                      <w:highlight w:val="none"/>
                    </w:rPr>
                    <w:t>0.00012</w:t>
                  </w:r>
                </w:p>
              </w:tc>
              <w:tc>
                <w:tcPr>
                  <w:tcW w:w="556" w:type="pct"/>
                  <w:shd w:val="clear" w:color="auto" w:fill="auto"/>
                  <w:vAlign w:val="center"/>
                </w:tcPr>
                <w:p>
                  <w:pPr>
                    <w:jc w:val="center"/>
                    <w:rPr>
                      <w:bCs/>
                      <w:color w:val="auto"/>
                      <w:spacing w:val="12"/>
                      <w:kern w:val="28"/>
                      <w:highlight w:val="none"/>
                    </w:rPr>
                  </w:pPr>
                  <w:r>
                    <w:rPr>
                      <w:rFonts w:hint="eastAsia"/>
                      <w:bCs/>
                      <w:color w:val="auto"/>
                      <w:spacing w:val="12"/>
                      <w:kern w:val="28"/>
                      <w:szCs w:val="21"/>
                      <w:highlight w:val="none"/>
                    </w:rPr>
                    <w:t>0.00012</w:t>
                  </w:r>
                </w:p>
              </w:tc>
              <w:tc>
                <w:tcPr>
                  <w:tcW w:w="499" w:type="pct"/>
                  <w:shd w:val="clear" w:color="auto" w:fill="auto"/>
                  <w:vAlign w:val="center"/>
                </w:tcPr>
                <w:p>
                  <w:pPr>
                    <w:jc w:val="center"/>
                    <w:rPr>
                      <w:bCs/>
                      <w:color w:val="auto"/>
                      <w:highlight w:val="none"/>
                    </w:rPr>
                  </w:pPr>
                  <w:r>
                    <w:rPr>
                      <w:rFonts w:hint="eastAsia"/>
                      <w:bCs/>
                      <w:color w:val="auto"/>
                      <w:szCs w:val="21"/>
                      <w:highlight w:val="none"/>
                    </w:rPr>
                    <w:t>0.00008</w:t>
                  </w:r>
                </w:p>
              </w:tc>
              <w:tc>
                <w:tcPr>
                  <w:tcW w:w="472" w:type="pct"/>
                  <w:shd w:val="clear" w:color="auto" w:fill="auto"/>
                  <w:vAlign w:val="center"/>
                </w:tcPr>
                <w:p>
                  <w:pPr>
                    <w:jc w:val="center"/>
                    <w:rPr>
                      <w:rFonts w:hint="eastAsia" w:eastAsia="宋体"/>
                      <w:bCs/>
                      <w:color w:val="auto"/>
                      <w:szCs w:val="21"/>
                      <w:highlight w:val="none"/>
                      <w:lang w:val="en-US" w:eastAsia="zh-CN"/>
                    </w:rPr>
                  </w:pPr>
                  <w:r>
                    <w:rPr>
                      <w:rFonts w:hint="eastAsia"/>
                      <w:bCs/>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2023.</w:t>
                  </w:r>
                </w:p>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06.25</w:t>
                  </w:r>
                </w:p>
              </w:tc>
              <w:tc>
                <w:tcPr>
                  <w:tcW w:w="580"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氨</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1#，污水厂北侧厂界上风向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0.15</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0.13</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0.12</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0.11</w:t>
                  </w:r>
                </w:p>
              </w:tc>
              <w:tc>
                <w:tcPr>
                  <w:tcW w:w="472"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0.23</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0.18</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0.19</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0.19</w:t>
                  </w:r>
                </w:p>
              </w:tc>
              <w:tc>
                <w:tcPr>
                  <w:tcW w:w="47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3#，污水厂南侧下风向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0.28</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0.22</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0.17</w:t>
                  </w:r>
                </w:p>
              </w:tc>
              <w:tc>
                <w:tcPr>
                  <w:tcW w:w="47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4#，污水厂南侧下风向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0.19</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0.23</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0.22</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0.20</w:t>
                  </w:r>
                </w:p>
              </w:tc>
              <w:tc>
                <w:tcPr>
                  <w:tcW w:w="47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硫化氢</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1#，污水厂北侧厂界上风向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restart"/>
                  <w:shd w:val="clear" w:color="auto" w:fill="auto"/>
                  <w:vAlign w:val="center"/>
                </w:tcPr>
                <w:p>
                  <w:pPr>
                    <w:pageBreakBefore w:val="0"/>
                    <w:kinsoku/>
                    <w:wordWrap/>
                    <w:topLinePunct w:val="0"/>
                    <w:bidi w:val="0"/>
                    <w:ind w:left="0" w:leftChars="0" w:right="0" w:rightChars="0"/>
                    <w:jc w:val="center"/>
                    <w:rPr>
                      <w:bCs/>
                      <w:color w:val="auto"/>
                      <w:highlight w:val="none"/>
                    </w:rPr>
                  </w:pPr>
                  <w:r>
                    <w:rPr>
                      <w:rFonts w:hint="eastAsia"/>
                      <w:bCs/>
                      <w:color w:val="auto"/>
                      <w:highlight w:val="none"/>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3#，污水厂南侧下风向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4#，污水厂南侧下风向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&lt;0.001</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restar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臭气</w:t>
                  </w:r>
                </w:p>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浓度</w:t>
                  </w:r>
                </w:p>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（无量纲）</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1#，污水厂北侧厂界上风向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restart"/>
                  <w:shd w:val="clear" w:color="auto" w:fill="auto"/>
                  <w:vAlign w:val="center"/>
                </w:tcPr>
                <w:p>
                  <w:pPr>
                    <w:pageBreakBefore w:val="0"/>
                    <w:kinsoku/>
                    <w:wordWrap/>
                    <w:topLinePunct w:val="0"/>
                    <w:bidi w:val="0"/>
                    <w:ind w:left="0" w:leftChars="0" w:right="0" w:rightChars="0"/>
                    <w:jc w:val="center"/>
                    <w:rPr>
                      <w:bCs/>
                      <w:color w:val="auto"/>
                      <w:highlight w:val="none"/>
                    </w:rPr>
                  </w:pPr>
                  <w:r>
                    <w:rPr>
                      <w:rFonts w:hint="eastAsia"/>
                      <w:bCs/>
                      <w:color w:val="auto"/>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3#，污水厂南侧下风向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4#，污水厂南侧下风向</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27"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556"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99"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&lt;10</w:t>
                  </w:r>
                </w:p>
              </w:tc>
              <w:tc>
                <w:tcPr>
                  <w:tcW w:w="472" w:type="pct"/>
                  <w:vMerge w:val="continue"/>
                  <w:shd w:val="clear" w:color="auto" w:fill="auto"/>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8" w:type="pct"/>
                  <w:vMerge w:val="continue"/>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p>
              </w:tc>
              <w:tc>
                <w:tcPr>
                  <w:tcW w:w="580"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甲烷（%）</w:t>
                  </w:r>
                </w:p>
              </w:tc>
              <w:tc>
                <w:tcPr>
                  <w:tcW w:w="1447" w:type="pct"/>
                  <w:shd w:val="clear" w:color="auto" w:fill="auto"/>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5#，污水厂曝气池上方</w:t>
                  </w:r>
                </w:p>
              </w:tc>
              <w:tc>
                <w:tcPr>
                  <w:tcW w:w="527" w:type="pct"/>
                  <w:shd w:val="clear" w:color="auto" w:fill="auto"/>
                  <w:vAlign w:val="center"/>
                </w:tcPr>
                <w:p>
                  <w:pPr>
                    <w:autoSpaceDE w:val="0"/>
                    <w:autoSpaceDN w:val="0"/>
                    <w:jc w:val="center"/>
                    <w:rPr>
                      <w:color w:val="auto"/>
                      <w:highlight w:val="none"/>
                    </w:rPr>
                  </w:pPr>
                  <w:r>
                    <w:rPr>
                      <w:rFonts w:hint="eastAsia"/>
                      <w:color w:val="auto"/>
                      <w:szCs w:val="21"/>
                      <w:highlight w:val="none"/>
                    </w:rPr>
                    <w:t>0.00010</w:t>
                  </w:r>
                </w:p>
              </w:tc>
              <w:tc>
                <w:tcPr>
                  <w:tcW w:w="527" w:type="pct"/>
                  <w:shd w:val="clear" w:color="auto" w:fill="auto"/>
                  <w:vAlign w:val="center"/>
                </w:tcPr>
                <w:p>
                  <w:pPr>
                    <w:autoSpaceDE w:val="0"/>
                    <w:autoSpaceDN w:val="0"/>
                    <w:jc w:val="center"/>
                    <w:rPr>
                      <w:color w:val="auto"/>
                      <w:highlight w:val="none"/>
                    </w:rPr>
                  </w:pPr>
                  <w:r>
                    <w:rPr>
                      <w:rFonts w:hint="eastAsia"/>
                      <w:color w:val="auto"/>
                      <w:szCs w:val="21"/>
                      <w:highlight w:val="none"/>
                    </w:rPr>
                    <w:t>0.00009</w:t>
                  </w:r>
                </w:p>
              </w:tc>
              <w:tc>
                <w:tcPr>
                  <w:tcW w:w="556" w:type="pct"/>
                  <w:shd w:val="clear" w:color="auto" w:fill="auto"/>
                  <w:vAlign w:val="center"/>
                </w:tcPr>
                <w:p>
                  <w:pPr>
                    <w:jc w:val="center"/>
                    <w:rPr>
                      <w:bCs/>
                      <w:color w:val="auto"/>
                      <w:spacing w:val="12"/>
                      <w:kern w:val="28"/>
                      <w:highlight w:val="none"/>
                    </w:rPr>
                  </w:pPr>
                  <w:r>
                    <w:rPr>
                      <w:rFonts w:hint="eastAsia"/>
                      <w:bCs/>
                      <w:color w:val="auto"/>
                      <w:spacing w:val="12"/>
                      <w:kern w:val="28"/>
                      <w:szCs w:val="21"/>
                      <w:highlight w:val="none"/>
                    </w:rPr>
                    <w:t>0.00010</w:t>
                  </w:r>
                </w:p>
              </w:tc>
              <w:tc>
                <w:tcPr>
                  <w:tcW w:w="499" w:type="pct"/>
                  <w:shd w:val="clear" w:color="auto" w:fill="auto"/>
                  <w:vAlign w:val="center"/>
                </w:tcPr>
                <w:p>
                  <w:pPr>
                    <w:jc w:val="center"/>
                    <w:rPr>
                      <w:bCs/>
                      <w:color w:val="auto"/>
                      <w:highlight w:val="none"/>
                    </w:rPr>
                  </w:pPr>
                  <w:r>
                    <w:rPr>
                      <w:rFonts w:hint="eastAsia"/>
                      <w:bCs/>
                      <w:color w:val="auto"/>
                      <w:szCs w:val="21"/>
                      <w:highlight w:val="none"/>
                    </w:rPr>
                    <w:t>0.00009</w:t>
                  </w:r>
                </w:p>
              </w:tc>
              <w:tc>
                <w:tcPr>
                  <w:tcW w:w="472" w:type="pct"/>
                  <w:shd w:val="clear" w:color="auto" w:fill="auto"/>
                  <w:vAlign w:val="center"/>
                </w:tcPr>
                <w:p>
                  <w:pPr>
                    <w:jc w:val="center"/>
                    <w:rPr>
                      <w:rFonts w:hint="eastAsia"/>
                      <w:bCs/>
                      <w:color w:val="auto"/>
                      <w:szCs w:val="21"/>
                      <w:highlight w:val="none"/>
                    </w:rPr>
                  </w:pPr>
                  <w:r>
                    <w:rPr>
                      <w:rFonts w:hint="eastAsia"/>
                      <w:bCs/>
                      <w:color w:val="auto"/>
                      <w:szCs w:val="21"/>
                      <w:highlight w:val="none"/>
                      <w:lang w:val="en-US" w:eastAsia="zh-CN"/>
                    </w:rPr>
                    <w:t>1</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根据恒福（环）检字（2023）第0603号报告，监测期间，项目生产过程中产生的无组织废气满足《城镇污水处理厂污染物排放标准》（GB18918-2002）表4中二级标准。</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3、噪声</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一期工程运营时，主要噪声源为提升泵房、各类水泵等设备运行噪声；在噪声控制方面，项目选用低噪声设备，合理进行总平面布局，高噪声设备置于房间内，安装减震垫等措施来降低工程对周边环境的影响。本次环评引用达州恒福环境监测服务有限公司出具的《宣汉县南坝镇城市生活污水处理厂提标改造及二期工程建设项目》（恒福（环）检字（2023）第0603号）来说明项目一期工程噪声对外环境影响，详见下表。</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rFonts w:eastAsia="黑体"/>
                <w:color w:val="auto"/>
                <w:highlight w:val="none"/>
              </w:rPr>
              <w:t>表2-20</w:t>
            </w:r>
            <w:r>
              <w:rPr>
                <w:rFonts w:hint="eastAsia" w:eastAsia="黑体"/>
                <w:color w:val="auto"/>
                <w:highlight w:val="none"/>
              </w:rPr>
              <w:t xml:space="preserve"> </w:t>
            </w:r>
            <w:r>
              <w:rPr>
                <w:rFonts w:eastAsia="黑体"/>
                <w:color w:val="auto"/>
                <w:highlight w:val="none"/>
              </w:rPr>
              <w:t>厂界噪声检测结果表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6"/>
              <w:gridCol w:w="1008"/>
              <w:gridCol w:w="2136"/>
              <w:gridCol w:w="1252"/>
              <w:gridCol w:w="1252"/>
              <w:gridCol w:w="1252"/>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3" w:type="pct"/>
                  <w:vMerge w:val="restar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
                      <w:color w:val="auto"/>
                      <w:sz w:val="21"/>
                      <w:szCs w:val="21"/>
                      <w:highlight w:val="none"/>
                    </w:rPr>
                  </w:pPr>
                  <w:r>
                    <w:rPr>
                      <w:rFonts w:cs="Times New Roman"/>
                      <w:b/>
                      <w:color w:val="auto"/>
                      <w:sz w:val="21"/>
                      <w:szCs w:val="21"/>
                      <w:highlight w:val="none"/>
                    </w:rPr>
                    <w:t>采样日期</w:t>
                  </w:r>
                </w:p>
              </w:tc>
              <w:tc>
                <w:tcPr>
                  <w:tcW w:w="548" w:type="pct"/>
                  <w:vMerge w:val="restar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
                      <w:color w:val="auto"/>
                      <w:sz w:val="21"/>
                      <w:szCs w:val="21"/>
                      <w:highlight w:val="none"/>
                    </w:rPr>
                  </w:pPr>
                  <w:r>
                    <w:rPr>
                      <w:rFonts w:cs="Times New Roman"/>
                      <w:b/>
                      <w:color w:val="auto"/>
                      <w:sz w:val="21"/>
                      <w:szCs w:val="21"/>
                      <w:highlight w:val="none"/>
                    </w:rPr>
                    <w:t>检测因子</w:t>
                  </w:r>
                </w:p>
              </w:tc>
              <w:tc>
                <w:tcPr>
                  <w:tcW w:w="1161" w:type="pct"/>
                  <w:vMerge w:val="restar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
                      <w:color w:val="auto"/>
                      <w:sz w:val="21"/>
                      <w:szCs w:val="21"/>
                      <w:highlight w:val="none"/>
                    </w:rPr>
                  </w:pPr>
                  <w:r>
                    <w:rPr>
                      <w:rFonts w:cs="Times New Roman"/>
                      <w:b/>
                      <w:bCs/>
                      <w:color w:val="auto"/>
                      <w:sz w:val="21"/>
                      <w:szCs w:val="21"/>
                      <w:highlight w:val="none"/>
                    </w:rPr>
                    <w:t>检测点编号及位置</w:t>
                  </w:r>
                </w:p>
              </w:tc>
              <w:tc>
                <w:tcPr>
                  <w:tcW w:w="2726" w:type="pct"/>
                  <w:gridSpan w:val="4"/>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b/>
                      <w:bCs/>
                      <w:color w:val="auto"/>
                      <w:highlight w:val="none"/>
                    </w:rPr>
                  </w:pPr>
                  <w:r>
                    <w:rPr>
                      <w:b/>
                      <w:color w:val="auto"/>
                      <w:spacing w:val="-6"/>
                      <w:szCs w:val="21"/>
                      <w:highlight w:val="none"/>
                    </w:rPr>
                    <w:t>检测时段及检测结果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3"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548"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1161"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b/>
                      <w:color w:val="auto"/>
                      <w:spacing w:val="-6"/>
                      <w:highlight w:val="none"/>
                    </w:rPr>
                  </w:pPr>
                  <w:r>
                    <w:rPr>
                      <w:b/>
                      <w:color w:val="auto"/>
                      <w:spacing w:val="-6"/>
                      <w:highlight w:val="none"/>
                    </w:rPr>
                    <w:t>检测时段</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b/>
                      <w:color w:val="auto"/>
                      <w:spacing w:val="-6"/>
                      <w:highlight w:val="none"/>
                    </w:rPr>
                  </w:pPr>
                  <w:r>
                    <w:rPr>
                      <w:b/>
                      <w:color w:val="auto"/>
                      <w:spacing w:val="-6"/>
                      <w:highlight w:val="none"/>
                    </w:rPr>
                    <w:t>昼间</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b/>
                      <w:color w:val="auto"/>
                      <w:spacing w:val="-6"/>
                      <w:highlight w:val="none"/>
                    </w:rPr>
                  </w:pPr>
                  <w:r>
                    <w:rPr>
                      <w:b/>
                      <w:color w:val="auto"/>
                      <w:spacing w:val="-6"/>
                      <w:highlight w:val="none"/>
                    </w:rPr>
                    <w:t>检测时段</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b/>
                      <w:color w:val="auto"/>
                      <w:spacing w:val="-6"/>
                      <w:highlight w:val="none"/>
                    </w:rPr>
                  </w:pPr>
                  <w:r>
                    <w:rPr>
                      <w:b/>
                      <w:color w:val="auto"/>
                      <w:spacing w:val="-6"/>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3" w:type="pct"/>
                  <w:vMerge w:val="restar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r>
                    <w:rPr>
                      <w:color w:val="auto"/>
                      <w:highlight w:val="none"/>
                    </w:rPr>
                    <w:t>2023.06.25</w:t>
                  </w:r>
                </w:p>
              </w:tc>
              <w:tc>
                <w:tcPr>
                  <w:tcW w:w="548" w:type="pct"/>
                  <w:vMerge w:val="restar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bCs/>
                      <w:color w:val="auto"/>
                      <w:kern w:val="0"/>
                      <w:highlight w:val="none"/>
                    </w:rPr>
                  </w:pPr>
                  <w:r>
                    <w:rPr>
                      <w:snapToGrid w:val="0"/>
                      <w:color w:val="auto"/>
                      <w:highlight w:val="none"/>
                    </w:rPr>
                    <w:t>L</w:t>
                  </w:r>
                  <w:r>
                    <w:rPr>
                      <w:snapToGrid w:val="0"/>
                      <w:color w:val="auto"/>
                      <w:highlight w:val="none"/>
                      <w:vertAlign w:val="subscript"/>
                    </w:rPr>
                    <w:t>eq</w:t>
                  </w:r>
                </w:p>
              </w:tc>
              <w:tc>
                <w:tcPr>
                  <w:tcW w:w="116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r>
                    <w:rPr>
                      <w:color w:val="auto"/>
                      <w:highlight w:val="none"/>
                    </w:rPr>
                    <w:t>2#，污水厂北厂界</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09:06-09:07</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56</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22:00-22:01</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3"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548"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116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r>
                    <w:rPr>
                      <w:color w:val="auto"/>
                      <w:highlight w:val="none"/>
                    </w:rPr>
                    <w:t>3#，污水厂东厂界</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09:14-09:15</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53</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jc w:val="center"/>
                    <w:textAlignment w:val="auto"/>
                    <w:rPr>
                      <w:bCs/>
                      <w:color w:val="auto"/>
                      <w:highlight w:val="none"/>
                    </w:rPr>
                  </w:pPr>
                  <w:r>
                    <w:rPr>
                      <w:bCs/>
                      <w:color w:val="auto"/>
                      <w:highlight w:val="none"/>
                    </w:rPr>
                    <w:t>22:03-22:04</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3"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548"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116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r>
                    <w:rPr>
                      <w:color w:val="auto"/>
                      <w:highlight w:val="none"/>
                    </w:rPr>
                    <w:t>4#，污水厂南厂界</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09:17-09:18</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55</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jc w:val="center"/>
                    <w:textAlignment w:val="auto"/>
                    <w:rPr>
                      <w:bCs/>
                      <w:color w:val="auto"/>
                      <w:highlight w:val="none"/>
                    </w:rPr>
                  </w:pPr>
                  <w:r>
                    <w:rPr>
                      <w:bCs/>
                      <w:color w:val="auto"/>
                      <w:highlight w:val="none"/>
                    </w:rPr>
                    <w:t>22:06-22:07</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jc w:val="center"/>
                    <w:textAlignment w:val="auto"/>
                    <w:rPr>
                      <w:bCs/>
                      <w:color w:val="auto"/>
                      <w:highlight w:val="none"/>
                    </w:rPr>
                  </w:pPr>
                  <w:r>
                    <w:rPr>
                      <w:bCs/>
                      <w:color w:val="auto"/>
                      <w:highlight w:val="none"/>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3"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548" w:type="pct"/>
                  <w:vMerge w:val="continue"/>
                  <w:shd w:val="clear" w:color="auto" w:fill="FFFFFF"/>
                  <w:vAlign w:val="center"/>
                </w:tcPr>
                <w:p>
                  <w:pPr>
                    <w:pStyle w:val="53"/>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p>
              </w:tc>
              <w:tc>
                <w:tcPr>
                  <w:tcW w:w="1161" w:type="pct"/>
                  <w:shd w:val="clear" w:color="auto" w:fill="FFFFFF"/>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highlight w:val="none"/>
                    </w:rPr>
                  </w:pPr>
                  <w:r>
                    <w:rPr>
                      <w:color w:val="auto"/>
                      <w:highlight w:val="none"/>
                    </w:rPr>
                    <w:t>5#，污水厂西厂界</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09:22-09:23</w:t>
                  </w:r>
                </w:p>
              </w:tc>
              <w:tc>
                <w:tcPr>
                  <w:tcW w:w="681" w:type="pct"/>
                  <w:shd w:val="clear" w:color="auto" w:fill="FFFFFF"/>
                  <w:vAlign w:val="center"/>
                </w:tcPr>
                <w:p>
                  <w:pPr>
                    <w:pStyle w:val="42"/>
                    <w:keepNext w:val="0"/>
                    <w:keepLines w:val="0"/>
                    <w:pageBreakBefore w:val="0"/>
                    <w:widowControl w:val="0"/>
                    <w:kinsoku/>
                    <w:wordWrap/>
                    <w:overflowPunct/>
                    <w:topLinePunct w:val="0"/>
                    <w:autoSpaceDE/>
                    <w:autoSpaceDN/>
                    <w:bidi w:val="0"/>
                    <w:snapToGrid w:val="0"/>
                    <w:spacing w:before="0" w:after="0" w:line="240" w:lineRule="auto"/>
                    <w:ind w:left="0" w:leftChars="0" w:right="0" w:rightChars="0" w:firstLine="0"/>
                    <w:jc w:val="center"/>
                    <w:textAlignment w:val="auto"/>
                    <w:rPr>
                      <w:rFonts w:cs="Times New Roman"/>
                      <w:bCs/>
                      <w:color w:val="auto"/>
                      <w:sz w:val="21"/>
                      <w:szCs w:val="21"/>
                      <w:highlight w:val="none"/>
                    </w:rPr>
                  </w:pPr>
                  <w:r>
                    <w:rPr>
                      <w:rFonts w:cs="Times New Roman"/>
                      <w:bCs/>
                      <w:color w:val="auto"/>
                      <w:sz w:val="21"/>
                      <w:szCs w:val="21"/>
                      <w:highlight w:val="none"/>
                    </w:rPr>
                    <w:t>54</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jc w:val="center"/>
                    <w:textAlignment w:val="auto"/>
                    <w:rPr>
                      <w:bCs/>
                      <w:color w:val="auto"/>
                      <w:highlight w:val="none"/>
                    </w:rPr>
                  </w:pPr>
                  <w:r>
                    <w:rPr>
                      <w:bCs/>
                      <w:color w:val="auto"/>
                      <w:highlight w:val="none"/>
                    </w:rPr>
                    <w:t>22:10-22:11</w:t>
                  </w:r>
                </w:p>
              </w:tc>
              <w:tc>
                <w:tcPr>
                  <w:tcW w:w="681" w:type="pct"/>
                  <w:shd w:val="clear" w:color="auto" w:fill="FFFFFF"/>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jc w:val="center"/>
                    <w:textAlignment w:val="auto"/>
                    <w:rPr>
                      <w:bCs/>
                      <w:color w:val="auto"/>
                      <w:highlight w:val="none"/>
                    </w:rPr>
                  </w:pPr>
                  <w:r>
                    <w:rPr>
                      <w:bCs/>
                      <w:color w:val="auto"/>
                      <w:highlight w:val="none"/>
                    </w:rPr>
                    <w:t>44</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根据恒福（环）检字（2023）第0603号）报告，监测期间，项目生产过程中噪声满足《工业企业厂界环境噪声排放标准》（GB12348-2008）2类标准。</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4、固废</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项目现有固废处置情况见下表：</w:t>
            </w:r>
          </w:p>
          <w:p>
            <w:pPr>
              <w:pageBreakBefore w:val="0"/>
              <w:kinsoku/>
              <w:wordWrap/>
              <w:topLinePunct w:val="0"/>
              <w:bidi w:val="0"/>
              <w:spacing w:line="360" w:lineRule="auto"/>
              <w:ind w:left="0" w:leftChars="0" w:right="0" w:rightChars="0"/>
              <w:jc w:val="center"/>
              <w:rPr>
                <w:color w:val="auto"/>
                <w:sz w:val="24"/>
                <w:szCs w:val="24"/>
                <w:highlight w:val="none"/>
                <w:lang w:bidi="ar"/>
              </w:rPr>
            </w:pPr>
            <w:r>
              <w:rPr>
                <w:rFonts w:eastAsia="黑体"/>
                <w:color w:val="auto"/>
                <w:highlight w:val="none"/>
              </w:rPr>
              <w:t>表2-21</w:t>
            </w:r>
            <w:r>
              <w:rPr>
                <w:rFonts w:hint="eastAsia" w:eastAsia="黑体"/>
                <w:color w:val="auto"/>
                <w:highlight w:val="none"/>
              </w:rPr>
              <w:t xml:space="preserve"> </w:t>
            </w:r>
            <w:r>
              <w:rPr>
                <w:rFonts w:eastAsia="黑体"/>
                <w:color w:val="auto"/>
                <w:highlight w:val="none"/>
              </w:rPr>
              <w:t>固废治理措施及排放情况一览表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1399"/>
              <w:gridCol w:w="1564"/>
              <w:gridCol w:w="5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序号</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类别</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产生量（t/a）</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b/>
                      <w:bCs/>
                      <w:color w:val="auto"/>
                      <w:highlight w:val="none"/>
                    </w:rPr>
                  </w:pPr>
                  <w:r>
                    <w:rPr>
                      <w:b/>
                      <w:bCs/>
                      <w:color w:val="auto"/>
                      <w:highlight w:val="none"/>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1</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生活垃圾</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3.65</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rFonts w:hint="eastAsia"/>
                      <w:color w:val="auto"/>
                      <w:szCs w:val="21"/>
                      <w:highlight w:val="none"/>
                      <w:lang w:eastAsia="zh-CN"/>
                    </w:rPr>
                    <w:t>交由南坝工业园区垃圾</w:t>
                  </w:r>
                  <w:r>
                    <w:rPr>
                      <w:color w:val="auto"/>
                      <w:szCs w:val="21"/>
                      <w:highlight w:val="none"/>
                    </w:rPr>
                    <w:t>分类回收点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2</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餐厨垃圾</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0.73</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rFonts w:hint="eastAsia"/>
                      <w:color w:val="auto"/>
                      <w:szCs w:val="21"/>
                      <w:highlight w:val="none"/>
                      <w:lang w:eastAsia="zh-CN"/>
                    </w:rPr>
                    <w:t>交由南坝工业园区垃圾</w:t>
                  </w:r>
                  <w:r>
                    <w:rPr>
                      <w:color w:val="auto"/>
                      <w:szCs w:val="21"/>
                      <w:highlight w:val="none"/>
                    </w:rPr>
                    <w:t>分类回收点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3</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栅渣及沉砂</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350.4</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szCs w:val="21"/>
                      <w:highlight w:val="none"/>
                    </w:rPr>
                    <w:t>由宣汉县泰鑫保洁有限公司无害化转移至宣汉县垃圾处理厂进行无害化卫生填埋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4</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污泥</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547.5</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szCs w:val="21"/>
                      <w:highlight w:val="none"/>
                    </w:rPr>
                    <w:t>由宣汉县泰鑫保洁有限公司无害化转移至宣汉县垃圾处理厂进行无害化卫生填埋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5</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废包装材料</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0.1</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szCs w:val="21"/>
                      <w:highlight w:val="none"/>
                    </w:rPr>
                    <w:t>交由废品收购站回收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6</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化验废液</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1.35</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szCs w:val="21"/>
                      <w:highlight w:val="none"/>
                    </w:rPr>
                    <w:t>交由南充嘉源环保科技有限责任公司处置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8"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7</w:t>
                  </w:r>
                </w:p>
              </w:tc>
              <w:tc>
                <w:tcPr>
                  <w:tcW w:w="76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废机油</w:t>
                  </w:r>
                </w:p>
              </w:tc>
              <w:tc>
                <w:tcPr>
                  <w:tcW w:w="85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highlight w:val="none"/>
                    </w:rPr>
                    <w:t>0.1</w:t>
                  </w:r>
                </w:p>
              </w:tc>
              <w:tc>
                <w:tcPr>
                  <w:tcW w:w="3000" w:type="pct"/>
                  <w:shd w:val="clear" w:color="auto" w:fill="FFFFFF"/>
                  <w:vAlign w:val="center"/>
                </w:tcPr>
                <w:p>
                  <w:pPr>
                    <w:pStyle w:val="53"/>
                    <w:pageBreakBefore w:val="0"/>
                    <w:kinsoku/>
                    <w:wordWrap/>
                    <w:topLinePunct w:val="0"/>
                    <w:bidi w:val="0"/>
                    <w:spacing w:line="240" w:lineRule="auto"/>
                    <w:ind w:left="0" w:leftChars="0" w:right="0" w:rightChars="0"/>
                    <w:rPr>
                      <w:color w:val="auto"/>
                      <w:highlight w:val="none"/>
                    </w:rPr>
                  </w:pPr>
                  <w:r>
                    <w:rPr>
                      <w:color w:val="auto"/>
                      <w:szCs w:val="21"/>
                      <w:highlight w:val="none"/>
                    </w:rPr>
                    <w:t>交由南充嘉源环保科技有限责任公司处置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4"/>
                  <w:shd w:val="clear" w:color="auto" w:fill="FFFFFF"/>
                  <w:vAlign w:val="center"/>
                </w:tcPr>
                <w:p>
                  <w:pPr>
                    <w:pStyle w:val="53"/>
                    <w:pageBreakBefore w:val="0"/>
                    <w:kinsoku/>
                    <w:wordWrap/>
                    <w:topLinePunct w:val="0"/>
                    <w:bidi w:val="0"/>
                    <w:spacing w:line="240" w:lineRule="auto"/>
                    <w:ind w:left="0" w:leftChars="0" w:right="0" w:rightChars="0"/>
                    <w:jc w:val="both"/>
                    <w:rPr>
                      <w:rFonts w:hint="default" w:eastAsia="宋体"/>
                      <w:color w:val="auto"/>
                      <w:szCs w:val="21"/>
                      <w:highlight w:val="none"/>
                      <w:lang w:val="en-US" w:eastAsia="zh-CN"/>
                    </w:rPr>
                  </w:pPr>
                  <w:r>
                    <w:rPr>
                      <w:rFonts w:hint="eastAsia"/>
                      <w:color w:val="auto"/>
                      <w:highlight w:val="none"/>
                      <w:lang w:val="en-US" w:eastAsia="zh-CN"/>
                    </w:rPr>
                    <w:t>注：项目紫外灯管</w:t>
                  </w:r>
                  <w:r>
                    <w:rPr>
                      <w:rFonts w:hint="eastAsia"/>
                      <w:color w:val="auto"/>
                      <w:szCs w:val="21"/>
                      <w:highlight w:val="none"/>
                      <w:lang w:val="en-US" w:eastAsia="zh-CN"/>
                    </w:rPr>
                    <w:t>暂未更换，因此无废</w:t>
                  </w:r>
                  <w:r>
                    <w:rPr>
                      <w:rFonts w:hint="eastAsia"/>
                      <w:color w:val="auto"/>
                      <w:highlight w:val="none"/>
                      <w:lang w:val="en-US" w:eastAsia="zh-CN"/>
                    </w:rPr>
                    <w:t>紫外灯管产生</w:t>
                  </w:r>
                  <w:r>
                    <w:rPr>
                      <w:rFonts w:hint="eastAsia"/>
                      <w:color w:val="auto"/>
                      <w:szCs w:val="21"/>
                      <w:highlight w:val="none"/>
                      <w:lang w:val="en-US" w:eastAsia="zh-CN"/>
                    </w:rPr>
                    <w:t>。</w:t>
                  </w: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六、一期工程总量指标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lang w:bidi="ar"/>
              </w:rPr>
              <w:t>根据原四川省环境保护厅以川环审批〔2011〕324号，项目一期工程总量控制为：COD≤219t/a，NH</w:t>
            </w:r>
            <w:r>
              <w:rPr>
                <w:color w:val="auto"/>
                <w:sz w:val="24"/>
                <w:szCs w:val="24"/>
                <w:highlight w:val="none"/>
                <w:vertAlign w:val="subscript"/>
                <w:lang w:bidi="ar"/>
              </w:rPr>
              <w:t>3</w:t>
            </w:r>
            <w:r>
              <w:rPr>
                <w:color w:val="auto"/>
                <w:sz w:val="24"/>
                <w:szCs w:val="24"/>
                <w:highlight w:val="none"/>
                <w:lang w:bidi="ar"/>
              </w:rPr>
              <w:t>-N≤29.2t/a。</w:t>
            </w:r>
            <w:r>
              <w:rPr>
                <w:color w:val="auto"/>
                <w:sz w:val="24"/>
                <w:szCs w:val="32"/>
                <w:highlight w:val="none"/>
                <w:lang w:bidi="ar"/>
              </w:rPr>
              <w:t>根据中蓉达（2023）第WT063号，</w:t>
            </w:r>
            <w:r>
              <w:rPr>
                <w:color w:val="auto"/>
                <w:sz w:val="24"/>
                <w:szCs w:val="24"/>
                <w:highlight w:val="none"/>
                <w:lang w:bidi="ar"/>
              </w:rPr>
              <w:t>一期项目水污染物总量控制指标执行情况如下表所示：</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2-22</w:t>
            </w:r>
            <w:r>
              <w:rPr>
                <w:rFonts w:hint="eastAsia" w:eastAsia="黑体"/>
                <w:color w:val="auto"/>
                <w:highlight w:val="none"/>
              </w:rPr>
              <w:t xml:space="preserve"> </w:t>
            </w:r>
            <w:r>
              <w:rPr>
                <w:rFonts w:eastAsia="黑体"/>
                <w:color w:val="auto"/>
                <w:highlight w:val="none"/>
              </w:rPr>
              <w:t>现有项目水污染物总量指标</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018"/>
              <w:gridCol w:w="1021"/>
              <w:gridCol w:w="1018"/>
              <w:gridCol w:w="1021"/>
              <w:gridCol w:w="1018"/>
              <w:gridCol w:w="1018"/>
              <w:gridCol w:w="4"/>
              <w:gridCol w:w="1014"/>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b/>
                      <w:bCs/>
                      <w:color w:val="auto"/>
                      <w:kern w:val="0"/>
                      <w:highlight w:val="none"/>
                    </w:rPr>
                    <w:t>水污染物（t/a）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年份</w:t>
                  </w:r>
                </w:p>
              </w:tc>
              <w:tc>
                <w:tcPr>
                  <w:tcW w:w="1108"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COD</w:t>
                  </w:r>
                </w:p>
              </w:tc>
              <w:tc>
                <w:tcPr>
                  <w:tcW w:w="1108"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NH</w:t>
                  </w:r>
                  <w:r>
                    <w:rPr>
                      <w:b/>
                      <w:bCs/>
                      <w:color w:val="auto"/>
                      <w:highlight w:val="none"/>
                      <w:vertAlign w:val="subscript"/>
                      <w:lang w:bidi="ar"/>
                    </w:rPr>
                    <w:t>3</w:t>
                  </w:r>
                  <w:r>
                    <w:rPr>
                      <w:b/>
                      <w:bCs/>
                      <w:color w:val="auto"/>
                      <w:highlight w:val="none"/>
                      <w:lang w:bidi="ar"/>
                    </w:rPr>
                    <w:t>-N</w:t>
                  </w:r>
                </w:p>
              </w:tc>
              <w:tc>
                <w:tcPr>
                  <w:tcW w:w="1108" w:type="pct"/>
                  <w:gridSpan w:val="3"/>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TP</w:t>
                  </w:r>
                </w:p>
              </w:tc>
              <w:tc>
                <w:tcPr>
                  <w:tcW w:w="1108"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vMerge w:val="continue"/>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许可排放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实际排放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许可排放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实际排放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许可排放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实际排放</w:t>
                  </w:r>
                </w:p>
              </w:tc>
              <w:tc>
                <w:tcPr>
                  <w:tcW w:w="553"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许可排放</w:t>
                  </w:r>
                </w:p>
              </w:tc>
              <w:tc>
                <w:tcPr>
                  <w:tcW w:w="556"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实际排放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2023年</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219.0</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83.95</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29.2</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0.72</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3.160</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0.949</w:t>
                  </w:r>
                </w:p>
              </w:tc>
              <w:tc>
                <w:tcPr>
                  <w:tcW w:w="553"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73.00</w:t>
                  </w:r>
                </w:p>
              </w:tc>
              <w:tc>
                <w:tcPr>
                  <w:tcW w:w="556"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30.37</w:t>
                  </w:r>
                </w:p>
              </w:tc>
            </w:tr>
          </w:tbl>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七、一期工程存在的问题及整改措施</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1、存在问题</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（1）一期工程氧化沟表曝机不节能，曝气区域不能均匀分布，且出水水质为一级B，需提升至一级A标准。</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（2）柴油发电机地面未进行重点防渗。</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（3）项目食堂油烟暂未收集处理，不符合环保要求。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（4）项目食堂废水暂未进行隔油处理，不符合环保要求。</w:t>
            </w:r>
          </w:p>
          <w:p>
            <w:pPr>
              <w:pageBreakBefore w:val="0"/>
              <w:kinsoku/>
              <w:wordWrap/>
              <w:topLinePunct w:val="0"/>
              <w:bidi w:val="0"/>
              <w:spacing w:line="360" w:lineRule="auto"/>
              <w:ind w:left="0" w:leftChars="0" w:right="0" w:rightChars="0" w:firstLine="480" w:firstLineChars="200"/>
              <w:rPr>
                <w:rFonts w:hint="default" w:eastAsia="宋体"/>
                <w:color w:val="auto"/>
                <w:sz w:val="24"/>
                <w:szCs w:val="24"/>
                <w:highlight w:val="none"/>
                <w:lang w:val="en-US" w:eastAsia="zh-CN" w:bidi="ar"/>
              </w:rPr>
            </w:pPr>
            <w:r>
              <w:rPr>
                <w:color w:val="auto"/>
                <w:sz w:val="24"/>
                <w:szCs w:val="24"/>
                <w:highlight w:val="none"/>
                <w:lang w:bidi="ar"/>
              </w:rPr>
              <w:t>（5）</w:t>
            </w:r>
            <w:r>
              <w:rPr>
                <w:rFonts w:hint="eastAsia"/>
                <w:color w:val="auto"/>
                <w:sz w:val="24"/>
                <w:szCs w:val="24"/>
                <w:highlight w:val="none"/>
                <w:lang w:val="en-US" w:eastAsia="zh-CN" w:bidi="ar"/>
              </w:rPr>
              <w:t>项目餐厨垃圾未交由有资质的单位处理，</w:t>
            </w:r>
            <w:r>
              <w:rPr>
                <w:color w:val="auto"/>
                <w:sz w:val="24"/>
                <w:szCs w:val="24"/>
                <w:highlight w:val="none"/>
                <w:lang w:bidi="ar"/>
              </w:rPr>
              <w:t>不符合环保要求。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（6）项目现有柴油发电机组无法满足后期用电负荷需求，且无废气处理措施。</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eastAsia="zh-CN" w:bidi="ar"/>
              </w:rPr>
            </w:pPr>
            <w:r>
              <w:rPr>
                <w:color w:val="auto"/>
                <w:sz w:val="24"/>
                <w:szCs w:val="24"/>
                <w:highlight w:val="none"/>
                <w:lang w:bidi="ar"/>
              </w:rPr>
              <w:t>（</w:t>
            </w:r>
            <w:r>
              <w:rPr>
                <w:rFonts w:hint="eastAsia"/>
                <w:color w:val="auto"/>
                <w:sz w:val="24"/>
                <w:szCs w:val="24"/>
                <w:highlight w:val="none"/>
                <w:lang w:val="en-US" w:eastAsia="zh-CN" w:bidi="ar"/>
              </w:rPr>
              <w:t>7</w:t>
            </w:r>
            <w:r>
              <w:rPr>
                <w:color w:val="auto"/>
                <w:sz w:val="24"/>
                <w:szCs w:val="24"/>
                <w:highlight w:val="none"/>
                <w:lang w:bidi="ar"/>
              </w:rPr>
              <w:t>）危废暂存间存在漏雨情况</w:t>
            </w:r>
            <w:r>
              <w:rPr>
                <w:rFonts w:hint="eastAsia"/>
                <w:color w:val="auto"/>
                <w:sz w:val="24"/>
                <w:szCs w:val="24"/>
                <w:highlight w:val="none"/>
                <w:lang w:eastAsia="zh-CN" w:bidi="ar"/>
              </w:rPr>
              <w:t>。</w:t>
            </w:r>
          </w:p>
          <w:p>
            <w:pPr>
              <w:pageBreakBefore w:val="0"/>
              <w:kinsoku/>
              <w:wordWrap/>
              <w:topLinePunct w:val="0"/>
              <w:bidi w:val="0"/>
              <w:spacing w:line="360" w:lineRule="auto"/>
              <w:ind w:left="0" w:leftChars="0" w:right="0" w:rightChars="0" w:firstLine="480" w:firstLineChars="200"/>
              <w:jc w:val="left"/>
              <w:rPr>
                <w:rFonts w:hint="default" w:cs="Times New Roman"/>
                <w:color w:val="auto"/>
                <w:sz w:val="24"/>
                <w:szCs w:val="32"/>
                <w:highlight w:val="none"/>
                <w:lang w:val="en-US" w:eastAsia="zh-CN" w:bidi="ar"/>
              </w:rPr>
            </w:pPr>
            <w:r>
              <w:rPr>
                <w:rFonts w:hint="eastAsia"/>
                <w:color w:val="auto"/>
                <w:sz w:val="24"/>
                <w:szCs w:val="24"/>
                <w:highlight w:val="none"/>
                <w:lang w:val="en-US" w:eastAsia="zh-CN" w:bidi="ar"/>
              </w:rPr>
              <w:t>（8）项目</w:t>
            </w:r>
            <w:r>
              <w:rPr>
                <w:rFonts w:hint="eastAsia" w:ascii="Times New Roman" w:hAnsi="Times New Roman" w:cs="Times New Roman"/>
                <w:color w:val="auto"/>
                <w:sz w:val="24"/>
                <w:szCs w:val="32"/>
                <w:highlight w:val="none"/>
                <w:lang w:val="en-US" w:eastAsia="zh-CN" w:bidi="ar"/>
              </w:rPr>
              <w:t>一期未办理入河排污口设置论证报告，</w:t>
            </w:r>
            <w:r>
              <w:rPr>
                <w:rFonts w:hint="eastAsia" w:cs="Times New Roman"/>
                <w:color w:val="auto"/>
                <w:sz w:val="24"/>
                <w:szCs w:val="32"/>
                <w:highlight w:val="none"/>
                <w:lang w:val="en-US" w:eastAsia="zh-CN" w:bidi="ar"/>
              </w:rPr>
              <w:t>不满足环保相关要求。</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2、整改措施</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（1）本次扩建对一期处理工程进行技术改造，将原表曝气方式改为底曝方式曝气，同时增加深度处理工艺“絮凝池+</w:t>
            </w:r>
            <w:r>
              <w:rPr>
                <w:color w:val="auto"/>
                <w:sz w:val="24"/>
                <w:szCs w:val="32"/>
                <w:highlight w:val="none"/>
                <w:lang w:bidi="ar"/>
              </w:rPr>
              <w:t>转鼓</w:t>
            </w:r>
            <w:r>
              <w:rPr>
                <w:color w:val="auto"/>
                <w:sz w:val="24"/>
                <w:szCs w:val="24"/>
                <w:highlight w:val="none"/>
                <w:lang w:bidi="ar"/>
              </w:rPr>
              <w:t>滤池”。</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（2）柴油发电机房地面采取基础及底板垫层C15防水混凝土+C30混凝土+2mm环氧树脂进行重点防渗。</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（3）项目食堂油烟经油烟净化器处理后引至综合大楼楼顶排放。</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（4）项目食堂废水经油水分离器隔油处理后经厂内污水管道收集后汇入提升泵房，与进厂污水一并处理。</w:t>
            </w:r>
          </w:p>
          <w:p>
            <w:pPr>
              <w:pageBreakBefore w:val="0"/>
              <w:kinsoku/>
              <w:wordWrap/>
              <w:topLinePunct w:val="0"/>
              <w:bidi w:val="0"/>
              <w:spacing w:line="360" w:lineRule="auto"/>
              <w:ind w:left="0" w:leftChars="0" w:right="0" w:rightChars="0" w:firstLine="480" w:firstLineChars="200"/>
              <w:rPr>
                <w:rFonts w:hint="default" w:eastAsia="宋体"/>
                <w:color w:val="auto"/>
                <w:sz w:val="24"/>
                <w:szCs w:val="32"/>
                <w:highlight w:val="none"/>
                <w:lang w:val="en-US" w:eastAsia="zh-CN" w:bidi="ar"/>
              </w:rPr>
            </w:pPr>
            <w:r>
              <w:rPr>
                <w:color w:val="auto"/>
                <w:sz w:val="24"/>
                <w:szCs w:val="24"/>
                <w:highlight w:val="none"/>
                <w:lang w:bidi="ar"/>
              </w:rPr>
              <w:t>（5）</w:t>
            </w:r>
            <w:r>
              <w:rPr>
                <w:rFonts w:hint="eastAsia"/>
                <w:color w:val="auto"/>
                <w:sz w:val="24"/>
                <w:szCs w:val="24"/>
                <w:highlight w:val="none"/>
                <w:lang w:val="en-US" w:eastAsia="zh-CN" w:bidi="ar"/>
              </w:rPr>
              <w:t>项目餐厨垃圾交由有资质的单位处理。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（6）</w:t>
            </w:r>
            <w:r>
              <w:rPr>
                <w:color w:val="auto"/>
                <w:sz w:val="24"/>
                <w:szCs w:val="24"/>
                <w:highlight w:val="none"/>
                <w:lang w:bidi="ar"/>
              </w:rPr>
              <w:t>项目扩建后需对柴油发电机组进行更换，同时环评要求建设单位更换的柴油发电机组应</w:t>
            </w:r>
            <w:r>
              <w:rPr>
                <w:color w:val="auto"/>
                <w:sz w:val="24"/>
                <w:szCs w:val="32"/>
                <w:highlight w:val="none"/>
                <w:lang w:bidi="ar"/>
              </w:rPr>
              <w:t>自带烟气净化装置，处理后的废气引至配电房楼顶排放。</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eastAsia="zh-CN" w:bidi="ar"/>
              </w:rPr>
            </w:pPr>
            <w:r>
              <w:rPr>
                <w:rFonts w:hint="eastAsia"/>
                <w:color w:val="auto"/>
                <w:sz w:val="24"/>
                <w:szCs w:val="32"/>
                <w:highlight w:val="none"/>
                <w:lang w:eastAsia="zh-CN" w:bidi="ar"/>
              </w:rPr>
              <w:t>（</w:t>
            </w:r>
            <w:r>
              <w:rPr>
                <w:rFonts w:hint="eastAsia"/>
                <w:color w:val="auto"/>
                <w:sz w:val="24"/>
                <w:szCs w:val="32"/>
                <w:highlight w:val="none"/>
                <w:lang w:val="en-US" w:eastAsia="zh-CN" w:bidi="ar"/>
              </w:rPr>
              <w:t>7</w:t>
            </w:r>
            <w:r>
              <w:rPr>
                <w:rFonts w:hint="eastAsia"/>
                <w:color w:val="auto"/>
                <w:sz w:val="24"/>
                <w:szCs w:val="32"/>
                <w:highlight w:val="none"/>
                <w:lang w:eastAsia="zh-CN" w:bidi="ar"/>
              </w:rPr>
              <w:t>）</w:t>
            </w:r>
            <w:r>
              <w:rPr>
                <w:color w:val="auto"/>
                <w:sz w:val="24"/>
                <w:szCs w:val="32"/>
                <w:highlight w:val="none"/>
                <w:lang w:bidi="ar"/>
              </w:rPr>
              <w:t>对现有危废暂存间进行防雨改造，</w:t>
            </w:r>
            <w:r>
              <w:rPr>
                <w:color w:val="auto"/>
                <w:sz w:val="24"/>
                <w:szCs w:val="24"/>
                <w:highlight w:val="none"/>
                <w:lang w:bidi="ar"/>
              </w:rPr>
              <w:t>最终落实防风、防雨、防晒、防渗漏的“四防”措施</w:t>
            </w:r>
            <w:r>
              <w:rPr>
                <w:rFonts w:hint="eastAsia"/>
                <w:color w:val="auto"/>
                <w:sz w:val="24"/>
                <w:szCs w:val="24"/>
                <w:highlight w:val="none"/>
                <w:lang w:eastAsia="zh-CN" w:bidi="ar"/>
              </w:rPr>
              <w:t>。</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eastAsia="zh-CN" w:bidi="ar"/>
              </w:rPr>
            </w:pPr>
            <w:r>
              <w:rPr>
                <w:rFonts w:hint="eastAsia"/>
                <w:color w:val="auto"/>
                <w:sz w:val="24"/>
                <w:szCs w:val="24"/>
                <w:highlight w:val="none"/>
                <w:lang w:eastAsia="zh-CN" w:bidi="ar"/>
              </w:rPr>
              <w:t>（</w:t>
            </w:r>
            <w:r>
              <w:rPr>
                <w:rFonts w:hint="eastAsia"/>
                <w:color w:val="auto"/>
                <w:sz w:val="24"/>
                <w:szCs w:val="24"/>
                <w:highlight w:val="none"/>
                <w:lang w:val="en-US" w:eastAsia="zh-CN" w:bidi="ar"/>
              </w:rPr>
              <w:t>8</w:t>
            </w:r>
            <w:r>
              <w:rPr>
                <w:rFonts w:hint="eastAsia"/>
                <w:color w:val="auto"/>
                <w:sz w:val="24"/>
                <w:szCs w:val="24"/>
                <w:highlight w:val="none"/>
                <w:lang w:eastAsia="zh-CN" w:bidi="ar"/>
              </w:rPr>
              <w:t>）</w:t>
            </w:r>
            <w:r>
              <w:rPr>
                <w:rFonts w:hint="eastAsia" w:ascii="Times New Roman" w:hAnsi="Times New Roman" w:cs="Times New Roman"/>
                <w:color w:val="auto"/>
                <w:sz w:val="24"/>
                <w:szCs w:val="32"/>
                <w:highlight w:val="none"/>
                <w:lang w:val="en-US" w:eastAsia="zh-CN" w:bidi="ar"/>
              </w:rPr>
              <w:t>根据</w:t>
            </w:r>
            <w:r>
              <w:rPr>
                <w:rFonts w:hint="default" w:ascii="Times New Roman" w:hAnsi="Times New Roman" w:cs="Times New Roman"/>
                <w:color w:val="auto"/>
                <w:sz w:val="24"/>
                <w:szCs w:val="32"/>
                <w:highlight w:val="none"/>
                <w:lang w:bidi="ar"/>
              </w:rPr>
              <w:t>《中华人民共和国水污染防治法》第十九条第二款、《入河排污口监督管理办法》第六条，“建设单位在江河、湖泊新建、改建、扩建排污口的，应当取得水行政主管部门或者流域管理机构同意”</w:t>
            </w:r>
            <w:r>
              <w:rPr>
                <w:rFonts w:hint="eastAsia" w:ascii="Times New Roman" w:hAnsi="Times New Roman" w:cs="Times New Roman"/>
                <w:color w:val="auto"/>
                <w:sz w:val="24"/>
                <w:szCs w:val="32"/>
                <w:highlight w:val="none"/>
                <w:lang w:eastAsia="zh-CN" w:bidi="ar"/>
              </w:rPr>
              <w:t>。</w:t>
            </w:r>
            <w:r>
              <w:rPr>
                <w:rFonts w:hint="eastAsia" w:ascii="Times New Roman" w:hAnsi="Times New Roman" w:cs="Times New Roman"/>
                <w:b/>
                <w:bCs/>
                <w:color w:val="auto"/>
                <w:sz w:val="24"/>
                <w:szCs w:val="32"/>
                <w:highlight w:val="none"/>
                <w:lang w:val="en-US" w:eastAsia="zh-CN" w:bidi="ar"/>
              </w:rPr>
              <w:t>因此，</w:t>
            </w:r>
            <w:r>
              <w:rPr>
                <w:rFonts w:hint="default" w:ascii="Times New Roman" w:hAnsi="Times New Roman" w:cs="Times New Roman"/>
                <w:b/>
                <w:bCs/>
                <w:color w:val="auto"/>
                <w:sz w:val="24"/>
                <w:szCs w:val="32"/>
                <w:highlight w:val="none"/>
                <w:lang w:bidi="ar"/>
              </w:rPr>
              <w:t>本项目需办理入河排污口设置论证报告审批。</w:t>
            </w:r>
            <w:r>
              <w:rPr>
                <w:rFonts w:hint="eastAsia" w:ascii="Times New Roman" w:hAnsi="Times New Roman" w:cs="Times New Roman"/>
                <w:b/>
                <w:bCs/>
                <w:color w:val="auto"/>
                <w:sz w:val="24"/>
                <w:szCs w:val="32"/>
                <w:highlight w:val="none"/>
                <w:lang w:val="en-US" w:eastAsia="zh-CN" w:bidi="ar"/>
              </w:rPr>
              <w:t>环评要求：项目二期工程运营前需取得入河排污口批复。</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r>
              <w:rPr>
                <w:rFonts w:hint="eastAsia"/>
                <w:color w:val="auto"/>
                <w:sz w:val="24"/>
                <w:szCs w:val="24"/>
                <w:highlight w:val="none"/>
                <w:lang w:eastAsia="zh-CN" w:bidi="ar"/>
              </w:rPr>
              <w:t>（</w:t>
            </w:r>
            <w:r>
              <w:rPr>
                <w:rFonts w:hint="eastAsia"/>
                <w:color w:val="auto"/>
                <w:sz w:val="24"/>
                <w:szCs w:val="24"/>
                <w:highlight w:val="none"/>
                <w:lang w:val="en-US" w:eastAsia="zh-CN" w:bidi="ar"/>
              </w:rPr>
              <w:t>9</w:t>
            </w:r>
            <w:r>
              <w:rPr>
                <w:rFonts w:hint="eastAsia"/>
                <w:color w:val="auto"/>
                <w:sz w:val="24"/>
                <w:szCs w:val="24"/>
                <w:highlight w:val="none"/>
                <w:lang w:eastAsia="zh-CN" w:bidi="ar"/>
              </w:rPr>
              <w:t>）</w:t>
            </w:r>
            <w:r>
              <w:rPr>
                <w:rFonts w:hint="eastAsia"/>
                <w:color w:val="auto"/>
                <w:sz w:val="24"/>
                <w:szCs w:val="24"/>
                <w:highlight w:val="none"/>
                <w:lang w:val="en-US" w:eastAsia="zh-CN" w:bidi="ar"/>
              </w:rPr>
              <w:t>项目紫外灯管暂未更换，因此无废紫外灯管产生。环评要求，后期更换下的废紫外灯管交由有资质的单位处理。</w:t>
            </w: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default" w:eastAsia="宋体"/>
                <w:color w:val="auto"/>
                <w:sz w:val="24"/>
                <w:szCs w:val="24"/>
                <w:highlight w:val="none"/>
                <w:lang w:val="en-US" w:eastAsia="zh-CN" w:bidi="ar"/>
              </w:rPr>
            </w:pPr>
          </w:p>
        </w:tc>
      </w:tr>
    </w:tbl>
    <w:p>
      <w:pPr>
        <w:pStyle w:val="22"/>
        <w:pageBreakBefore w:val="0"/>
        <w:kinsoku/>
        <w:wordWrap/>
        <w:topLinePunct w:val="0"/>
        <w:bidi w:val="0"/>
        <w:spacing w:after="0" w:line="360" w:lineRule="auto"/>
        <w:ind w:left="0" w:leftChars="0" w:right="0" w:rightChars="0" w:firstLine="0"/>
        <w:jc w:val="center"/>
        <w:rPr>
          <w:color w:val="auto"/>
          <w:highlight w:val="none"/>
        </w:rPr>
      </w:pPr>
    </w:p>
    <w:p>
      <w:pPr>
        <w:pStyle w:val="22"/>
        <w:pageBreakBefore w:val="0"/>
        <w:kinsoku/>
        <w:wordWrap/>
        <w:topLinePunct w:val="0"/>
        <w:bidi w:val="0"/>
        <w:spacing w:after="0" w:line="360" w:lineRule="auto"/>
        <w:ind w:left="0" w:leftChars="0" w:right="0" w:rightChars="0" w:firstLine="0"/>
        <w:jc w:val="center"/>
        <w:rPr>
          <w:color w:val="auto"/>
          <w:highlight w:val="none"/>
        </w:rPr>
        <w:sectPr>
          <w:pgSz w:w="11906" w:h="16838"/>
          <w:pgMar w:top="1440" w:right="1134" w:bottom="1440" w:left="1134" w:header="851" w:footer="992" w:gutter="0"/>
          <w:cols w:space="0" w:num="1"/>
          <w:docGrid w:type="lines" w:linePitch="312" w:charSpace="0"/>
        </w:sectPr>
      </w:pPr>
    </w:p>
    <w:p>
      <w:pPr>
        <w:pStyle w:val="34"/>
        <w:pageBreakBefore w:val="0"/>
        <w:kinsoku/>
        <w:wordWrap/>
        <w:topLinePunct w:val="0"/>
        <w:bidi w:val="0"/>
        <w:ind w:left="0" w:leftChars="0" w:right="0" w:rightChars="0"/>
        <w:jc w:val="center"/>
        <w:rPr>
          <w:rFonts w:eastAsia="黑体"/>
          <w:b w:val="0"/>
          <w:color w:val="auto"/>
          <w:sz w:val="30"/>
          <w:szCs w:val="30"/>
          <w:highlight w:val="none"/>
        </w:rPr>
      </w:pPr>
      <w:r>
        <w:rPr>
          <w:rFonts w:eastAsia="黑体"/>
          <w:b w:val="0"/>
          <w:color w:val="auto"/>
          <w:sz w:val="30"/>
          <w:szCs w:val="30"/>
          <w:highlight w:val="none"/>
        </w:rPr>
        <w:t>三、区域环境质量现状、环境保护目标及评价标准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8"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区域环境质量现状</w:t>
            </w:r>
          </w:p>
        </w:tc>
        <w:tc>
          <w:tcPr>
            <w:tcW w:w="4771" w:type="pct"/>
            <w:vAlign w:val="center"/>
          </w:tcPr>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一、大气环境质量现状</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1、基本污染物环境质量现状</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rFonts w:hint="eastAsia"/>
                <w:color w:val="auto"/>
                <w:sz w:val="24"/>
                <w:szCs w:val="32"/>
                <w:highlight w:val="none"/>
                <w:lang w:bidi="ar"/>
              </w:rPr>
              <w:t>为了解区域环境空气质量现状，本次环评引用</w:t>
            </w:r>
            <w:r>
              <w:rPr>
                <w:rFonts w:hint="default"/>
                <w:color w:val="auto"/>
                <w:sz w:val="24"/>
                <w:szCs w:val="32"/>
                <w:highlight w:val="none"/>
                <w:lang w:val="en-US" w:eastAsia="zh-CN" w:bidi="ar"/>
              </w:rPr>
              <w:t>达州市生态环境局202</w:t>
            </w:r>
            <w:r>
              <w:rPr>
                <w:rFonts w:hint="eastAsia"/>
                <w:color w:val="auto"/>
                <w:sz w:val="24"/>
                <w:szCs w:val="32"/>
                <w:highlight w:val="none"/>
                <w:lang w:val="en-US" w:eastAsia="zh-CN" w:bidi="ar"/>
              </w:rPr>
              <w:t>3</w:t>
            </w:r>
            <w:r>
              <w:rPr>
                <w:rFonts w:hint="default"/>
                <w:color w:val="auto"/>
                <w:sz w:val="24"/>
                <w:szCs w:val="32"/>
                <w:highlight w:val="none"/>
                <w:lang w:val="en-US" w:eastAsia="zh-CN" w:bidi="ar"/>
              </w:rPr>
              <w:t>年</w:t>
            </w:r>
            <w:r>
              <w:rPr>
                <w:rFonts w:hint="eastAsia"/>
                <w:color w:val="auto"/>
                <w:sz w:val="24"/>
                <w:szCs w:val="32"/>
                <w:highlight w:val="none"/>
                <w:lang w:val="en-US" w:eastAsia="zh-CN" w:bidi="ar"/>
              </w:rPr>
              <w:t>1</w:t>
            </w:r>
            <w:r>
              <w:rPr>
                <w:rFonts w:hint="default"/>
                <w:color w:val="auto"/>
                <w:sz w:val="24"/>
                <w:szCs w:val="32"/>
                <w:highlight w:val="none"/>
                <w:lang w:val="en-US" w:eastAsia="zh-CN" w:bidi="ar"/>
              </w:rPr>
              <w:t>月</w:t>
            </w:r>
            <w:r>
              <w:rPr>
                <w:rFonts w:hint="eastAsia"/>
                <w:color w:val="auto"/>
                <w:sz w:val="24"/>
                <w:szCs w:val="32"/>
                <w:highlight w:val="none"/>
                <w:lang w:val="en-US" w:eastAsia="zh-CN" w:bidi="ar"/>
              </w:rPr>
              <w:t>18</w:t>
            </w:r>
            <w:r>
              <w:rPr>
                <w:rFonts w:hint="default"/>
                <w:color w:val="auto"/>
                <w:sz w:val="24"/>
                <w:szCs w:val="32"/>
                <w:highlight w:val="none"/>
                <w:lang w:val="en-US" w:eastAsia="zh-CN" w:bidi="ar"/>
              </w:rPr>
              <w:t>日公布的《达州市</w:t>
            </w:r>
            <w:r>
              <w:rPr>
                <w:rFonts w:hint="eastAsia"/>
                <w:color w:val="auto"/>
                <w:sz w:val="24"/>
                <w:szCs w:val="32"/>
                <w:highlight w:val="none"/>
                <w:lang w:val="en-US" w:eastAsia="zh-CN" w:bidi="ar"/>
              </w:rPr>
              <w:t>2022</w:t>
            </w:r>
            <w:r>
              <w:rPr>
                <w:rFonts w:hint="default"/>
                <w:color w:val="auto"/>
                <w:sz w:val="24"/>
                <w:szCs w:val="32"/>
                <w:highlight w:val="none"/>
                <w:lang w:val="en-US" w:eastAsia="zh-CN" w:bidi="ar"/>
              </w:rPr>
              <w:t>年环境空气质量</w:t>
            </w:r>
            <w:r>
              <w:rPr>
                <w:rFonts w:hint="eastAsia"/>
                <w:color w:val="auto"/>
                <w:sz w:val="24"/>
                <w:szCs w:val="32"/>
                <w:highlight w:val="none"/>
                <w:lang w:val="en-US" w:eastAsia="zh-CN" w:bidi="ar"/>
              </w:rPr>
              <w:t>状况</w:t>
            </w:r>
            <w:r>
              <w:rPr>
                <w:rFonts w:hint="default"/>
                <w:color w:val="auto"/>
                <w:sz w:val="24"/>
                <w:szCs w:val="32"/>
                <w:highlight w:val="none"/>
                <w:lang w:val="en-US" w:eastAsia="zh-CN" w:bidi="ar"/>
              </w:rPr>
              <w:t>》中相关数据和结论</w:t>
            </w:r>
            <w:r>
              <w:rPr>
                <w:rFonts w:hint="eastAsia"/>
                <w:color w:val="auto"/>
                <w:sz w:val="24"/>
                <w:szCs w:val="32"/>
                <w:highlight w:val="none"/>
                <w:lang w:bidi="ar"/>
              </w:rPr>
              <w:t>。</w:t>
            </w:r>
          </w:p>
          <w:p>
            <w:pPr>
              <w:pageBreakBefore w:val="0"/>
              <w:kinsoku/>
              <w:wordWrap/>
              <w:topLinePunct w:val="0"/>
              <w:bidi w:val="0"/>
              <w:spacing w:line="360" w:lineRule="auto"/>
              <w:ind w:left="0" w:leftChars="0" w:right="0" w:rightChars="0" w:firstLine="480" w:firstLineChars="200"/>
              <w:rPr>
                <w:rFonts w:hint="default"/>
                <w:color w:val="auto"/>
                <w:sz w:val="24"/>
                <w:szCs w:val="32"/>
                <w:highlight w:val="none"/>
                <w:lang w:bidi="ar"/>
              </w:rPr>
            </w:pPr>
            <w:r>
              <w:rPr>
                <w:rFonts w:hint="eastAsia"/>
                <w:color w:val="auto"/>
                <w:sz w:val="24"/>
                <w:szCs w:val="32"/>
                <w:highlight w:val="none"/>
                <w:lang w:bidi="ar"/>
              </w:rPr>
              <w:t>根据</w:t>
            </w:r>
            <w:r>
              <w:rPr>
                <w:rFonts w:hint="default"/>
                <w:color w:val="auto"/>
                <w:sz w:val="24"/>
                <w:szCs w:val="32"/>
                <w:highlight w:val="none"/>
                <w:lang w:val="en-US" w:eastAsia="zh-CN" w:bidi="ar"/>
              </w:rPr>
              <w:t>达州市</w:t>
            </w:r>
            <w:r>
              <w:rPr>
                <w:rFonts w:hint="eastAsia"/>
                <w:color w:val="auto"/>
                <w:sz w:val="24"/>
                <w:szCs w:val="32"/>
                <w:highlight w:val="none"/>
                <w:lang w:val="en-US" w:eastAsia="zh-CN" w:bidi="ar"/>
              </w:rPr>
              <w:t>2022</w:t>
            </w:r>
            <w:r>
              <w:rPr>
                <w:rFonts w:hint="default"/>
                <w:color w:val="auto"/>
                <w:sz w:val="24"/>
                <w:szCs w:val="32"/>
                <w:highlight w:val="none"/>
                <w:lang w:val="en-US" w:eastAsia="zh-CN" w:bidi="ar"/>
              </w:rPr>
              <w:t>年环境空气质量</w:t>
            </w:r>
            <w:r>
              <w:rPr>
                <w:rFonts w:hint="eastAsia"/>
                <w:color w:val="auto"/>
                <w:sz w:val="24"/>
                <w:szCs w:val="32"/>
                <w:highlight w:val="none"/>
                <w:lang w:val="en-US" w:eastAsia="zh-CN" w:bidi="ar"/>
              </w:rPr>
              <w:t>状况：宣汉县</w:t>
            </w:r>
            <w:r>
              <w:rPr>
                <w:rFonts w:hint="default"/>
                <w:color w:val="auto"/>
                <w:sz w:val="24"/>
                <w:szCs w:val="32"/>
                <w:highlight w:val="none"/>
                <w:lang w:bidi="ar"/>
              </w:rPr>
              <w:t>二氧化硫年均值为</w:t>
            </w:r>
            <w:r>
              <w:rPr>
                <w:rFonts w:hint="eastAsia"/>
                <w:color w:val="auto"/>
                <w:sz w:val="24"/>
                <w:szCs w:val="32"/>
                <w:highlight w:val="none"/>
                <w:lang w:val="en-US" w:eastAsia="zh-CN" w:bidi="ar"/>
              </w:rPr>
              <w:t>5</w:t>
            </w:r>
            <w:r>
              <w:rPr>
                <w:rFonts w:hint="default"/>
                <w:color w:val="auto"/>
                <w:sz w:val="24"/>
                <w:szCs w:val="32"/>
                <w:highlight w:val="none"/>
                <w:lang w:bidi="ar"/>
              </w:rPr>
              <w:t>微克/立方米，二氧化氮年均值为19微克/立方米，可吸入颗粒物年均值为</w:t>
            </w:r>
            <w:r>
              <w:rPr>
                <w:rFonts w:hint="eastAsia"/>
                <w:color w:val="auto"/>
                <w:sz w:val="24"/>
                <w:szCs w:val="32"/>
                <w:highlight w:val="none"/>
                <w:lang w:val="en-US" w:eastAsia="zh-CN" w:bidi="ar"/>
              </w:rPr>
              <w:t>50</w:t>
            </w:r>
            <w:r>
              <w:rPr>
                <w:rFonts w:hint="default"/>
                <w:color w:val="auto"/>
                <w:sz w:val="24"/>
                <w:szCs w:val="32"/>
                <w:highlight w:val="none"/>
                <w:lang w:bidi="ar"/>
              </w:rPr>
              <w:t>微克/立方米，细颗粒物年均值为</w:t>
            </w:r>
            <w:r>
              <w:rPr>
                <w:rFonts w:hint="eastAsia"/>
                <w:color w:val="auto"/>
                <w:sz w:val="24"/>
                <w:szCs w:val="32"/>
                <w:highlight w:val="none"/>
                <w:lang w:val="en-US" w:eastAsia="zh-CN" w:bidi="ar"/>
              </w:rPr>
              <w:t>27</w:t>
            </w:r>
            <w:r>
              <w:rPr>
                <w:rFonts w:hint="default"/>
                <w:color w:val="auto"/>
                <w:sz w:val="24"/>
                <w:szCs w:val="32"/>
                <w:highlight w:val="none"/>
                <w:lang w:bidi="ar"/>
              </w:rPr>
              <w:t>微克/立方米，臭氧年均值为</w:t>
            </w:r>
            <w:r>
              <w:rPr>
                <w:rFonts w:hint="eastAsia"/>
                <w:color w:val="auto"/>
                <w:sz w:val="24"/>
                <w:szCs w:val="32"/>
                <w:highlight w:val="none"/>
                <w:lang w:val="en-US" w:eastAsia="zh-CN" w:bidi="ar"/>
              </w:rPr>
              <w:t>99</w:t>
            </w:r>
            <w:r>
              <w:rPr>
                <w:rFonts w:hint="default"/>
                <w:color w:val="auto"/>
                <w:sz w:val="24"/>
                <w:szCs w:val="32"/>
                <w:highlight w:val="none"/>
                <w:lang w:bidi="ar"/>
              </w:rPr>
              <w:t>微克/立方米，一氧化碳年均值为</w:t>
            </w:r>
            <w:r>
              <w:rPr>
                <w:rFonts w:hint="eastAsia"/>
                <w:color w:val="auto"/>
                <w:sz w:val="24"/>
                <w:szCs w:val="32"/>
                <w:highlight w:val="none"/>
                <w:lang w:val="en-US" w:eastAsia="zh-CN" w:bidi="ar"/>
              </w:rPr>
              <w:t>1.1</w:t>
            </w:r>
            <w:r>
              <w:rPr>
                <w:rFonts w:hint="default"/>
                <w:color w:val="auto"/>
                <w:sz w:val="24"/>
                <w:szCs w:val="32"/>
                <w:highlight w:val="none"/>
                <w:lang w:bidi="ar"/>
              </w:rPr>
              <w:t>毫克/立方米，宣汉县城区环境空气质量年均值达到《环境空气质量标准》（GB3095—2012）中二级标准。</w:t>
            </w:r>
          </w:p>
          <w:p>
            <w:pPr>
              <w:pageBreakBefore w:val="0"/>
              <w:kinsoku/>
              <w:wordWrap/>
              <w:topLinePunct w:val="0"/>
              <w:bidi w:val="0"/>
              <w:spacing w:line="360" w:lineRule="auto"/>
              <w:ind w:left="0" w:leftChars="0" w:right="0" w:rightChars="0" w:firstLine="480" w:firstLineChars="200"/>
              <w:rPr>
                <w:rFonts w:hint="default"/>
                <w:color w:val="auto"/>
                <w:sz w:val="24"/>
                <w:szCs w:val="32"/>
                <w:highlight w:val="none"/>
                <w:lang w:bidi="ar"/>
              </w:rPr>
            </w:pPr>
            <w:r>
              <w:rPr>
                <w:rFonts w:hint="default"/>
                <w:color w:val="auto"/>
                <w:sz w:val="24"/>
                <w:szCs w:val="32"/>
                <w:highlight w:val="none"/>
                <w:lang w:bidi="ar"/>
              </w:rPr>
              <w:t>项目位于四川省达州市宣汉县</w:t>
            </w:r>
            <w:r>
              <w:rPr>
                <w:rFonts w:hint="eastAsia"/>
                <w:color w:val="auto"/>
                <w:sz w:val="24"/>
                <w:szCs w:val="32"/>
                <w:highlight w:val="none"/>
                <w:lang w:eastAsia="zh-CN" w:bidi="ar"/>
              </w:rPr>
              <w:t>南坝镇</w:t>
            </w:r>
            <w:r>
              <w:rPr>
                <w:color w:val="auto"/>
                <w:sz w:val="24"/>
                <w:szCs w:val="24"/>
                <w:highlight w:val="none"/>
                <w:lang w:bidi="ar"/>
              </w:rPr>
              <w:t>龙驹坝</w:t>
            </w:r>
            <w:r>
              <w:rPr>
                <w:rFonts w:hint="default"/>
                <w:color w:val="auto"/>
                <w:sz w:val="24"/>
                <w:szCs w:val="32"/>
                <w:highlight w:val="none"/>
                <w:lang w:bidi="ar"/>
              </w:rPr>
              <w:t>，根据</w:t>
            </w:r>
            <w:r>
              <w:rPr>
                <w:rFonts w:hint="default"/>
                <w:color w:val="auto"/>
                <w:sz w:val="24"/>
                <w:szCs w:val="32"/>
                <w:highlight w:val="none"/>
                <w:lang w:val="en-US" w:eastAsia="zh-CN" w:bidi="ar"/>
              </w:rPr>
              <w:t>《达州市</w:t>
            </w:r>
            <w:r>
              <w:rPr>
                <w:rFonts w:hint="eastAsia"/>
                <w:color w:val="auto"/>
                <w:sz w:val="24"/>
                <w:szCs w:val="32"/>
                <w:highlight w:val="none"/>
                <w:lang w:val="en-US" w:eastAsia="zh-CN" w:bidi="ar"/>
              </w:rPr>
              <w:t>2022</w:t>
            </w:r>
            <w:r>
              <w:rPr>
                <w:rFonts w:hint="default"/>
                <w:color w:val="auto"/>
                <w:sz w:val="24"/>
                <w:szCs w:val="32"/>
                <w:highlight w:val="none"/>
                <w:lang w:val="en-US" w:eastAsia="zh-CN" w:bidi="ar"/>
              </w:rPr>
              <w:t>年环境空气质量</w:t>
            </w:r>
            <w:r>
              <w:rPr>
                <w:rFonts w:hint="eastAsia"/>
                <w:color w:val="auto"/>
                <w:sz w:val="24"/>
                <w:szCs w:val="32"/>
                <w:highlight w:val="none"/>
                <w:lang w:val="en-US" w:eastAsia="zh-CN" w:bidi="ar"/>
              </w:rPr>
              <w:t>状况</w:t>
            </w:r>
            <w:r>
              <w:rPr>
                <w:rFonts w:hint="default"/>
                <w:color w:val="auto"/>
                <w:sz w:val="24"/>
                <w:szCs w:val="32"/>
                <w:highlight w:val="none"/>
                <w:lang w:val="en-US" w:eastAsia="zh-CN" w:bidi="ar"/>
              </w:rPr>
              <w:t>》</w:t>
            </w:r>
            <w:r>
              <w:rPr>
                <w:rFonts w:hint="default"/>
                <w:color w:val="auto"/>
                <w:sz w:val="24"/>
                <w:szCs w:val="32"/>
                <w:highlight w:val="none"/>
                <w:lang w:bidi="ar"/>
              </w:rPr>
              <w:t>，项目所在区域为环境空气质量达标区域，项目所在地空气环境质量基本符合《环境空气质量标准》（GB3095-2012）中二级标准，环境空气质量良好。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2、特征污染物环境质量现状</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（1）特征污染物现状监测</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①监测点位基本信息</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本次环评在项目所在地下风向处设置1个环境空气监测点，监测点位基本信息见表3-</w:t>
            </w:r>
            <w:r>
              <w:rPr>
                <w:rFonts w:hint="eastAsia"/>
                <w:color w:val="auto"/>
                <w:sz w:val="24"/>
                <w:szCs w:val="32"/>
                <w:highlight w:val="none"/>
                <w:lang w:val="en-US" w:eastAsia="zh-CN" w:bidi="ar"/>
              </w:rPr>
              <w:t>1</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表3-</w:t>
            </w:r>
            <w:r>
              <w:rPr>
                <w:rFonts w:hint="eastAsia" w:eastAsia="黑体"/>
                <w:color w:val="auto"/>
                <w:highlight w:val="none"/>
                <w:lang w:val="en-US" w:eastAsia="zh-CN" w:bidi="ar"/>
              </w:rPr>
              <w:t>1</w:t>
            </w:r>
            <w:r>
              <w:rPr>
                <w:rFonts w:hint="eastAsia" w:eastAsia="黑体"/>
                <w:color w:val="auto"/>
                <w:highlight w:val="none"/>
                <w:lang w:bidi="ar"/>
              </w:rPr>
              <w:t xml:space="preserve"> </w:t>
            </w:r>
            <w:r>
              <w:rPr>
                <w:rFonts w:eastAsia="黑体"/>
                <w:color w:val="auto"/>
                <w:highlight w:val="none"/>
                <w:lang w:bidi="ar"/>
              </w:rPr>
              <w:t>项目特征污染物监测点位基本信息</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490"/>
              <w:gridCol w:w="2842"/>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8"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检测项目</w:t>
                  </w:r>
                </w:p>
              </w:tc>
              <w:tc>
                <w:tcPr>
                  <w:tcW w:w="1357" w:type="pct"/>
                  <w:vAlign w:val="center"/>
                </w:tcPr>
                <w:p>
                  <w:pPr>
                    <w:pStyle w:val="42"/>
                    <w:pageBreakBefore w:val="0"/>
                    <w:kinsoku/>
                    <w:wordWrap/>
                    <w:topLinePunct w:val="0"/>
                    <w:bidi w:val="0"/>
                    <w:spacing w:before="0" w:after="0"/>
                    <w:ind w:left="0" w:leftChars="0" w:right="0" w:rightChars="0"/>
                    <w:rPr>
                      <w:rFonts w:cs="Times New Roman"/>
                      <w:b/>
                      <w:color w:val="auto"/>
                      <w:sz w:val="21"/>
                      <w:szCs w:val="21"/>
                      <w:highlight w:val="none"/>
                    </w:rPr>
                  </w:pPr>
                  <w:r>
                    <w:rPr>
                      <w:rFonts w:cs="Times New Roman"/>
                      <w:b/>
                      <w:bCs/>
                      <w:color w:val="auto"/>
                      <w:sz w:val="21"/>
                      <w:szCs w:val="21"/>
                      <w:highlight w:val="none"/>
                    </w:rPr>
                    <w:t>检</w:t>
                  </w:r>
                  <w:r>
                    <w:rPr>
                      <w:rFonts w:cs="Times New Roman"/>
                      <w:b/>
                      <w:color w:val="auto"/>
                      <w:sz w:val="21"/>
                      <w:szCs w:val="21"/>
                      <w:highlight w:val="none"/>
                    </w:rPr>
                    <w:t>测点编号及位置</w:t>
                  </w:r>
                </w:p>
              </w:tc>
              <w:tc>
                <w:tcPr>
                  <w:tcW w:w="1549" w:type="pct"/>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检测因子</w:t>
                  </w:r>
                </w:p>
              </w:tc>
              <w:tc>
                <w:tcPr>
                  <w:tcW w:w="1453"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环境空气</w:t>
                  </w:r>
                </w:p>
              </w:tc>
              <w:tc>
                <w:tcPr>
                  <w:tcW w:w="1357"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G1</w:t>
                  </w:r>
                  <w:r>
                    <w:rPr>
                      <w:color w:val="auto"/>
                      <w:spacing w:val="12"/>
                      <w:kern w:val="28"/>
                      <w:highlight w:val="none"/>
                    </w:rPr>
                    <w:t>，</w:t>
                  </w:r>
                  <w:r>
                    <w:rPr>
                      <w:color w:val="auto"/>
                      <w:highlight w:val="none"/>
                    </w:rPr>
                    <w:t>项目所在地下风向（居民点处）</w:t>
                  </w:r>
                </w:p>
              </w:tc>
              <w:tc>
                <w:tcPr>
                  <w:tcW w:w="154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臭气浓度、硫化氢、氨</w:t>
                  </w:r>
                </w:p>
              </w:tc>
              <w:tc>
                <w:tcPr>
                  <w:tcW w:w="1453"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检测3天，每天采样4次</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②监测结果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区域环境空气质量现状监测结果见表3-</w:t>
            </w:r>
            <w:r>
              <w:rPr>
                <w:rFonts w:hint="eastAsia"/>
                <w:color w:val="auto"/>
                <w:sz w:val="24"/>
                <w:szCs w:val="32"/>
                <w:highlight w:val="none"/>
                <w:lang w:val="en-US" w:eastAsia="zh-CN" w:bidi="ar"/>
              </w:rPr>
              <w:t>2</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表3-</w:t>
            </w:r>
            <w:r>
              <w:rPr>
                <w:rFonts w:hint="eastAsia" w:eastAsia="黑体"/>
                <w:color w:val="auto"/>
                <w:highlight w:val="none"/>
                <w:lang w:val="en-US" w:eastAsia="zh-CN" w:bidi="ar"/>
              </w:rPr>
              <w:t>2</w:t>
            </w:r>
            <w:r>
              <w:rPr>
                <w:rFonts w:hint="eastAsia" w:eastAsia="黑体"/>
                <w:color w:val="auto"/>
                <w:highlight w:val="none"/>
                <w:lang w:bidi="ar"/>
              </w:rPr>
              <w:t xml:space="preserve"> </w:t>
            </w:r>
            <w:r>
              <w:rPr>
                <w:rFonts w:eastAsia="黑体"/>
                <w:color w:val="auto"/>
                <w:highlight w:val="none"/>
                <w:lang w:bidi="ar"/>
              </w:rPr>
              <w:t>环境空气质量现状监测结果</w:t>
            </w:r>
            <w:r>
              <w:rPr>
                <w:rFonts w:hint="eastAsia" w:eastAsia="黑体"/>
                <w:color w:val="auto"/>
                <w:highlight w:val="none"/>
                <w:lang w:val="en-US" w:eastAsia="zh-CN" w:bidi="ar"/>
              </w:rPr>
              <w:t xml:space="preserve">  </w:t>
            </w:r>
            <w:r>
              <w:rPr>
                <w:rFonts w:eastAsia="黑体"/>
                <w:color w:val="auto"/>
                <w:highlight w:val="none"/>
                <w:lang w:bidi="ar"/>
              </w:rPr>
              <w:t>单位：mg/m</w:t>
            </w:r>
            <w:r>
              <w:rPr>
                <w:rFonts w:eastAsia="黑体"/>
                <w:color w:val="auto"/>
                <w:highlight w:val="none"/>
                <w:vertAlign w:val="superscript"/>
                <w:lang w:bidi="ar"/>
              </w:rPr>
              <w:t>3</w:t>
            </w:r>
          </w:p>
          <w:tbl>
            <w:tblPr>
              <w:tblStyle w:val="23"/>
              <w:tblW w:w="9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28" w:type="dxa"/>
                <w:bottom w:w="0" w:type="dxa"/>
                <w:right w:w="28" w:type="dxa"/>
              </w:tblCellMar>
            </w:tblPr>
            <w:tblGrid>
              <w:gridCol w:w="1001"/>
              <w:gridCol w:w="1985"/>
              <w:gridCol w:w="2203"/>
              <w:gridCol w:w="991"/>
              <w:gridCol w:w="991"/>
              <w:gridCol w:w="991"/>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tblHeader/>
                <w:jc w:val="center"/>
              </w:trPr>
              <w:tc>
                <w:tcPr>
                  <w:tcW w:w="545" w:type="pct"/>
                  <w:vMerge w:val="restart"/>
                  <w:tcBorders>
                    <w:top w:val="single" w:color="auto" w:sz="4" w:space="0"/>
                    <w:left w:val="single" w:color="auto" w:sz="0"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采样日期</w:t>
                  </w:r>
                </w:p>
              </w:tc>
              <w:tc>
                <w:tcPr>
                  <w:tcW w:w="1081"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检测因子</w:t>
                  </w:r>
                </w:p>
              </w:tc>
              <w:tc>
                <w:tcPr>
                  <w:tcW w:w="1200"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检测点编号及位置</w:t>
                  </w:r>
                </w:p>
              </w:tc>
              <w:tc>
                <w:tcPr>
                  <w:tcW w:w="2173" w:type="pct"/>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检测数据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tblHeader/>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p>
              </w:tc>
              <w:tc>
                <w:tcPr>
                  <w:tcW w:w="1081"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p>
              </w:tc>
              <w:tc>
                <w:tcPr>
                  <w:tcW w:w="1200"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p>
              </w:tc>
              <w:tc>
                <w:tcPr>
                  <w:tcW w:w="540"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第一次</w:t>
                  </w:r>
                </w:p>
              </w:tc>
              <w:tc>
                <w:tcPr>
                  <w:tcW w:w="540"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第二次</w:t>
                  </w:r>
                </w:p>
              </w:tc>
              <w:tc>
                <w:tcPr>
                  <w:tcW w:w="540"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第三次</w:t>
                  </w:r>
                </w:p>
              </w:tc>
              <w:tc>
                <w:tcPr>
                  <w:tcW w:w="550"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第四次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2023.06.24</w:t>
                  </w: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氨</w:t>
                  </w:r>
                </w:p>
              </w:tc>
              <w:tc>
                <w:tcPr>
                  <w:tcW w:w="2203" w:type="dxa"/>
                  <w:vMerge w:val="restart"/>
                  <w:tcBorders>
                    <w:top w:val="single" w:color="auto" w:sz="4" w:space="0"/>
                    <w:left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G1</w:t>
                  </w:r>
                  <w:r>
                    <w:rPr>
                      <w:color w:val="auto"/>
                      <w:spacing w:val="12"/>
                      <w:kern w:val="28"/>
                      <w:highlight w:val="none"/>
                    </w:rPr>
                    <w:t>，</w:t>
                  </w:r>
                  <w:r>
                    <w:rPr>
                      <w:color w:val="auto"/>
                      <w:highlight w:val="none"/>
                    </w:rPr>
                    <w:t>项目所在地下风向（居民点处）</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0.12</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0.11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0.09</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color w:val="auto"/>
                      <w:sz w:val="21"/>
                      <w:szCs w:val="21"/>
                      <w:highlight w:val="none"/>
                    </w:rPr>
                  </w:pPr>
                  <w:r>
                    <w:rPr>
                      <w:rFonts w:hint="eastAsia"/>
                      <w:color w:val="auto"/>
                      <w:sz w:val="21"/>
                      <w:szCs w:val="21"/>
                      <w:highlight w:val="none"/>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硫化氢</w:t>
                  </w:r>
                </w:p>
              </w:tc>
              <w:tc>
                <w:tcPr>
                  <w:tcW w:w="1200" w:type="pct"/>
                  <w:vMerge w:val="continue"/>
                  <w:tcBorders>
                    <w:left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臭气浓度（无量纲）</w:t>
                  </w:r>
                </w:p>
              </w:tc>
              <w:tc>
                <w:tcPr>
                  <w:tcW w:w="1200" w:type="pct"/>
                  <w:vMerge w:val="continue"/>
                  <w:tcBorders>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2023.06.25</w:t>
                  </w: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氨</w:t>
                  </w:r>
                </w:p>
              </w:tc>
              <w:tc>
                <w:tcPr>
                  <w:tcW w:w="2203" w:type="dxa"/>
                  <w:vMerge w:val="restart"/>
                  <w:tcBorders>
                    <w:top w:val="single" w:color="auto" w:sz="4" w:space="0"/>
                    <w:left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G1</w:t>
                  </w:r>
                  <w:r>
                    <w:rPr>
                      <w:color w:val="auto"/>
                      <w:spacing w:val="12"/>
                      <w:kern w:val="28"/>
                      <w:highlight w:val="none"/>
                    </w:rPr>
                    <w:t>，</w:t>
                  </w:r>
                  <w:r>
                    <w:rPr>
                      <w:color w:val="auto"/>
                      <w:highlight w:val="none"/>
                    </w:rPr>
                    <w:t>项目所在地下风向（居民点处）</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0.15</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0.12</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textAlignment w:val="center"/>
                    <w:rPr>
                      <w:iCs/>
                      <w:color w:val="auto"/>
                      <w:sz w:val="21"/>
                      <w:szCs w:val="21"/>
                      <w:highlight w:val="none"/>
                    </w:rPr>
                  </w:pPr>
                  <w:r>
                    <w:rPr>
                      <w:rFonts w:hint="eastAsia"/>
                      <w:iCs/>
                      <w:color w:val="auto"/>
                      <w:sz w:val="21"/>
                      <w:szCs w:val="21"/>
                      <w:highlight w:val="none"/>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硫化氢</w:t>
                  </w:r>
                </w:p>
              </w:tc>
              <w:tc>
                <w:tcPr>
                  <w:tcW w:w="1200" w:type="pct"/>
                  <w:vMerge w:val="continue"/>
                  <w:tcBorders>
                    <w:left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臭气浓度（无量纲）</w:t>
                  </w:r>
                </w:p>
              </w:tc>
              <w:tc>
                <w:tcPr>
                  <w:tcW w:w="1200" w:type="pct"/>
                  <w:vMerge w:val="continue"/>
                  <w:tcBorders>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iCs/>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2023.06.26</w:t>
                  </w: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氨</w:t>
                  </w:r>
                </w:p>
              </w:tc>
              <w:tc>
                <w:tcPr>
                  <w:tcW w:w="2203" w:type="dxa"/>
                  <w:vMerge w:val="restart"/>
                  <w:tcBorders>
                    <w:top w:val="single" w:color="auto" w:sz="4" w:space="0"/>
                    <w:left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G1</w:t>
                  </w:r>
                  <w:r>
                    <w:rPr>
                      <w:color w:val="auto"/>
                      <w:spacing w:val="12"/>
                      <w:kern w:val="28"/>
                      <w:highlight w:val="none"/>
                    </w:rPr>
                    <w:t>，</w:t>
                  </w:r>
                  <w:r>
                    <w:rPr>
                      <w:color w:val="auto"/>
                      <w:highlight w:val="none"/>
                    </w:rPr>
                    <w:t>项目所在地下风向（居民点处）</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rFonts w:hint="eastAsia"/>
                      <w:color w:val="auto"/>
                      <w:sz w:val="21"/>
                      <w:szCs w:val="21"/>
                      <w:highlight w:val="none"/>
                    </w:rPr>
                    <w:t>0.12</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rFonts w:hint="eastAsia"/>
                      <w:color w:val="auto"/>
                      <w:sz w:val="21"/>
                      <w:szCs w:val="21"/>
                      <w:highlight w:val="none"/>
                    </w:rPr>
                    <w:t>0.09</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rFonts w:hint="eastAsia"/>
                      <w:color w:val="auto"/>
                      <w:sz w:val="21"/>
                      <w:szCs w:val="21"/>
                      <w:highlight w:val="none"/>
                    </w:rPr>
                    <w:t>0.10</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rFonts w:hint="eastAsia"/>
                      <w:color w:val="auto"/>
                      <w:sz w:val="21"/>
                      <w:szCs w:val="21"/>
                      <w:highlight w:val="none"/>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硫化氢</w:t>
                  </w:r>
                </w:p>
              </w:tc>
              <w:tc>
                <w:tcPr>
                  <w:tcW w:w="1200" w:type="pct"/>
                  <w:vMerge w:val="continue"/>
                  <w:tcBorders>
                    <w:left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0.001</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397" w:hRule="atLeast"/>
                <w:jc w:val="center"/>
              </w:trPr>
              <w:tc>
                <w:tcPr>
                  <w:tcW w:w="545" w:type="pct"/>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1081"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臭气浓度（无量纲）</w:t>
                  </w:r>
                </w:p>
              </w:tc>
              <w:tc>
                <w:tcPr>
                  <w:tcW w:w="1200" w:type="pct"/>
                  <w:vMerge w:val="continue"/>
                  <w:tcBorders>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lang w:bidi="ar"/>
                    </w:rPr>
                  </w:pP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991"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10</w:t>
                  </w:r>
                </w:p>
              </w:tc>
              <w:tc>
                <w:tcPr>
                  <w:tcW w:w="1016" w:type="dxa"/>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sz w:val="21"/>
                      <w:szCs w:val="21"/>
                      <w:highlight w:val="none"/>
                    </w:rPr>
                  </w:pPr>
                  <w:r>
                    <w:rPr>
                      <w:color w:val="auto"/>
                      <w:sz w:val="21"/>
                      <w:szCs w:val="21"/>
                      <w:highlight w:val="none"/>
                    </w:rPr>
                    <w:t>&lt;</w:t>
                  </w:r>
                  <w:r>
                    <w:rPr>
                      <w:rFonts w:hint="eastAsia"/>
                      <w:color w:val="auto"/>
                      <w:sz w:val="21"/>
                      <w:szCs w:val="21"/>
                      <w:highlight w:val="none"/>
                    </w:rPr>
                    <w:t>10</w:t>
                  </w:r>
                </w:p>
              </w:tc>
            </w:tr>
          </w:tbl>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（2）特征污染物现状评价</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①评价因子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NH</w:t>
            </w:r>
            <w:r>
              <w:rPr>
                <w:color w:val="auto"/>
                <w:sz w:val="24"/>
                <w:szCs w:val="32"/>
                <w:highlight w:val="none"/>
                <w:vertAlign w:val="subscript"/>
                <w:lang w:bidi="ar"/>
              </w:rPr>
              <w:t>3</w:t>
            </w:r>
            <w:r>
              <w:rPr>
                <w:color w:val="auto"/>
                <w:sz w:val="24"/>
                <w:szCs w:val="32"/>
                <w:highlight w:val="none"/>
                <w:lang w:bidi="ar"/>
              </w:rPr>
              <w:t>、H</w:t>
            </w:r>
            <w:r>
              <w:rPr>
                <w:color w:val="auto"/>
                <w:sz w:val="24"/>
                <w:szCs w:val="32"/>
                <w:highlight w:val="none"/>
                <w:vertAlign w:val="subscript"/>
                <w:lang w:bidi="ar"/>
              </w:rPr>
              <w:t>2</w:t>
            </w:r>
            <w:r>
              <w:rPr>
                <w:color w:val="auto"/>
                <w:sz w:val="24"/>
                <w:szCs w:val="32"/>
                <w:highlight w:val="none"/>
                <w:lang w:bidi="ar"/>
              </w:rPr>
              <w:t>S。</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②评价标准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执行《环境影响评价技术导则大气环境》（HJ2.2-2018）附录D。</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③评价方法</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采用单项质量指数法，公式为：</w:t>
            </w:r>
          </w:p>
          <w:p>
            <w:pPr>
              <w:pageBreakBefore w:val="0"/>
              <w:kinsoku/>
              <w:wordWrap/>
              <w:topLinePunct w:val="0"/>
              <w:bidi w:val="0"/>
              <w:spacing w:line="360" w:lineRule="auto"/>
              <w:ind w:left="0" w:leftChars="0" w:right="0" w:rightChars="0"/>
              <w:jc w:val="center"/>
              <w:rPr>
                <w:color w:val="auto"/>
                <w:sz w:val="24"/>
                <w:szCs w:val="32"/>
                <w:highlight w:val="none"/>
                <w:lang w:bidi="ar"/>
              </w:rPr>
            </w:pPr>
            <w:r>
              <w:rPr>
                <w:color w:val="auto"/>
                <w:sz w:val="24"/>
                <w:szCs w:val="32"/>
                <w:highlight w:val="none"/>
                <w:lang w:bidi="ar"/>
              </w:rPr>
              <w:t>Pi=Ci/Si</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式中，Pi——第i个污染物标准指数值；</w:t>
            </w:r>
          </w:p>
          <w:p>
            <w:pPr>
              <w:pageBreakBefore w:val="0"/>
              <w:kinsoku/>
              <w:wordWrap/>
              <w:topLinePunct w:val="0"/>
              <w:bidi w:val="0"/>
              <w:spacing w:line="360" w:lineRule="auto"/>
              <w:ind w:left="0" w:leftChars="0" w:right="0" w:rightChars="0" w:firstLine="1200" w:firstLineChars="500"/>
              <w:rPr>
                <w:color w:val="auto"/>
                <w:sz w:val="24"/>
                <w:szCs w:val="32"/>
                <w:highlight w:val="none"/>
                <w:lang w:bidi="ar"/>
              </w:rPr>
            </w:pPr>
            <w:r>
              <w:rPr>
                <w:color w:val="auto"/>
                <w:sz w:val="24"/>
                <w:szCs w:val="32"/>
                <w:highlight w:val="none"/>
                <w:lang w:bidi="ar"/>
              </w:rPr>
              <w:t>Ci——第i个污染物实测浓度值，mg/m</w:t>
            </w:r>
            <w:r>
              <w:rPr>
                <w:color w:val="auto"/>
                <w:sz w:val="24"/>
                <w:szCs w:val="32"/>
                <w:highlight w:val="none"/>
                <w:vertAlign w:val="superscript"/>
                <w:lang w:bidi="ar"/>
              </w:rPr>
              <w:t>3</w:t>
            </w:r>
            <w:r>
              <w:rPr>
                <w:color w:val="auto"/>
                <w:sz w:val="24"/>
                <w:szCs w:val="32"/>
                <w:highlight w:val="none"/>
                <w:lang w:bidi="ar"/>
              </w:rPr>
              <w:t>；</w:t>
            </w:r>
          </w:p>
          <w:p>
            <w:pPr>
              <w:pageBreakBefore w:val="0"/>
              <w:kinsoku/>
              <w:wordWrap/>
              <w:topLinePunct w:val="0"/>
              <w:bidi w:val="0"/>
              <w:spacing w:line="360" w:lineRule="auto"/>
              <w:ind w:left="0" w:leftChars="0" w:right="0" w:rightChars="0" w:firstLine="1200" w:firstLineChars="500"/>
              <w:rPr>
                <w:color w:val="auto"/>
                <w:sz w:val="24"/>
                <w:szCs w:val="32"/>
                <w:highlight w:val="none"/>
                <w:lang w:bidi="ar"/>
              </w:rPr>
            </w:pPr>
            <w:r>
              <w:rPr>
                <w:color w:val="auto"/>
                <w:sz w:val="24"/>
                <w:szCs w:val="32"/>
                <w:highlight w:val="none"/>
                <w:lang w:bidi="ar"/>
              </w:rPr>
              <w:t>Si——第i个污染物评价标准限值，mg/m</w:t>
            </w:r>
            <w:r>
              <w:rPr>
                <w:color w:val="auto"/>
                <w:sz w:val="24"/>
                <w:szCs w:val="32"/>
                <w:highlight w:val="none"/>
                <w:vertAlign w:val="superscript"/>
                <w:lang w:bidi="ar"/>
              </w:rPr>
              <w:t>3</w:t>
            </w:r>
            <w:r>
              <w:rPr>
                <w:color w:val="auto"/>
                <w:sz w:val="24"/>
                <w:szCs w:val="32"/>
                <w:highlight w:val="none"/>
                <w:lang w:bidi="ar"/>
              </w:rPr>
              <w:t>。</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当Pi值大于1.0时，表明大气环境已受到该项评价因子所表征的污染物的污染。Pi值越大，受污染程度越重；Pi值越小，受污染程度越轻。</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④评价结果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区域环境空气特征污染物现状评价结果见表3-</w:t>
            </w:r>
            <w:r>
              <w:rPr>
                <w:rFonts w:hint="eastAsia"/>
                <w:color w:val="auto"/>
                <w:sz w:val="24"/>
                <w:szCs w:val="32"/>
                <w:highlight w:val="none"/>
                <w:lang w:val="en-US" w:eastAsia="zh-CN" w:bidi="ar"/>
              </w:rPr>
              <w:t>3</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表3-</w:t>
            </w:r>
            <w:r>
              <w:rPr>
                <w:rFonts w:hint="eastAsia" w:eastAsia="黑体"/>
                <w:color w:val="auto"/>
                <w:highlight w:val="none"/>
                <w:lang w:val="en-US" w:eastAsia="zh-CN" w:bidi="ar"/>
              </w:rPr>
              <w:t>3</w:t>
            </w:r>
            <w:r>
              <w:rPr>
                <w:rFonts w:hint="eastAsia" w:eastAsia="黑体"/>
                <w:color w:val="auto"/>
                <w:highlight w:val="none"/>
                <w:lang w:bidi="ar"/>
              </w:rPr>
              <w:t xml:space="preserve"> </w:t>
            </w:r>
            <w:r>
              <w:rPr>
                <w:rFonts w:eastAsia="黑体"/>
                <w:color w:val="auto"/>
                <w:highlight w:val="none"/>
                <w:lang w:bidi="ar"/>
              </w:rPr>
              <w:t>项目特征污染物现状评价结果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199"/>
              <w:gridCol w:w="1406"/>
              <w:gridCol w:w="1718"/>
              <w:gridCol w:w="1564"/>
              <w:gridCol w:w="109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55"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污染物</w:t>
                  </w:r>
                </w:p>
              </w:tc>
              <w:tc>
                <w:tcPr>
                  <w:tcW w:w="65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平均时间</w:t>
                  </w:r>
                </w:p>
              </w:tc>
              <w:tc>
                <w:tcPr>
                  <w:tcW w:w="766"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评价标准（ug/m</w:t>
                  </w:r>
                  <w:r>
                    <w:rPr>
                      <w:b/>
                      <w:bCs/>
                      <w:color w:val="auto"/>
                      <w:highlight w:val="none"/>
                      <w:vertAlign w:val="superscript"/>
                      <w:lang w:bidi="ar"/>
                    </w:rPr>
                    <w:t>3</w:t>
                  </w:r>
                  <w:r>
                    <w:rPr>
                      <w:b/>
                      <w:bCs/>
                      <w:color w:val="auto"/>
                      <w:highlight w:val="none"/>
                      <w:lang w:bidi="ar"/>
                    </w:rPr>
                    <w:t>）</w:t>
                  </w:r>
                </w:p>
              </w:tc>
              <w:tc>
                <w:tcPr>
                  <w:tcW w:w="936"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浓度值范围（mg/m</w:t>
                  </w:r>
                  <w:r>
                    <w:rPr>
                      <w:b/>
                      <w:bCs/>
                      <w:color w:val="auto"/>
                      <w:highlight w:val="none"/>
                      <w:vertAlign w:val="superscript"/>
                      <w:lang w:bidi="ar"/>
                    </w:rPr>
                    <w:t>3</w:t>
                  </w:r>
                  <w:r>
                    <w:rPr>
                      <w:b/>
                      <w:bCs/>
                      <w:color w:val="auto"/>
                      <w:highlight w:val="none"/>
                      <w:lang w:bidi="ar"/>
                    </w:rPr>
                    <w:t>）</w:t>
                  </w:r>
                </w:p>
              </w:tc>
              <w:tc>
                <w:tcPr>
                  <w:tcW w:w="852"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最大浓度占标率（%）</w:t>
                  </w:r>
                </w:p>
              </w:tc>
              <w:tc>
                <w:tcPr>
                  <w:tcW w:w="594"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超标率（%）</w:t>
                  </w:r>
                </w:p>
              </w:tc>
              <w:tc>
                <w:tcPr>
                  <w:tcW w:w="640"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NH</w:t>
                  </w:r>
                  <w:r>
                    <w:rPr>
                      <w:color w:val="auto"/>
                      <w:highlight w:val="none"/>
                      <w:vertAlign w:val="subscript"/>
                      <w:lang w:bidi="ar"/>
                    </w:rPr>
                    <w:t>3</w:t>
                  </w:r>
                </w:p>
              </w:tc>
              <w:tc>
                <w:tcPr>
                  <w:tcW w:w="65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1h平均</w:t>
                  </w:r>
                </w:p>
              </w:tc>
              <w:tc>
                <w:tcPr>
                  <w:tcW w:w="766"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200</w:t>
                  </w:r>
                </w:p>
              </w:tc>
              <w:tc>
                <w:tcPr>
                  <w:tcW w:w="936" w:type="pct"/>
                  <w:vAlign w:val="center"/>
                </w:tcPr>
                <w:p>
                  <w:pPr>
                    <w:pageBreakBefore w:val="0"/>
                    <w:kinsoku/>
                    <w:wordWrap/>
                    <w:topLinePunct w:val="0"/>
                    <w:bidi w:val="0"/>
                    <w:ind w:left="0" w:leftChars="0" w:right="0" w:rightChars="0"/>
                    <w:jc w:val="center"/>
                    <w:rPr>
                      <w:color w:val="auto"/>
                      <w:highlight w:val="none"/>
                      <w:lang w:bidi="ar"/>
                    </w:rPr>
                  </w:pPr>
                  <w:r>
                    <w:rPr>
                      <w:iCs/>
                      <w:color w:val="auto"/>
                      <w:highlight w:val="none"/>
                    </w:rPr>
                    <w:t>0.09~0.15</w:t>
                  </w:r>
                </w:p>
              </w:tc>
              <w:tc>
                <w:tcPr>
                  <w:tcW w:w="852"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75</w:t>
                  </w:r>
                </w:p>
              </w:tc>
              <w:tc>
                <w:tcPr>
                  <w:tcW w:w="59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w:t>
                  </w:r>
                </w:p>
              </w:tc>
              <w:tc>
                <w:tcPr>
                  <w:tcW w:w="64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H</w:t>
                  </w:r>
                  <w:r>
                    <w:rPr>
                      <w:color w:val="auto"/>
                      <w:highlight w:val="none"/>
                      <w:vertAlign w:val="subscript"/>
                      <w:lang w:bidi="ar"/>
                    </w:rPr>
                    <w:t>2</w:t>
                  </w:r>
                  <w:r>
                    <w:rPr>
                      <w:color w:val="auto"/>
                      <w:highlight w:val="none"/>
                      <w:lang w:bidi="ar"/>
                    </w:rPr>
                    <w:t>S</w:t>
                  </w:r>
                </w:p>
              </w:tc>
              <w:tc>
                <w:tcPr>
                  <w:tcW w:w="65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1h平均</w:t>
                  </w:r>
                </w:p>
              </w:tc>
              <w:tc>
                <w:tcPr>
                  <w:tcW w:w="766"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10</w:t>
                  </w:r>
                </w:p>
              </w:tc>
              <w:tc>
                <w:tcPr>
                  <w:tcW w:w="936"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&lt;0.001</w:t>
                  </w:r>
                </w:p>
              </w:tc>
              <w:tc>
                <w:tcPr>
                  <w:tcW w:w="852"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bidi="ar"/>
                    </w:rPr>
                  </w:pPr>
                  <w:r>
                    <w:rPr>
                      <w:color w:val="auto"/>
                      <w:highlight w:val="none"/>
                    </w:rPr>
                    <w:t>&lt;</w:t>
                  </w:r>
                  <w:r>
                    <w:rPr>
                      <w:rFonts w:hint="eastAsia"/>
                      <w:color w:val="auto"/>
                      <w:highlight w:val="none"/>
                      <w:lang w:val="en-US" w:eastAsia="zh-CN"/>
                    </w:rPr>
                    <w:t>10</w:t>
                  </w:r>
                </w:p>
              </w:tc>
              <w:tc>
                <w:tcPr>
                  <w:tcW w:w="59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w:t>
                  </w:r>
                </w:p>
              </w:tc>
              <w:tc>
                <w:tcPr>
                  <w:tcW w:w="64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达标</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结果表明，现状监测期间，评价区域环境空气中H</w:t>
            </w:r>
            <w:r>
              <w:rPr>
                <w:color w:val="auto"/>
                <w:sz w:val="24"/>
                <w:szCs w:val="32"/>
                <w:highlight w:val="none"/>
                <w:vertAlign w:val="subscript"/>
                <w:lang w:bidi="ar"/>
              </w:rPr>
              <w:t>2</w:t>
            </w:r>
            <w:r>
              <w:rPr>
                <w:color w:val="auto"/>
                <w:sz w:val="24"/>
                <w:szCs w:val="32"/>
                <w:highlight w:val="none"/>
                <w:lang w:bidi="ar"/>
              </w:rPr>
              <w:t>S、NH</w:t>
            </w:r>
            <w:r>
              <w:rPr>
                <w:color w:val="auto"/>
                <w:sz w:val="24"/>
                <w:szCs w:val="32"/>
                <w:highlight w:val="none"/>
                <w:vertAlign w:val="subscript"/>
                <w:lang w:bidi="ar"/>
              </w:rPr>
              <w:t>3</w:t>
            </w:r>
            <w:r>
              <w:rPr>
                <w:color w:val="auto"/>
                <w:sz w:val="24"/>
                <w:szCs w:val="32"/>
                <w:highlight w:val="none"/>
                <w:lang w:bidi="ar"/>
              </w:rPr>
              <w:t>满足《环境影响评价技术导则大气环境》（HJ2.2-2018）附录D中的浓度限值标准要求。</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二、地表水环境质量现状评价</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根据宣汉县环境监测站提供的前河-乡石鹰断面2021～2023年三年区段的常规水质监测资料，并适当进行补充监测。</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1、常规水质监测现状</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（1）水环境质量现状调查</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本次评价共收集</w:t>
            </w:r>
            <w:r>
              <w:rPr>
                <w:color w:val="auto"/>
                <w:sz w:val="24"/>
                <w:szCs w:val="36"/>
                <w:highlight w:val="none"/>
              </w:rPr>
              <w:t>前河-乡石鹰</w:t>
            </w:r>
            <w:r>
              <w:rPr>
                <w:color w:val="auto"/>
                <w:sz w:val="24"/>
                <w:szCs w:val="32"/>
                <w:highlight w:val="none"/>
                <w:lang w:bidi="ar"/>
              </w:rPr>
              <w:t>1个断面，</w:t>
            </w:r>
            <w:r>
              <w:rPr>
                <w:color w:val="auto"/>
                <w:sz w:val="24"/>
                <w:szCs w:val="36"/>
                <w:highlight w:val="none"/>
              </w:rPr>
              <w:t>2021～2023</w:t>
            </w:r>
            <w:r>
              <w:rPr>
                <w:color w:val="auto"/>
                <w:sz w:val="24"/>
                <w:szCs w:val="32"/>
                <w:highlight w:val="none"/>
                <w:lang w:bidi="ar"/>
              </w:rPr>
              <w:t>年连续三年的常规监测数据。</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（2）评价标准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6"/>
                <w:highlight w:val="none"/>
              </w:rPr>
              <w:t>前河-乡石鹰</w:t>
            </w:r>
            <w:r>
              <w:rPr>
                <w:color w:val="auto"/>
                <w:sz w:val="24"/>
                <w:szCs w:val="32"/>
                <w:highlight w:val="none"/>
                <w:lang w:bidi="ar"/>
              </w:rPr>
              <w:t>断面执行《地表水环境质量标准》（GB3838-2002）Ⅲ类标准。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（3）评价结果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各监测断面的监测数据统计见表3-</w:t>
            </w:r>
            <w:r>
              <w:rPr>
                <w:rFonts w:hint="eastAsia"/>
                <w:color w:val="auto"/>
                <w:sz w:val="24"/>
                <w:szCs w:val="32"/>
                <w:highlight w:val="none"/>
                <w:lang w:val="en-US" w:eastAsia="zh-CN" w:bidi="ar"/>
              </w:rPr>
              <w:t>4</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color w:val="auto"/>
                <w:sz w:val="24"/>
                <w:szCs w:val="32"/>
                <w:highlight w:val="none"/>
                <w:lang w:bidi="ar"/>
              </w:rPr>
            </w:pPr>
            <w:r>
              <w:rPr>
                <w:rFonts w:eastAsia="黑体"/>
                <w:color w:val="auto"/>
                <w:highlight w:val="none"/>
                <w:lang w:bidi="ar"/>
              </w:rPr>
              <w:t>表3-</w:t>
            </w:r>
            <w:r>
              <w:rPr>
                <w:rFonts w:hint="eastAsia" w:eastAsia="黑体"/>
                <w:color w:val="auto"/>
                <w:highlight w:val="none"/>
                <w:lang w:val="en-US" w:eastAsia="zh-CN" w:bidi="ar"/>
              </w:rPr>
              <w:t>4</w:t>
            </w:r>
            <w:r>
              <w:rPr>
                <w:rFonts w:hint="eastAsia" w:eastAsia="黑体"/>
                <w:color w:val="auto"/>
                <w:highlight w:val="none"/>
                <w:lang w:bidi="ar"/>
              </w:rPr>
              <w:t xml:space="preserve"> </w:t>
            </w:r>
            <w:r>
              <w:rPr>
                <w:rFonts w:eastAsia="黑体"/>
                <w:color w:val="auto"/>
                <w:highlight w:val="none"/>
                <w:lang w:bidi="ar"/>
              </w:rPr>
              <w:t>近三年水环境质量数据（季度值）</w:t>
            </w:r>
            <w:r>
              <w:rPr>
                <w:rFonts w:hint="eastAsia" w:eastAsia="黑体"/>
                <w:color w:val="auto"/>
                <w:highlight w:val="none"/>
                <w:lang w:val="en-US" w:eastAsia="zh-CN" w:bidi="ar"/>
              </w:rPr>
              <w:t xml:space="preserve">  </w:t>
            </w:r>
            <w:r>
              <w:rPr>
                <w:rFonts w:eastAsia="黑体"/>
                <w:color w:val="auto"/>
                <w:highlight w:val="none"/>
                <w:lang w:bidi="ar"/>
              </w:rPr>
              <w:t>单位：mg/L，pH无量纲</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18"/>
              <w:gridCol w:w="1003"/>
              <w:gridCol w:w="1004"/>
              <w:gridCol w:w="1004"/>
              <w:gridCol w:w="1004"/>
              <w:gridCol w:w="1004"/>
              <w:gridCol w:w="1011"/>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0"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监测年度</w:t>
                  </w:r>
                </w:p>
              </w:tc>
              <w:tc>
                <w:tcPr>
                  <w:tcW w:w="610"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监测季度</w:t>
                  </w:r>
                </w:p>
              </w:tc>
              <w:tc>
                <w:tcPr>
                  <w:tcW w:w="54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总磷</w:t>
                  </w:r>
                </w:p>
              </w:tc>
              <w:tc>
                <w:tcPr>
                  <w:tcW w:w="54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CODcr</w:t>
                  </w:r>
                </w:p>
              </w:tc>
              <w:tc>
                <w:tcPr>
                  <w:tcW w:w="54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氨氮</w:t>
                  </w:r>
                </w:p>
              </w:tc>
              <w:tc>
                <w:tcPr>
                  <w:tcW w:w="54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生化需氧量</w:t>
                  </w:r>
                </w:p>
              </w:tc>
              <w:tc>
                <w:tcPr>
                  <w:tcW w:w="54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pH</w:t>
                  </w:r>
                </w:p>
              </w:tc>
              <w:tc>
                <w:tcPr>
                  <w:tcW w:w="551"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总氮</w:t>
                  </w:r>
                </w:p>
              </w:tc>
              <w:tc>
                <w:tcPr>
                  <w:tcW w:w="711"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总体水质类别及状况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2021年</w:t>
                  </w: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一季度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0.081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0.380</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7.39</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2.94</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二季度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0.005</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19</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0.453</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7.16</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1.55</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Ⅲ（良）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三季度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0.065</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0.024</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7.40</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1.77</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四季度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0.04</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0.233</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7.34</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1.75</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2022年</w:t>
                  </w: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一季度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0.04</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0.213</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1.3</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7.46</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1.42</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二季度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0.07</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0.451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2.6</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7.3</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1.85</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三季度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0.05</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9</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0.418</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2.7</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7.4</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1.45</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四季度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0.05</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9</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0.122</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2.7</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7.4</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1.33</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2023年</w:t>
                  </w: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一季度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0.04</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6</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0.183</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1.9</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7.4</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0.97</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61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二季度</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0.03</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0.061</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1.4</w:t>
                  </w:r>
                </w:p>
              </w:tc>
              <w:tc>
                <w:tcPr>
                  <w:tcW w:w="5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7.3</w:t>
                  </w:r>
                </w:p>
              </w:tc>
              <w:tc>
                <w:tcPr>
                  <w:tcW w:w="55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1.41</w:t>
                  </w:r>
                </w:p>
              </w:tc>
              <w:tc>
                <w:tcPr>
                  <w:tcW w:w="7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Ⅱ（优）</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注：执行《地表水环境质量标准》（GB3838-2002）Ⅲ类标准.</w:t>
            </w:r>
          </w:p>
          <w:p>
            <w:pPr>
              <w:pageBreakBefore w:val="0"/>
              <w:kinsoku/>
              <w:wordWrap/>
              <w:topLinePunct w:val="0"/>
              <w:bidi w:val="0"/>
              <w:spacing w:line="360" w:lineRule="auto"/>
              <w:ind w:left="0" w:leftChars="0" w:right="0" w:rightChars="0"/>
              <w:jc w:val="center"/>
              <w:rPr>
                <w:color w:val="auto"/>
                <w:highlight w:val="none"/>
              </w:rPr>
            </w:pPr>
            <w:r>
              <w:rPr>
                <w:color w:val="auto"/>
                <w:highlight w:val="none"/>
              </w:rPr>
              <w:drawing>
                <wp:inline distT="0" distB="0" distL="114300" distR="114300">
                  <wp:extent cx="4572000" cy="2743200"/>
                  <wp:effectExtent l="4445" t="4445" r="14605" b="14605"/>
                  <wp:docPr id="3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ageBreakBefore w:val="0"/>
              <w:kinsoku/>
              <w:wordWrap/>
              <w:topLinePunct w:val="0"/>
              <w:bidi w:val="0"/>
              <w:spacing w:line="360" w:lineRule="auto"/>
              <w:ind w:left="0" w:leftChars="0" w:right="0" w:rightChars="0"/>
              <w:jc w:val="center"/>
              <w:rPr>
                <w:color w:val="auto"/>
                <w:highlight w:val="none"/>
              </w:rPr>
            </w:pPr>
            <w:r>
              <w:rPr>
                <w:rFonts w:eastAsia="黑体"/>
                <w:color w:val="auto"/>
                <w:highlight w:val="none"/>
                <w:lang w:bidi="ar"/>
              </w:rPr>
              <w:t>图3-1近三年前河-乡石鹰TP变化趋势图</w:t>
            </w:r>
          </w:p>
          <w:p>
            <w:pPr>
              <w:pageBreakBefore w:val="0"/>
              <w:kinsoku/>
              <w:wordWrap/>
              <w:topLinePunct w:val="0"/>
              <w:bidi w:val="0"/>
              <w:spacing w:line="360" w:lineRule="auto"/>
              <w:ind w:left="0" w:leftChars="0" w:right="0" w:rightChars="0"/>
              <w:jc w:val="center"/>
              <w:rPr>
                <w:color w:val="auto"/>
                <w:highlight w:val="none"/>
              </w:rPr>
            </w:pPr>
            <w:r>
              <w:rPr>
                <w:color w:val="auto"/>
                <w:highlight w:val="none"/>
              </w:rPr>
              <w:drawing>
                <wp:inline distT="0" distB="0" distL="114300" distR="114300">
                  <wp:extent cx="4572000" cy="2743200"/>
                  <wp:effectExtent l="4445" t="4445" r="14605" b="14605"/>
                  <wp:docPr id="3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ageBreakBefore w:val="0"/>
              <w:kinsoku/>
              <w:wordWrap/>
              <w:topLinePunct w:val="0"/>
              <w:bidi w:val="0"/>
              <w:spacing w:line="360" w:lineRule="auto"/>
              <w:ind w:left="0" w:leftChars="0" w:right="0" w:rightChars="0"/>
              <w:jc w:val="center"/>
              <w:rPr>
                <w:color w:val="auto"/>
                <w:highlight w:val="none"/>
              </w:rPr>
            </w:pPr>
            <w:r>
              <w:rPr>
                <w:rFonts w:eastAsia="黑体"/>
                <w:color w:val="auto"/>
                <w:highlight w:val="none"/>
                <w:lang w:bidi="ar"/>
              </w:rPr>
              <w:t>图3-2近三年前河-乡石鹰COD变化趋势图</w:t>
            </w:r>
          </w:p>
          <w:p>
            <w:pPr>
              <w:pageBreakBefore w:val="0"/>
              <w:kinsoku/>
              <w:wordWrap/>
              <w:topLinePunct w:val="0"/>
              <w:bidi w:val="0"/>
              <w:spacing w:line="360" w:lineRule="auto"/>
              <w:ind w:left="0" w:leftChars="0" w:right="0" w:rightChars="0"/>
              <w:jc w:val="center"/>
              <w:rPr>
                <w:color w:val="auto"/>
                <w:sz w:val="24"/>
                <w:szCs w:val="32"/>
                <w:highlight w:val="none"/>
                <w:lang w:bidi="ar"/>
              </w:rPr>
            </w:pPr>
            <w:r>
              <w:rPr>
                <w:color w:val="auto"/>
                <w:highlight w:val="none"/>
              </w:rPr>
              <w:drawing>
                <wp:inline distT="0" distB="0" distL="114300" distR="114300">
                  <wp:extent cx="5401310" cy="2543810"/>
                  <wp:effectExtent l="4445" t="4445" r="23495" b="23495"/>
                  <wp:docPr id="2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图3-3近三年前河-乡石鹰NH</w:t>
            </w:r>
            <w:r>
              <w:rPr>
                <w:rFonts w:eastAsia="黑体"/>
                <w:color w:val="auto"/>
                <w:highlight w:val="none"/>
                <w:vertAlign w:val="subscript"/>
                <w:lang w:bidi="ar"/>
              </w:rPr>
              <w:t>3</w:t>
            </w:r>
            <w:r>
              <w:rPr>
                <w:rFonts w:eastAsia="黑体"/>
                <w:color w:val="auto"/>
                <w:highlight w:val="none"/>
                <w:lang w:bidi="ar"/>
              </w:rPr>
              <w:t>变化趋势图</w:t>
            </w:r>
          </w:p>
          <w:p>
            <w:pPr>
              <w:pageBreakBefore w:val="0"/>
              <w:kinsoku/>
              <w:wordWrap/>
              <w:topLinePunct w:val="0"/>
              <w:bidi w:val="0"/>
              <w:spacing w:line="360" w:lineRule="auto"/>
              <w:ind w:left="0" w:leftChars="0" w:right="0" w:rightChars="0"/>
              <w:jc w:val="center"/>
              <w:rPr>
                <w:color w:val="auto"/>
                <w:highlight w:val="none"/>
              </w:rPr>
            </w:pPr>
            <w:r>
              <w:rPr>
                <w:color w:val="auto"/>
                <w:highlight w:val="none"/>
              </w:rPr>
              <w:drawing>
                <wp:inline distT="0" distB="0" distL="114300" distR="114300">
                  <wp:extent cx="5382895" cy="2467610"/>
                  <wp:effectExtent l="4445" t="4445" r="22860" b="2349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图3-4近三年前河-乡石鹰BOD</w:t>
            </w:r>
            <w:r>
              <w:rPr>
                <w:rFonts w:eastAsia="黑体"/>
                <w:color w:val="auto"/>
                <w:highlight w:val="none"/>
                <w:vertAlign w:val="subscript"/>
                <w:lang w:bidi="ar"/>
              </w:rPr>
              <w:t>5</w:t>
            </w:r>
            <w:r>
              <w:rPr>
                <w:rFonts w:eastAsia="黑体"/>
                <w:color w:val="auto"/>
                <w:highlight w:val="none"/>
                <w:lang w:bidi="ar"/>
              </w:rPr>
              <w:t>变化趋势图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（4）趋势变化说明</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由上图可以看出：各项指标（除总氮外）近三年季度值均能达到《地表水环境质量标准》（GB3838-2002）Ⅲ类标准。结合历年环境质量监测资料，前河-乡石鹰断面除2021年TP、COD、NH</w:t>
            </w:r>
            <w:r>
              <w:rPr>
                <w:color w:val="auto"/>
                <w:sz w:val="24"/>
                <w:szCs w:val="32"/>
                <w:highlight w:val="none"/>
                <w:vertAlign w:val="subscript"/>
                <w:lang w:bidi="ar"/>
              </w:rPr>
              <w:t>3</w:t>
            </w:r>
            <w:r>
              <w:rPr>
                <w:color w:val="auto"/>
                <w:sz w:val="24"/>
                <w:szCs w:val="32"/>
                <w:highlight w:val="none"/>
                <w:lang w:bidi="ar"/>
              </w:rPr>
              <w:t>数值波动较大，其余时间段数值变化波动较小，区域稳定。</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（5）水环境质量评价</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36"/>
                <w:highlight w:val="none"/>
              </w:rPr>
              <w:t>为了解</w:t>
            </w:r>
            <w:r>
              <w:rPr>
                <w:color w:val="auto"/>
                <w:sz w:val="24"/>
                <w:szCs w:val="24"/>
                <w:highlight w:val="none"/>
              </w:rPr>
              <w:t>区域州河水质，</w:t>
            </w:r>
            <w:r>
              <w:rPr>
                <w:color w:val="auto"/>
                <w:sz w:val="24"/>
                <w:szCs w:val="36"/>
                <w:highlight w:val="none"/>
              </w:rPr>
              <w:t>本次水环境质量评价引用达州市宣汉生态环境局2022年2月</w:t>
            </w:r>
            <w:r>
              <w:rPr>
                <w:color w:val="auto"/>
                <w:sz w:val="24"/>
                <w:szCs w:val="24"/>
                <w:highlight w:val="none"/>
              </w:rPr>
              <w:t>公布的《</w:t>
            </w:r>
            <w:r>
              <w:rPr>
                <w:color w:val="auto"/>
                <w:kern w:val="0"/>
                <w:sz w:val="24"/>
                <w:highlight w:val="none"/>
              </w:rPr>
              <w:t>宣汉县2021年度环境质量公告</w:t>
            </w:r>
            <w:r>
              <w:rPr>
                <w:color w:val="auto"/>
                <w:sz w:val="24"/>
                <w:szCs w:val="24"/>
                <w:highlight w:val="none"/>
              </w:rPr>
              <w:t>》</w:t>
            </w:r>
            <w:r>
              <w:rPr>
                <w:color w:val="auto"/>
                <w:sz w:val="24"/>
                <w:szCs w:val="36"/>
                <w:highlight w:val="none"/>
              </w:rPr>
              <w:t>中水环境质量的</w:t>
            </w:r>
            <w:r>
              <w:rPr>
                <w:color w:val="auto"/>
                <w:sz w:val="24"/>
                <w:szCs w:val="24"/>
                <w:highlight w:val="none"/>
              </w:rPr>
              <w:t>数据和结论。</w:t>
            </w:r>
          </w:p>
          <w:p>
            <w:pPr>
              <w:pageBreakBefore w:val="0"/>
              <w:kinsoku/>
              <w:wordWrap/>
              <w:topLinePunct w:val="0"/>
              <w:bidi w:val="0"/>
              <w:spacing w:line="360" w:lineRule="auto"/>
              <w:ind w:left="0" w:leftChars="0" w:right="0" w:rightChars="0" w:firstLine="480" w:firstLineChars="200"/>
              <w:rPr>
                <w:color w:val="auto"/>
                <w:sz w:val="24"/>
                <w:szCs w:val="36"/>
                <w:highlight w:val="none"/>
              </w:rPr>
            </w:pPr>
            <w:r>
              <w:rPr>
                <w:color w:val="auto"/>
                <w:sz w:val="24"/>
                <w:szCs w:val="36"/>
                <w:highlight w:val="none"/>
              </w:rPr>
              <w:t>根据</w:t>
            </w:r>
            <w:r>
              <w:rPr>
                <w:color w:val="auto"/>
                <w:sz w:val="24"/>
                <w:szCs w:val="24"/>
                <w:highlight w:val="none"/>
              </w:rPr>
              <w:t>《</w:t>
            </w:r>
            <w:r>
              <w:rPr>
                <w:color w:val="auto"/>
                <w:kern w:val="0"/>
                <w:sz w:val="24"/>
                <w:highlight w:val="none"/>
              </w:rPr>
              <w:t>宣汉县2021年度环境质量公告</w:t>
            </w:r>
            <w:r>
              <w:rPr>
                <w:color w:val="auto"/>
                <w:sz w:val="24"/>
                <w:szCs w:val="24"/>
                <w:highlight w:val="none"/>
              </w:rPr>
              <w:t>》</w:t>
            </w:r>
            <w:r>
              <w:rPr>
                <w:color w:val="auto"/>
                <w:sz w:val="24"/>
                <w:szCs w:val="36"/>
                <w:highlight w:val="none"/>
              </w:rPr>
              <w:t>可知，宣汉县域内3个市级、2个县级河长制河流水质均符合《地表水环境质量标准》（GB3838-2002）中Ⅲ类水质标准，水质状况为良好。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综合前河-乡石鹰断面历年水环境质量现状调查以及</w:t>
            </w:r>
            <w:r>
              <w:rPr>
                <w:b/>
                <w:bCs/>
                <w:color w:val="auto"/>
                <w:sz w:val="24"/>
                <w:szCs w:val="24"/>
                <w:highlight w:val="none"/>
              </w:rPr>
              <w:t>《</w:t>
            </w:r>
            <w:r>
              <w:rPr>
                <w:b/>
                <w:bCs/>
                <w:color w:val="auto"/>
                <w:kern w:val="0"/>
                <w:sz w:val="24"/>
                <w:highlight w:val="none"/>
              </w:rPr>
              <w:t>宣汉县2021年度环境质量公告</w:t>
            </w:r>
            <w:r>
              <w:rPr>
                <w:b/>
                <w:bCs/>
                <w:color w:val="auto"/>
                <w:sz w:val="24"/>
                <w:szCs w:val="24"/>
                <w:highlight w:val="none"/>
              </w:rPr>
              <w:t>》，本项目受纳水体前河为水环境功能达标区。</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2、补充现状监测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为了解项目所在地前河水质状况，本次评价对受纳水体前河进行了补充监测。</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（1）监测点位基本信息</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地表水现状监测点位基本信息见下表：</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表3-</w:t>
            </w:r>
            <w:r>
              <w:rPr>
                <w:rFonts w:hint="eastAsia" w:eastAsia="黑体"/>
                <w:color w:val="auto"/>
                <w:highlight w:val="none"/>
                <w:lang w:val="en-US" w:eastAsia="zh-CN" w:bidi="ar"/>
              </w:rPr>
              <w:t>5</w:t>
            </w:r>
            <w:r>
              <w:rPr>
                <w:rFonts w:hint="eastAsia" w:eastAsia="黑体"/>
                <w:color w:val="auto"/>
                <w:highlight w:val="none"/>
                <w:lang w:bidi="ar"/>
              </w:rPr>
              <w:t xml:space="preserve"> </w:t>
            </w:r>
            <w:r>
              <w:rPr>
                <w:rFonts w:eastAsia="黑体"/>
                <w:color w:val="auto"/>
                <w:highlight w:val="none"/>
                <w:lang w:bidi="ar"/>
              </w:rPr>
              <w:t>项目地表水监测点位基本信息</w:t>
            </w:r>
          </w:p>
          <w:tbl>
            <w:tblPr>
              <w:tblStyle w:val="24"/>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750"/>
              <w:gridCol w:w="2265"/>
              <w:gridCol w:w="3600"/>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64" w:type="dxa"/>
                  <w:vAlign w:val="center"/>
                </w:tcPr>
                <w:p>
                  <w:pPr>
                    <w:pageBreakBefore w:val="0"/>
                    <w:kinsoku/>
                    <w:wordWrap/>
                    <w:topLinePunct w:val="0"/>
                    <w:bidi w:val="0"/>
                    <w:ind w:left="0" w:leftChars="0" w:right="0" w:rightChars="0"/>
                    <w:jc w:val="center"/>
                    <w:rPr>
                      <w:b/>
                      <w:bCs/>
                      <w:color w:val="auto"/>
                      <w:highlight w:val="none"/>
                      <w:lang w:bidi="ar"/>
                    </w:rPr>
                  </w:pPr>
                  <w:r>
                    <w:rPr>
                      <w:b/>
                      <w:color w:val="auto"/>
                      <w:highlight w:val="none"/>
                    </w:rPr>
                    <w:t>检测项目</w:t>
                  </w:r>
                </w:p>
              </w:tc>
              <w:tc>
                <w:tcPr>
                  <w:tcW w:w="750" w:type="dxa"/>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编号</w:t>
                  </w:r>
                </w:p>
              </w:tc>
              <w:tc>
                <w:tcPr>
                  <w:tcW w:w="2265" w:type="dxa"/>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监测点位置</w:t>
                  </w:r>
                </w:p>
              </w:tc>
              <w:tc>
                <w:tcPr>
                  <w:tcW w:w="3600" w:type="dxa"/>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监测因子</w:t>
                  </w:r>
                </w:p>
              </w:tc>
              <w:tc>
                <w:tcPr>
                  <w:tcW w:w="1385" w:type="dxa"/>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检测频率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restar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地表水</w:t>
                  </w:r>
                </w:p>
              </w:tc>
              <w:tc>
                <w:tcPr>
                  <w:tcW w:w="750" w:type="dxa"/>
                  <w:vAlign w:val="center"/>
                </w:tcPr>
                <w:p>
                  <w:pPr>
                    <w:pageBreakBefore w:val="0"/>
                    <w:kinsoku/>
                    <w:wordWrap/>
                    <w:topLinePunct w:val="0"/>
                    <w:bidi w:val="0"/>
                    <w:ind w:left="0" w:leftChars="0" w:right="0" w:rightChars="0"/>
                    <w:jc w:val="center"/>
                    <w:rPr>
                      <w:bCs/>
                      <w:color w:val="auto"/>
                      <w:highlight w:val="none"/>
                      <w:lang w:bidi="ar"/>
                    </w:rPr>
                  </w:pPr>
                  <w:r>
                    <w:rPr>
                      <w:bCs/>
                      <w:color w:val="auto"/>
                      <w:spacing w:val="12"/>
                      <w:kern w:val="28"/>
                      <w:highlight w:val="none"/>
                    </w:rPr>
                    <w:t>Ⅰ</w:t>
                  </w:r>
                </w:p>
              </w:tc>
              <w:tc>
                <w:tcPr>
                  <w:tcW w:w="2265" w:type="dxa"/>
                  <w:vAlign w:val="center"/>
                </w:tcPr>
                <w:p>
                  <w:pPr>
                    <w:pageBreakBefore w:val="0"/>
                    <w:kinsoku/>
                    <w:wordWrap/>
                    <w:topLinePunct w:val="0"/>
                    <w:bidi w:val="0"/>
                    <w:ind w:left="0" w:leftChars="0" w:right="0" w:rightChars="0"/>
                    <w:jc w:val="center"/>
                    <w:rPr>
                      <w:bCs/>
                      <w:color w:val="auto"/>
                      <w:highlight w:val="none"/>
                      <w:lang w:bidi="ar"/>
                    </w:rPr>
                  </w:pPr>
                  <w:r>
                    <w:rPr>
                      <w:bCs/>
                      <w:color w:val="auto"/>
                      <w:highlight w:val="none"/>
                    </w:rPr>
                    <w:t>项目排污口上游500m</w:t>
                  </w:r>
                </w:p>
              </w:tc>
              <w:tc>
                <w:tcPr>
                  <w:tcW w:w="3600"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pH、化学需氧量、五日生化需氧量、溶解氧、氨氮、总磷、总氮、石油类、阴离子表面活性剂、粪大肠菌群</w:t>
                  </w:r>
                </w:p>
              </w:tc>
              <w:tc>
                <w:tcPr>
                  <w:tcW w:w="1385" w:type="dxa"/>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检测3天，每天采样1次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vMerge w:val="continue"/>
                  <w:vAlign w:val="center"/>
                </w:tcPr>
                <w:p>
                  <w:pPr>
                    <w:pageBreakBefore w:val="0"/>
                    <w:kinsoku/>
                    <w:wordWrap/>
                    <w:topLinePunct w:val="0"/>
                    <w:bidi w:val="0"/>
                    <w:ind w:left="0" w:leftChars="0" w:right="0" w:rightChars="0"/>
                    <w:jc w:val="center"/>
                    <w:rPr>
                      <w:bCs/>
                      <w:color w:val="auto"/>
                      <w:highlight w:val="none"/>
                    </w:rPr>
                  </w:pPr>
                </w:p>
              </w:tc>
              <w:tc>
                <w:tcPr>
                  <w:tcW w:w="750" w:type="dxa"/>
                  <w:vAlign w:val="center"/>
                </w:tcPr>
                <w:p>
                  <w:pPr>
                    <w:pageBreakBefore w:val="0"/>
                    <w:kinsoku/>
                    <w:wordWrap/>
                    <w:topLinePunct w:val="0"/>
                    <w:bidi w:val="0"/>
                    <w:ind w:left="0" w:leftChars="0" w:right="0" w:rightChars="0"/>
                    <w:jc w:val="center"/>
                    <w:rPr>
                      <w:bCs/>
                      <w:color w:val="auto"/>
                      <w:spacing w:val="12"/>
                      <w:kern w:val="28"/>
                      <w:highlight w:val="none"/>
                    </w:rPr>
                  </w:pPr>
                  <w:r>
                    <w:rPr>
                      <w:bCs/>
                      <w:color w:val="auto"/>
                      <w:highlight w:val="none"/>
                    </w:rPr>
                    <w:t>Ⅱ</w:t>
                  </w:r>
                </w:p>
              </w:tc>
              <w:tc>
                <w:tcPr>
                  <w:tcW w:w="2265" w:type="dxa"/>
                  <w:vAlign w:val="center"/>
                </w:tcPr>
                <w:p>
                  <w:pPr>
                    <w:pageBreakBefore w:val="0"/>
                    <w:kinsoku/>
                    <w:wordWrap/>
                    <w:topLinePunct w:val="0"/>
                    <w:bidi w:val="0"/>
                    <w:ind w:left="0" w:leftChars="0" w:right="0" w:rightChars="0"/>
                    <w:jc w:val="center"/>
                    <w:rPr>
                      <w:bCs/>
                      <w:color w:val="auto"/>
                      <w:spacing w:val="12"/>
                      <w:kern w:val="28"/>
                      <w:highlight w:val="none"/>
                    </w:rPr>
                  </w:pPr>
                  <w:r>
                    <w:rPr>
                      <w:bCs/>
                      <w:color w:val="auto"/>
                      <w:highlight w:val="none"/>
                    </w:rPr>
                    <w:t>项目排污口下游1500m</w:t>
                  </w:r>
                </w:p>
              </w:tc>
              <w:tc>
                <w:tcPr>
                  <w:tcW w:w="3600" w:type="dxa"/>
                  <w:vMerge w:val="continue"/>
                  <w:vAlign w:val="center"/>
                </w:tcPr>
                <w:p>
                  <w:pPr>
                    <w:pageBreakBefore w:val="0"/>
                    <w:kinsoku/>
                    <w:wordWrap/>
                    <w:topLinePunct w:val="0"/>
                    <w:bidi w:val="0"/>
                    <w:ind w:left="0" w:leftChars="0" w:right="0" w:rightChars="0"/>
                    <w:jc w:val="center"/>
                    <w:rPr>
                      <w:color w:val="auto"/>
                      <w:highlight w:val="none"/>
                      <w:lang w:bidi="ar"/>
                    </w:rPr>
                  </w:pPr>
                </w:p>
              </w:tc>
              <w:tc>
                <w:tcPr>
                  <w:tcW w:w="1385" w:type="dxa"/>
                  <w:vMerge w:val="continue"/>
                  <w:vAlign w:val="center"/>
                </w:tcPr>
                <w:p>
                  <w:pPr>
                    <w:pageBreakBefore w:val="0"/>
                    <w:kinsoku/>
                    <w:wordWrap/>
                    <w:topLinePunct w:val="0"/>
                    <w:bidi w:val="0"/>
                    <w:ind w:left="0" w:leftChars="0" w:right="0" w:rightChars="0"/>
                    <w:jc w:val="center"/>
                    <w:rPr>
                      <w:color w:val="auto"/>
                      <w:highlight w:val="none"/>
                      <w:lang w:bidi="ar"/>
                    </w:rPr>
                  </w:pPr>
                </w:p>
              </w:tc>
            </w:tr>
          </w:tbl>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（2）监测结果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地表水环境质量现状监测结果见表3-</w:t>
            </w:r>
            <w:r>
              <w:rPr>
                <w:rFonts w:hint="eastAsia"/>
                <w:color w:val="auto"/>
                <w:sz w:val="24"/>
                <w:szCs w:val="32"/>
                <w:highlight w:val="none"/>
                <w:lang w:val="en-US" w:eastAsia="zh-CN" w:bidi="ar"/>
              </w:rPr>
              <w:t>6</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lang w:bidi="ar"/>
              </w:rPr>
            </w:pPr>
            <w:r>
              <w:rPr>
                <w:rFonts w:eastAsia="黑体"/>
                <w:color w:val="auto"/>
                <w:highlight w:val="none"/>
                <w:lang w:bidi="ar"/>
              </w:rPr>
              <w:t>表3-</w:t>
            </w:r>
            <w:r>
              <w:rPr>
                <w:rFonts w:hint="eastAsia" w:eastAsia="黑体"/>
                <w:color w:val="auto"/>
                <w:highlight w:val="none"/>
                <w:lang w:val="en-US" w:eastAsia="zh-CN" w:bidi="ar"/>
              </w:rPr>
              <w:t>6</w:t>
            </w:r>
            <w:r>
              <w:rPr>
                <w:rFonts w:hint="eastAsia" w:eastAsia="黑体"/>
                <w:color w:val="auto"/>
                <w:highlight w:val="none"/>
                <w:lang w:bidi="ar"/>
              </w:rPr>
              <w:t xml:space="preserve"> </w:t>
            </w:r>
            <w:r>
              <w:rPr>
                <w:rFonts w:eastAsia="黑体"/>
                <w:color w:val="auto"/>
                <w:highlight w:val="none"/>
              </w:rPr>
              <w:t>地表水环境质量现状监测结果</w:t>
            </w:r>
            <w:r>
              <w:rPr>
                <w:rFonts w:hint="eastAsia" w:eastAsia="黑体"/>
                <w:color w:val="auto"/>
                <w:highlight w:val="none"/>
                <w:lang w:val="en-US" w:eastAsia="zh-CN"/>
              </w:rPr>
              <w:t xml:space="preserve">  </w:t>
            </w:r>
            <w:r>
              <w:rPr>
                <w:rFonts w:eastAsia="黑体"/>
                <w:color w:val="auto"/>
                <w:highlight w:val="none"/>
                <w:lang w:bidi="ar"/>
              </w:rPr>
              <w:t>单位：mg/L</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207"/>
              <w:gridCol w:w="1207"/>
              <w:gridCol w:w="1207"/>
              <w:gridCol w:w="1207"/>
              <w:gridCol w:w="1207"/>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restart"/>
                  <w:tcBorders>
                    <w:tl2br w:val="single" w:color="auto" w:sz="4" w:space="0"/>
                  </w:tcBorders>
                  <w:vAlign w:val="center"/>
                </w:tcPr>
                <w:p>
                  <w:pPr>
                    <w:pageBreakBefore w:val="0"/>
                    <w:kinsoku/>
                    <w:wordWrap/>
                    <w:topLinePunct w:val="0"/>
                    <w:bidi w:val="0"/>
                    <w:ind w:left="0" w:leftChars="0" w:right="0" w:rightChars="0"/>
                    <w:jc w:val="right"/>
                    <w:rPr>
                      <w:b/>
                      <w:bCs/>
                      <w:color w:val="auto"/>
                      <w:sz w:val="21"/>
                      <w:szCs w:val="21"/>
                      <w:highlight w:val="none"/>
                    </w:rPr>
                  </w:pPr>
                  <w:r>
                    <w:rPr>
                      <w:b/>
                      <w:bCs/>
                      <w:color w:val="auto"/>
                      <w:sz w:val="21"/>
                      <w:szCs w:val="21"/>
                      <w:highlight w:val="none"/>
                    </w:rPr>
                    <w:t>检测点编号位置</w:t>
                  </w:r>
                </w:p>
                <w:p>
                  <w:pPr>
                    <w:pageBreakBefore w:val="0"/>
                    <w:kinsoku/>
                    <w:wordWrap/>
                    <w:topLinePunct w:val="0"/>
                    <w:bidi w:val="0"/>
                    <w:ind w:left="0" w:leftChars="0" w:right="0" w:rightChars="0"/>
                    <w:jc w:val="right"/>
                    <w:rPr>
                      <w:b/>
                      <w:bCs/>
                      <w:color w:val="auto"/>
                      <w:sz w:val="21"/>
                      <w:szCs w:val="21"/>
                      <w:highlight w:val="none"/>
                    </w:rPr>
                  </w:pPr>
                  <w:r>
                    <w:rPr>
                      <w:b/>
                      <w:bCs/>
                      <w:color w:val="auto"/>
                      <w:sz w:val="21"/>
                      <w:szCs w:val="21"/>
                      <w:highlight w:val="none"/>
                    </w:rPr>
                    <w:t>及采样时间</w:t>
                  </w:r>
                </w:p>
                <w:p>
                  <w:pPr>
                    <w:pStyle w:val="64"/>
                    <w:pageBreakBefore w:val="0"/>
                    <w:kinsoku/>
                    <w:wordWrap/>
                    <w:topLinePunct w:val="0"/>
                    <w:bidi w:val="0"/>
                    <w:ind w:left="0" w:leftChars="0" w:right="0" w:rightChars="0"/>
                    <w:jc w:val="left"/>
                    <w:rPr>
                      <w:rFonts w:ascii="Times New Roman" w:hAnsi="Times New Roman" w:eastAsia="宋体" w:cs="Times New Roman"/>
                      <w:color w:val="auto"/>
                      <w:sz w:val="21"/>
                      <w:szCs w:val="21"/>
                      <w:highlight w:val="none"/>
                    </w:rPr>
                  </w:pPr>
                  <w:r>
                    <w:rPr>
                      <w:rFonts w:ascii="Times New Roman" w:hAnsi="Times New Roman" w:eastAsia="宋体" w:cs="Times New Roman"/>
                      <w:b/>
                      <w:color w:val="auto"/>
                      <w:sz w:val="21"/>
                      <w:szCs w:val="21"/>
                      <w:highlight w:val="none"/>
                    </w:rPr>
                    <w:t>检测因子</w:t>
                  </w:r>
                </w:p>
              </w:tc>
              <w:tc>
                <w:tcPr>
                  <w:tcW w:w="1974" w:type="pct"/>
                  <w:gridSpan w:val="3"/>
                  <w:vAlign w:val="center"/>
                </w:tcPr>
                <w:p>
                  <w:pPr>
                    <w:pStyle w:val="64"/>
                    <w:pageBreakBefore w:val="0"/>
                    <w:kinsoku/>
                    <w:wordWrap/>
                    <w:topLinePunct w:val="0"/>
                    <w:bidi w:val="0"/>
                    <w:ind w:left="0" w:leftChars="0" w:right="0" w:rightChars="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Ⅰ</w:t>
                  </w:r>
                </w:p>
              </w:tc>
              <w:tc>
                <w:tcPr>
                  <w:tcW w:w="1976" w:type="pct"/>
                  <w:gridSpan w:val="3"/>
                  <w:vAlign w:val="center"/>
                </w:tcPr>
                <w:p>
                  <w:pPr>
                    <w:pStyle w:val="64"/>
                    <w:pageBreakBefore w:val="0"/>
                    <w:kinsoku/>
                    <w:wordWrap/>
                    <w:topLinePunct w:val="0"/>
                    <w:bidi w:val="0"/>
                    <w:ind w:left="0" w:leftChars="0" w:right="0" w:rightChars="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Merge w:val="continue"/>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p>
              </w:tc>
              <w:tc>
                <w:tcPr>
                  <w:tcW w:w="658" w:type="pct"/>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2023.6.24</w:t>
                  </w:r>
                </w:p>
              </w:tc>
              <w:tc>
                <w:tcPr>
                  <w:tcW w:w="658" w:type="pct"/>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2023.6.25</w:t>
                  </w:r>
                </w:p>
              </w:tc>
              <w:tc>
                <w:tcPr>
                  <w:tcW w:w="658" w:type="pct"/>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2023.6.26</w:t>
                  </w:r>
                </w:p>
              </w:tc>
              <w:tc>
                <w:tcPr>
                  <w:tcW w:w="658" w:type="pct"/>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2023.6.24</w:t>
                  </w:r>
                </w:p>
              </w:tc>
              <w:tc>
                <w:tcPr>
                  <w:tcW w:w="658" w:type="pct"/>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2023.6.25</w:t>
                  </w:r>
                </w:p>
              </w:tc>
              <w:tc>
                <w:tcPr>
                  <w:tcW w:w="659" w:type="pct"/>
                  <w:vAlign w:val="center"/>
                </w:tcPr>
                <w:p>
                  <w:pPr>
                    <w:pStyle w:val="64"/>
                    <w:pageBreakBefore w:val="0"/>
                    <w:kinsoku/>
                    <w:wordWrap/>
                    <w:topLinePunct w:val="0"/>
                    <w:bidi w:val="0"/>
                    <w:ind w:left="0" w:leftChars="0" w:right="0" w:rightChars="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2023.6.26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pH（无量纲）</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7.4</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7.8</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7.8</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7.6</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7.6</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溶解氧</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5.6</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5.6</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5.3</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5.6</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5.5</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化学需氧量</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13</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五日生化需氧量</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1.1</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1.5</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1.2</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2.3</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3.1</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氨氮</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0.264</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0.222</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0.248</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0.244</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0.230</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napToGrid w:val="0"/>
                    <w:spacing w:before="0" w:after="0"/>
                    <w:ind w:left="0" w:leftChars="0" w:right="0" w:rightChars="0"/>
                    <w:rPr>
                      <w:rFonts w:cs="Times New Roman"/>
                      <w:color w:val="auto"/>
                      <w:szCs w:val="21"/>
                      <w:highlight w:val="none"/>
                    </w:rPr>
                  </w:pPr>
                  <w:r>
                    <w:rPr>
                      <w:rFonts w:cs="Times New Roman"/>
                      <w:color w:val="auto"/>
                      <w:sz w:val="21"/>
                      <w:szCs w:val="21"/>
                      <w:highlight w:val="none"/>
                    </w:rPr>
                    <w:t>总磷</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0.04</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0.03</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0.03</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0.04</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0.04</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napToGrid w:val="0"/>
                    <w:spacing w:before="0" w:after="0"/>
                    <w:ind w:left="0" w:leftChars="0" w:right="0" w:rightChars="0"/>
                    <w:rPr>
                      <w:rFonts w:cs="Times New Roman"/>
                      <w:color w:val="auto"/>
                      <w:szCs w:val="21"/>
                      <w:highlight w:val="none"/>
                    </w:rPr>
                  </w:pPr>
                  <w:r>
                    <w:rPr>
                      <w:rFonts w:cs="Times New Roman"/>
                      <w:color w:val="auto"/>
                      <w:sz w:val="21"/>
                      <w:szCs w:val="21"/>
                      <w:highlight w:val="none"/>
                    </w:rPr>
                    <w:t>总氮</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0.82</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0.77</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0.87</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0.88</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0.85</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bCs/>
                      <w:color w:val="auto"/>
                      <w:sz w:val="21"/>
                      <w:szCs w:val="21"/>
                      <w:highlight w:val="none"/>
                    </w:rPr>
                    <w:t>石油类</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w:t>
                  </w:r>
                  <w:r>
                    <w:rPr>
                      <w:color w:val="auto"/>
                      <w:highlight w:val="none"/>
                      <w:vertAlign w:val="superscript"/>
                    </w:rPr>
                    <w:t>L</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w:t>
                  </w:r>
                  <w:r>
                    <w:rPr>
                      <w:color w:val="auto"/>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napToGrid w:val="0"/>
                    <w:spacing w:before="0" w:after="0"/>
                    <w:ind w:left="0" w:leftChars="0" w:right="0" w:rightChars="0"/>
                    <w:rPr>
                      <w:rFonts w:cs="Times New Roman"/>
                      <w:color w:val="auto"/>
                      <w:szCs w:val="21"/>
                      <w:highlight w:val="none"/>
                    </w:rPr>
                  </w:pPr>
                  <w:r>
                    <w:rPr>
                      <w:rFonts w:cs="Times New Roman"/>
                      <w:color w:val="auto"/>
                      <w:sz w:val="21"/>
                      <w:szCs w:val="21"/>
                      <w:highlight w:val="none"/>
                    </w:rPr>
                    <w:t>阴离子表面活性剂</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w:t>
                  </w:r>
                  <w:r>
                    <w:rPr>
                      <w:color w:val="auto"/>
                      <w:highlight w:val="none"/>
                      <w:vertAlign w:val="superscript"/>
                    </w:rPr>
                    <w:t>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w:t>
                  </w:r>
                  <w:r>
                    <w:rPr>
                      <w:color w:val="auto"/>
                      <w:highlight w:val="none"/>
                      <w:vertAlign w:val="superscript"/>
                    </w:rPr>
                    <w:t>L</w:t>
                  </w:r>
                </w:p>
              </w:tc>
              <w:tc>
                <w:tcPr>
                  <w:tcW w:w="6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0.05</w:t>
                  </w:r>
                  <w:r>
                    <w:rPr>
                      <w:color w:val="auto"/>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8" w:type="pct"/>
                  <w:vAlign w:val="center"/>
                </w:tcPr>
                <w:p>
                  <w:pPr>
                    <w:pStyle w:val="42"/>
                    <w:pageBreakBefore w:val="0"/>
                    <w:kinsoku/>
                    <w:wordWrap/>
                    <w:topLinePunct w:val="0"/>
                    <w:bidi w:val="0"/>
                    <w:snapToGrid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粪大肠菌群（MPN/L）</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8.1×10</w:t>
                  </w:r>
                  <w:r>
                    <w:rPr>
                      <w:color w:val="auto"/>
                      <w:highlight w:val="none"/>
                      <w:vertAlign w:val="superscript"/>
                    </w:rPr>
                    <w:t>2</w:t>
                  </w:r>
                </w:p>
              </w:tc>
              <w:tc>
                <w:tcPr>
                  <w:tcW w:w="658"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6.9×10</w:t>
                  </w:r>
                  <w:r>
                    <w:rPr>
                      <w:bCs/>
                      <w:color w:val="auto"/>
                      <w:highlight w:val="none"/>
                      <w:vertAlign w:val="superscript"/>
                    </w:rPr>
                    <w:t>2</w:t>
                  </w:r>
                </w:p>
              </w:tc>
              <w:tc>
                <w:tcPr>
                  <w:tcW w:w="658"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9.5×10</w:t>
                  </w:r>
                  <w:r>
                    <w:rPr>
                      <w:bCs/>
                      <w:color w:val="auto"/>
                      <w:highlight w:val="none"/>
                      <w:vertAlign w:val="superscript"/>
                    </w:rPr>
                    <w:t>2</w:t>
                  </w:r>
                </w:p>
              </w:tc>
              <w:tc>
                <w:tcPr>
                  <w:tcW w:w="65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1.7×10</w:t>
                  </w:r>
                  <w:r>
                    <w:rPr>
                      <w:color w:val="auto"/>
                      <w:highlight w:val="none"/>
                      <w:vertAlign w:val="superscript"/>
                    </w:rPr>
                    <w:t>2</w:t>
                  </w:r>
                </w:p>
              </w:tc>
              <w:tc>
                <w:tcPr>
                  <w:tcW w:w="658"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1.8×10</w:t>
                  </w:r>
                  <w:r>
                    <w:rPr>
                      <w:bCs/>
                      <w:color w:val="auto"/>
                      <w:highlight w:val="none"/>
                      <w:vertAlign w:val="superscript"/>
                    </w:rPr>
                    <w:t>3</w:t>
                  </w:r>
                </w:p>
              </w:tc>
              <w:tc>
                <w:tcPr>
                  <w:tcW w:w="659"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1.3×10</w:t>
                  </w:r>
                  <w:r>
                    <w:rPr>
                      <w:bCs/>
                      <w:color w:val="auto"/>
                      <w:highlight w:val="none"/>
                      <w:vertAlign w:val="superscript"/>
                    </w:rPr>
                    <w:t>3</w:t>
                  </w:r>
                </w:p>
              </w:tc>
            </w:tr>
          </w:tbl>
          <w:p>
            <w:pPr>
              <w:pageBreakBefore w:val="0"/>
              <w:kinsoku/>
              <w:wordWrap/>
              <w:topLinePunct w:val="0"/>
              <w:bidi w:val="0"/>
              <w:spacing w:line="360" w:lineRule="auto"/>
              <w:ind w:left="0" w:leftChars="0" w:right="0" w:rightChars="0" w:firstLine="482" w:firstLineChars="200"/>
              <w:rPr>
                <w:b/>
                <w:color w:val="auto"/>
                <w:sz w:val="24"/>
                <w:szCs w:val="24"/>
                <w:highlight w:val="none"/>
              </w:rPr>
            </w:pPr>
            <w:r>
              <w:rPr>
                <w:b/>
                <w:bCs/>
                <w:color w:val="auto"/>
                <w:sz w:val="24"/>
                <w:szCs w:val="24"/>
                <w:highlight w:val="none"/>
              </w:rPr>
              <w:t>（</w:t>
            </w:r>
            <w:r>
              <w:rPr>
                <w:b/>
                <w:color w:val="auto"/>
                <w:sz w:val="24"/>
                <w:szCs w:val="24"/>
                <w:highlight w:val="none"/>
              </w:rPr>
              <w:t>3）地表水环境质量现状评价</w:t>
            </w:r>
          </w:p>
          <w:p>
            <w:pPr>
              <w:pageBreakBefore w:val="0"/>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①评价因子</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pH、溶解氧、化学需氧量、五日生化需氧量、氨氮、总磷、石油类、阴离子表面活性剂、粪大肠菌群。</w:t>
            </w:r>
          </w:p>
          <w:p>
            <w:pPr>
              <w:pageBreakBefore w:val="0"/>
              <w:kinsoku/>
              <w:wordWrap/>
              <w:topLinePunct w:val="0"/>
              <w:bidi w:val="0"/>
              <w:spacing w:line="360" w:lineRule="auto"/>
              <w:ind w:left="0" w:leftChars="0" w:right="0" w:rightChars="0" w:firstLine="482" w:firstLineChars="200"/>
              <w:rPr>
                <w:color w:val="auto"/>
                <w:sz w:val="24"/>
                <w:szCs w:val="24"/>
                <w:highlight w:val="none"/>
              </w:rPr>
            </w:pPr>
            <w:r>
              <w:rPr>
                <w:b/>
                <w:bCs/>
                <w:color w:val="auto"/>
                <w:sz w:val="24"/>
                <w:szCs w:val="24"/>
                <w:highlight w:val="none"/>
              </w:rPr>
              <w:t>②评价标准</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执行《地表水环境质量标准》（GB3838-2002）中Ⅲ类标准。</w:t>
            </w:r>
          </w:p>
          <w:p>
            <w:pPr>
              <w:pageBreakBefore w:val="0"/>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③评价方法</w:t>
            </w:r>
          </w:p>
          <w:p>
            <w:pPr>
              <w:pageBreakBefore w:val="0"/>
              <w:kinsoku/>
              <w:wordWrap/>
              <w:topLinePunct w:val="0"/>
              <w:bidi w:val="0"/>
              <w:spacing w:line="360" w:lineRule="auto"/>
              <w:ind w:left="0" w:leftChars="0" w:right="0" w:rightChars="0" w:firstLine="480"/>
              <w:rPr>
                <w:color w:val="auto"/>
                <w:sz w:val="24"/>
                <w:highlight w:val="none"/>
              </w:rPr>
            </w:pPr>
            <w:r>
              <w:rPr>
                <w:color w:val="auto"/>
                <w:sz w:val="24"/>
                <w:highlight w:val="none"/>
              </w:rPr>
              <w:t>本次评价采用单项水质指数评价法，</w:t>
            </w:r>
          </w:p>
          <w:p>
            <w:pPr>
              <w:pageBreakBefore w:val="0"/>
              <w:kinsoku/>
              <w:wordWrap/>
              <w:topLinePunct w:val="0"/>
              <w:bidi w:val="0"/>
              <w:spacing w:line="360" w:lineRule="auto"/>
              <w:ind w:left="0" w:leftChars="0" w:right="0" w:rightChars="0" w:firstLine="480"/>
              <w:rPr>
                <w:color w:val="auto"/>
                <w:sz w:val="24"/>
                <w:highlight w:val="none"/>
              </w:rPr>
            </w:pPr>
            <w:r>
              <w:rPr>
                <w:color w:val="auto"/>
                <w:sz w:val="24"/>
                <w:highlight w:val="none"/>
              </w:rPr>
              <w:t>a.一般污染物公式为：</w:t>
            </w:r>
          </w:p>
          <w:p>
            <w:pPr>
              <w:pageBreakBefore w:val="0"/>
              <w:kinsoku/>
              <w:wordWrap/>
              <w:topLinePunct w:val="0"/>
              <w:bidi w:val="0"/>
              <w:spacing w:line="360" w:lineRule="auto"/>
              <w:ind w:left="0" w:leftChars="0" w:right="0" w:rightChars="0"/>
              <w:jc w:val="center"/>
              <w:rPr>
                <w:i/>
                <w:color w:val="auto"/>
                <w:sz w:val="24"/>
                <w:highlight w:val="none"/>
              </w:rPr>
            </w:pPr>
            <w:r>
              <w:rPr>
                <w:i/>
                <w:color w:val="auto"/>
                <w:sz w:val="24"/>
                <w:highlight w:val="none"/>
              </w:rPr>
              <w:t>S</w:t>
            </w:r>
            <w:r>
              <w:rPr>
                <w:i/>
                <w:color w:val="auto"/>
                <w:sz w:val="24"/>
                <w:highlight w:val="none"/>
                <w:vertAlign w:val="subscript"/>
              </w:rPr>
              <w:t>i，j</w:t>
            </w:r>
            <w:r>
              <w:rPr>
                <w:i/>
                <w:color w:val="auto"/>
                <w:sz w:val="24"/>
                <w:highlight w:val="none"/>
              </w:rPr>
              <w:t>=C</w:t>
            </w:r>
            <w:r>
              <w:rPr>
                <w:i/>
                <w:color w:val="auto"/>
                <w:sz w:val="24"/>
                <w:highlight w:val="none"/>
                <w:vertAlign w:val="subscript"/>
              </w:rPr>
              <w:t>i，j</w:t>
            </w:r>
            <w:r>
              <w:rPr>
                <w:i/>
                <w:color w:val="auto"/>
                <w:sz w:val="24"/>
                <w:highlight w:val="none"/>
              </w:rPr>
              <w:t>/C</w:t>
            </w:r>
            <w:r>
              <w:rPr>
                <w:i/>
                <w:color w:val="auto"/>
                <w:sz w:val="24"/>
                <w:highlight w:val="none"/>
                <w:vertAlign w:val="subscript"/>
              </w:rPr>
              <w:t>si</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式中：</w:t>
            </w:r>
            <w:r>
              <w:rPr>
                <w:i/>
                <w:color w:val="auto"/>
                <w:sz w:val="24"/>
                <w:highlight w:val="none"/>
              </w:rPr>
              <w:t>S</w:t>
            </w:r>
            <w:r>
              <w:rPr>
                <w:i/>
                <w:color w:val="auto"/>
                <w:sz w:val="24"/>
                <w:highlight w:val="none"/>
                <w:vertAlign w:val="subscript"/>
              </w:rPr>
              <w:t>i，j</w:t>
            </w:r>
            <w:r>
              <w:rPr>
                <w:color w:val="auto"/>
                <w:sz w:val="24"/>
                <w:highlight w:val="none"/>
              </w:rPr>
              <w:t>——单项水质因子</w:t>
            </w:r>
            <w:r>
              <w:rPr>
                <w:i/>
                <w:color w:val="auto"/>
                <w:sz w:val="24"/>
                <w:highlight w:val="none"/>
              </w:rPr>
              <w:t>i</w:t>
            </w:r>
            <w:r>
              <w:rPr>
                <w:color w:val="auto"/>
                <w:sz w:val="24"/>
                <w:highlight w:val="none"/>
              </w:rPr>
              <w:t>在第</w:t>
            </w:r>
            <w:r>
              <w:rPr>
                <w:i/>
                <w:color w:val="auto"/>
                <w:sz w:val="24"/>
                <w:highlight w:val="none"/>
              </w:rPr>
              <w:t>j</w:t>
            </w:r>
            <w:r>
              <w:rPr>
                <w:color w:val="auto"/>
                <w:sz w:val="24"/>
                <w:highlight w:val="none"/>
              </w:rPr>
              <w:t>点的标准指数；</w:t>
            </w:r>
          </w:p>
          <w:p>
            <w:pPr>
              <w:pageBreakBefore w:val="0"/>
              <w:kinsoku/>
              <w:wordWrap/>
              <w:topLinePunct w:val="0"/>
              <w:bidi w:val="0"/>
              <w:spacing w:line="360" w:lineRule="auto"/>
              <w:ind w:left="0" w:leftChars="0" w:right="0" w:rightChars="0" w:firstLine="1200" w:firstLineChars="500"/>
              <w:rPr>
                <w:color w:val="auto"/>
                <w:sz w:val="24"/>
                <w:highlight w:val="none"/>
              </w:rPr>
            </w:pPr>
            <w:r>
              <w:rPr>
                <w:i/>
                <w:color w:val="auto"/>
                <w:sz w:val="24"/>
                <w:highlight w:val="none"/>
              </w:rPr>
              <w:t>C</w:t>
            </w:r>
            <w:r>
              <w:rPr>
                <w:i/>
                <w:color w:val="auto"/>
                <w:sz w:val="24"/>
                <w:highlight w:val="none"/>
                <w:vertAlign w:val="subscript"/>
              </w:rPr>
              <w:t>i，j</w:t>
            </w:r>
            <w:r>
              <w:rPr>
                <w:color w:val="auto"/>
                <w:sz w:val="24"/>
                <w:highlight w:val="none"/>
              </w:rPr>
              <w:t>——（</w:t>
            </w:r>
            <w:r>
              <w:rPr>
                <w:i/>
                <w:color w:val="auto"/>
                <w:sz w:val="24"/>
                <w:highlight w:val="none"/>
              </w:rPr>
              <w:t>i</w:t>
            </w:r>
            <w:r>
              <w:rPr>
                <w:color w:val="auto"/>
                <w:sz w:val="24"/>
                <w:highlight w:val="none"/>
              </w:rPr>
              <w:t>，</w:t>
            </w:r>
            <w:r>
              <w:rPr>
                <w:i/>
                <w:color w:val="auto"/>
                <w:sz w:val="24"/>
                <w:highlight w:val="none"/>
              </w:rPr>
              <w:t>j</w:t>
            </w:r>
            <w:r>
              <w:rPr>
                <w:color w:val="auto"/>
                <w:sz w:val="24"/>
                <w:highlight w:val="none"/>
              </w:rPr>
              <w:t>）点的评价因子水质浓度或水质因子</w:t>
            </w:r>
            <w:r>
              <w:rPr>
                <w:i/>
                <w:color w:val="auto"/>
                <w:sz w:val="24"/>
                <w:highlight w:val="none"/>
              </w:rPr>
              <w:t>i</w:t>
            </w:r>
            <w:r>
              <w:rPr>
                <w:color w:val="auto"/>
                <w:sz w:val="24"/>
                <w:highlight w:val="none"/>
              </w:rPr>
              <w:t>在监测点（或预测点）</w:t>
            </w:r>
            <w:r>
              <w:rPr>
                <w:i/>
                <w:color w:val="auto"/>
                <w:sz w:val="24"/>
                <w:highlight w:val="none"/>
              </w:rPr>
              <w:t>j</w:t>
            </w:r>
            <w:r>
              <w:rPr>
                <w:color w:val="auto"/>
                <w:sz w:val="24"/>
                <w:highlight w:val="none"/>
              </w:rPr>
              <w:t>的水质浓度，mg/L；</w:t>
            </w:r>
          </w:p>
          <w:p>
            <w:pPr>
              <w:pageBreakBefore w:val="0"/>
              <w:kinsoku/>
              <w:wordWrap/>
              <w:topLinePunct w:val="0"/>
              <w:bidi w:val="0"/>
              <w:spacing w:line="360" w:lineRule="auto"/>
              <w:ind w:left="0" w:leftChars="0" w:right="0" w:rightChars="0" w:firstLine="1200" w:firstLineChars="500"/>
              <w:rPr>
                <w:color w:val="auto"/>
                <w:sz w:val="24"/>
                <w:highlight w:val="none"/>
              </w:rPr>
            </w:pPr>
            <w:r>
              <w:rPr>
                <w:i/>
                <w:color w:val="auto"/>
                <w:sz w:val="24"/>
                <w:highlight w:val="none"/>
              </w:rPr>
              <w:t>C</w:t>
            </w:r>
            <w:r>
              <w:rPr>
                <w:i/>
                <w:color w:val="auto"/>
                <w:sz w:val="24"/>
                <w:highlight w:val="none"/>
                <w:vertAlign w:val="subscript"/>
              </w:rPr>
              <w:t>sj</w:t>
            </w:r>
            <w:r>
              <w:rPr>
                <w:color w:val="auto"/>
                <w:sz w:val="24"/>
                <w:highlight w:val="none"/>
              </w:rPr>
              <w:t>——水质评价因子</w:t>
            </w:r>
            <w:r>
              <w:rPr>
                <w:i/>
                <w:color w:val="auto"/>
                <w:sz w:val="24"/>
                <w:highlight w:val="none"/>
              </w:rPr>
              <w:t>i</w:t>
            </w:r>
            <w:r>
              <w:rPr>
                <w:color w:val="auto"/>
                <w:sz w:val="24"/>
                <w:highlight w:val="none"/>
              </w:rPr>
              <w:t>的水质评价标准限值，mg/L。</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szCs w:val="24"/>
                <w:highlight w:val="none"/>
              </w:rPr>
              <w:t>b.</w:t>
            </w:r>
            <w:r>
              <w:rPr>
                <w:color w:val="auto"/>
                <w:sz w:val="24"/>
                <w:highlight w:val="none"/>
              </w:rPr>
              <w:t>对具有上、下限标准值的指标pH，公式为：</w:t>
            </w:r>
          </w:p>
          <w:p>
            <w:pPr>
              <w:pageBreakBefore w:val="0"/>
              <w:kinsoku/>
              <w:wordWrap/>
              <w:topLinePunct w:val="0"/>
              <w:bidi w:val="0"/>
              <w:spacing w:line="360" w:lineRule="auto"/>
              <w:ind w:left="0" w:leftChars="0" w:right="0" w:rightChars="0"/>
              <w:jc w:val="center"/>
              <w:rPr>
                <w:color w:val="auto"/>
                <w:sz w:val="24"/>
                <w:highlight w:val="none"/>
              </w:rPr>
            </w:pPr>
            <w:r>
              <w:rPr>
                <w:i/>
                <w:color w:val="auto"/>
                <w:sz w:val="24"/>
                <w:highlight w:val="none"/>
              </w:rPr>
              <w:t>S</w:t>
            </w:r>
            <w:r>
              <w:rPr>
                <w:color w:val="auto"/>
                <w:sz w:val="24"/>
                <w:highlight w:val="none"/>
                <w:vertAlign w:val="subscript"/>
              </w:rPr>
              <w:t>pH，</w:t>
            </w:r>
            <w:r>
              <w:rPr>
                <w:i/>
                <w:color w:val="auto"/>
                <w:sz w:val="24"/>
                <w:highlight w:val="none"/>
                <w:vertAlign w:val="subscript"/>
              </w:rPr>
              <w:t>j</w:t>
            </w:r>
            <w:r>
              <w:rPr>
                <w:color w:val="auto"/>
                <w:sz w:val="24"/>
                <w:highlight w:val="none"/>
              </w:rPr>
              <w:t>=（7.0-pH</w:t>
            </w:r>
            <w:r>
              <w:rPr>
                <w:i/>
                <w:color w:val="auto"/>
                <w:sz w:val="24"/>
                <w:highlight w:val="none"/>
                <w:vertAlign w:val="subscript"/>
              </w:rPr>
              <w:t>j</w:t>
            </w:r>
            <w:r>
              <w:rPr>
                <w:color w:val="auto"/>
                <w:sz w:val="24"/>
                <w:highlight w:val="none"/>
              </w:rPr>
              <w:t>）/（7.0-pH</w:t>
            </w:r>
            <w:r>
              <w:rPr>
                <w:color w:val="auto"/>
                <w:sz w:val="24"/>
                <w:highlight w:val="none"/>
                <w:vertAlign w:val="subscript"/>
              </w:rPr>
              <w:t>sd</w:t>
            </w:r>
            <w:r>
              <w:rPr>
                <w:color w:val="auto"/>
                <w:sz w:val="24"/>
                <w:highlight w:val="none"/>
              </w:rPr>
              <w:t>）pH</w:t>
            </w:r>
            <w:r>
              <w:rPr>
                <w:i/>
                <w:color w:val="auto"/>
                <w:sz w:val="24"/>
                <w:highlight w:val="none"/>
                <w:vertAlign w:val="subscript"/>
              </w:rPr>
              <w:t>j</w:t>
            </w:r>
            <w:r>
              <w:rPr>
                <w:color w:val="auto"/>
                <w:sz w:val="24"/>
                <w:highlight w:val="none"/>
              </w:rPr>
              <w:t>≤7.0</w:t>
            </w:r>
          </w:p>
          <w:p>
            <w:pPr>
              <w:pageBreakBefore w:val="0"/>
              <w:kinsoku/>
              <w:wordWrap/>
              <w:topLinePunct w:val="0"/>
              <w:bidi w:val="0"/>
              <w:spacing w:line="360" w:lineRule="auto"/>
              <w:ind w:left="0" w:leftChars="0" w:right="0" w:rightChars="0"/>
              <w:jc w:val="center"/>
              <w:rPr>
                <w:color w:val="auto"/>
                <w:sz w:val="24"/>
                <w:highlight w:val="none"/>
              </w:rPr>
            </w:pPr>
            <w:r>
              <w:rPr>
                <w:i/>
                <w:color w:val="auto"/>
                <w:sz w:val="24"/>
                <w:highlight w:val="none"/>
              </w:rPr>
              <w:t>S</w:t>
            </w:r>
            <w:r>
              <w:rPr>
                <w:color w:val="auto"/>
                <w:sz w:val="24"/>
                <w:highlight w:val="none"/>
                <w:vertAlign w:val="subscript"/>
              </w:rPr>
              <w:t>pH，</w:t>
            </w:r>
            <w:r>
              <w:rPr>
                <w:i/>
                <w:color w:val="auto"/>
                <w:sz w:val="24"/>
                <w:highlight w:val="none"/>
                <w:vertAlign w:val="subscript"/>
              </w:rPr>
              <w:t>j</w:t>
            </w:r>
            <w:r>
              <w:rPr>
                <w:color w:val="auto"/>
                <w:sz w:val="24"/>
                <w:highlight w:val="none"/>
              </w:rPr>
              <w:t>=（pH</w:t>
            </w:r>
            <w:r>
              <w:rPr>
                <w:i/>
                <w:color w:val="auto"/>
                <w:sz w:val="24"/>
                <w:highlight w:val="none"/>
                <w:vertAlign w:val="subscript"/>
              </w:rPr>
              <w:t>j</w:t>
            </w:r>
            <w:r>
              <w:rPr>
                <w:color w:val="auto"/>
                <w:sz w:val="24"/>
                <w:highlight w:val="none"/>
              </w:rPr>
              <w:t>-7.0）/（pH</w:t>
            </w:r>
            <w:r>
              <w:rPr>
                <w:color w:val="auto"/>
                <w:sz w:val="24"/>
                <w:highlight w:val="none"/>
                <w:vertAlign w:val="subscript"/>
              </w:rPr>
              <w:t>su</w:t>
            </w:r>
            <w:r>
              <w:rPr>
                <w:color w:val="auto"/>
                <w:sz w:val="24"/>
                <w:highlight w:val="none"/>
              </w:rPr>
              <w:t>-7.0）pH</w:t>
            </w:r>
            <w:r>
              <w:rPr>
                <w:i/>
                <w:color w:val="auto"/>
                <w:sz w:val="24"/>
                <w:highlight w:val="none"/>
                <w:vertAlign w:val="subscript"/>
              </w:rPr>
              <w:t>j</w:t>
            </w:r>
            <w:r>
              <w:rPr>
                <w:color w:val="auto"/>
                <w:sz w:val="24"/>
                <w:highlight w:val="none"/>
              </w:rPr>
              <w:t>＞7.0</w:t>
            </w:r>
          </w:p>
          <w:p>
            <w:pPr>
              <w:pageBreakBefore w:val="0"/>
              <w:kinsoku/>
              <w:wordWrap/>
              <w:topLinePunct w:val="0"/>
              <w:bidi w:val="0"/>
              <w:spacing w:line="360" w:lineRule="auto"/>
              <w:ind w:left="0" w:leftChars="0" w:right="0" w:rightChars="0" w:firstLine="960" w:firstLineChars="400"/>
              <w:rPr>
                <w:color w:val="auto"/>
                <w:sz w:val="24"/>
                <w:highlight w:val="none"/>
              </w:rPr>
            </w:pPr>
            <w:r>
              <w:rPr>
                <w:color w:val="auto"/>
                <w:sz w:val="24"/>
                <w:highlight w:val="none"/>
              </w:rPr>
              <w:t>式中：</w:t>
            </w:r>
            <w:r>
              <w:rPr>
                <w:i/>
                <w:color w:val="auto"/>
                <w:sz w:val="24"/>
                <w:highlight w:val="none"/>
              </w:rPr>
              <w:t>S</w:t>
            </w:r>
            <w:r>
              <w:rPr>
                <w:color w:val="auto"/>
                <w:sz w:val="24"/>
                <w:highlight w:val="none"/>
                <w:vertAlign w:val="subscript"/>
              </w:rPr>
              <w:t>pH，</w:t>
            </w:r>
            <w:r>
              <w:rPr>
                <w:i/>
                <w:color w:val="auto"/>
                <w:sz w:val="24"/>
                <w:highlight w:val="none"/>
                <w:vertAlign w:val="subscript"/>
              </w:rPr>
              <w:t>j</w:t>
            </w:r>
            <w:r>
              <w:rPr>
                <w:color w:val="auto"/>
                <w:sz w:val="24"/>
                <w:highlight w:val="none"/>
              </w:rPr>
              <w:t>——pH值的标准指数；</w:t>
            </w:r>
          </w:p>
          <w:p>
            <w:pPr>
              <w:pageBreakBefore w:val="0"/>
              <w:kinsoku/>
              <w:wordWrap/>
              <w:topLinePunct w:val="0"/>
              <w:bidi w:val="0"/>
              <w:spacing w:line="360" w:lineRule="auto"/>
              <w:ind w:left="0" w:leftChars="0" w:right="0" w:rightChars="0" w:firstLine="960" w:firstLineChars="400"/>
              <w:rPr>
                <w:color w:val="auto"/>
                <w:sz w:val="24"/>
                <w:highlight w:val="none"/>
              </w:rPr>
            </w:pPr>
            <w:r>
              <w:rPr>
                <w:color w:val="auto"/>
                <w:sz w:val="24"/>
                <w:highlight w:val="none"/>
              </w:rPr>
              <w:t>pH</w:t>
            </w:r>
            <w:r>
              <w:rPr>
                <w:i/>
                <w:color w:val="auto"/>
                <w:sz w:val="24"/>
                <w:highlight w:val="none"/>
                <w:vertAlign w:val="subscript"/>
              </w:rPr>
              <w:t>j</w:t>
            </w:r>
            <w:r>
              <w:rPr>
                <w:color w:val="auto"/>
                <w:sz w:val="24"/>
                <w:highlight w:val="none"/>
              </w:rPr>
              <w:t>——pH值实测值；</w:t>
            </w:r>
          </w:p>
          <w:p>
            <w:pPr>
              <w:pageBreakBefore w:val="0"/>
              <w:kinsoku/>
              <w:wordWrap/>
              <w:topLinePunct w:val="0"/>
              <w:bidi w:val="0"/>
              <w:spacing w:line="360" w:lineRule="auto"/>
              <w:ind w:left="0" w:leftChars="0" w:right="0" w:rightChars="0" w:firstLine="1680" w:firstLineChars="700"/>
              <w:rPr>
                <w:color w:val="auto"/>
                <w:sz w:val="24"/>
                <w:highlight w:val="none"/>
              </w:rPr>
            </w:pPr>
            <w:r>
              <w:rPr>
                <w:color w:val="auto"/>
                <w:sz w:val="24"/>
                <w:highlight w:val="none"/>
              </w:rPr>
              <w:t>pH</w:t>
            </w:r>
            <w:r>
              <w:rPr>
                <w:color w:val="auto"/>
                <w:sz w:val="24"/>
                <w:highlight w:val="none"/>
                <w:vertAlign w:val="subscript"/>
              </w:rPr>
              <w:t>sd</w:t>
            </w:r>
            <w:r>
              <w:rPr>
                <w:color w:val="auto"/>
                <w:sz w:val="24"/>
                <w:highlight w:val="none"/>
              </w:rPr>
              <w:t>——水质标准中规定的pH值下限值；</w:t>
            </w:r>
          </w:p>
          <w:p>
            <w:pPr>
              <w:pageBreakBefore w:val="0"/>
              <w:kinsoku/>
              <w:wordWrap/>
              <w:topLinePunct w:val="0"/>
              <w:bidi w:val="0"/>
              <w:spacing w:line="360" w:lineRule="auto"/>
              <w:ind w:left="0" w:leftChars="0" w:right="0" w:rightChars="0" w:firstLine="1680" w:firstLineChars="700"/>
              <w:rPr>
                <w:color w:val="auto"/>
                <w:sz w:val="24"/>
                <w:highlight w:val="none"/>
              </w:rPr>
            </w:pPr>
            <w:r>
              <w:rPr>
                <w:color w:val="auto"/>
                <w:sz w:val="24"/>
                <w:highlight w:val="none"/>
              </w:rPr>
              <w:t>pH</w:t>
            </w:r>
            <w:r>
              <w:rPr>
                <w:color w:val="auto"/>
                <w:sz w:val="24"/>
                <w:highlight w:val="none"/>
                <w:vertAlign w:val="subscript"/>
              </w:rPr>
              <w:t>su</w:t>
            </w:r>
            <w:r>
              <w:rPr>
                <w:color w:val="auto"/>
                <w:sz w:val="24"/>
                <w:highlight w:val="none"/>
              </w:rPr>
              <w:t>——水质标准中规定的pH值上限值。</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c.溶解氧污染指数计算公式：</w:t>
            </w:r>
          </w:p>
          <w:p>
            <w:pPr>
              <w:pageBreakBefore w:val="0"/>
              <w:kinsoku/>
              <w:wordWrap/>
              <w:topLinePunct w:val="0"/>
              <w:bidi w:val="0"/>
              <w:spacing w:line="360" w:lineRule="auto"/>
              <w:ind w:left="0" w:leftChars="0" w:right="0" w:rightChars="0"/>
              <w:jc w:val="center"/>
              <w:rPr>
                <w:color w:val="auto"/>
                <w:sz w:val="24"/>
                <w:szCs w:val="24"/>
                <w:highlight w:val="none"/>
              </w:rPr>
            </w:pPr>
            <w:r>
              <w:rPr>
                <w:color w:val="auto"/>
                <w:position w:val="-56"/>
                <w:highlight w:val="none"/>
              </w:rPr>
              <w:object>
                <v:shape id="_x0000_i1030" o:spt="75" type="#_x0000_t75" style="height:63pt;width:169.2pt;" o:ole="t" filled="f" o:preferrelative="t" stroked="f" coordsize="21600,21600">
                  <v:path/>
                  <v:fill on="f" focussize="0,0"/>
                  <v:stroke on="f" joinstyle="miter"/>
                  <v:imagedata r:id="rId27" o:title=""/>
                  <o:lock v:ext="edit" aspectratio="t"/>
                  <w10:wrap type="none"/>
                  <w10:anchorlock/>
                </v:shape>
                <o:OLEObject Type="Embed" ProgID="Equation.KSEE3" ShapeID="_x0000_i1030" DrawAspect="Content" ObjectID="_1468075730" r:id="rId26">
                  <o:LockedField>false</o:LockedField>
                </o:OLEObject>
              </w:objec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式中：S</w:t>
            </w:r>
            <w:r>
              <w:rPr>
                <w:color w:val="auto"/>
                <w:sz w:val="24"/>
                <w:szCs w:val="24"/>
                <w:highlight w:val="none"/>
                <w:vertAlign w:val="subscript"/>
              </w:rPr>
              <w:t>DO·j</w:t>
            </w:r>
            <w:r>
              <w:rPr>
                <w:color w:val="auto"/>
                <w:sz w:val="24"/>
                <w:szCs w:val="24"/>
                <w:highlight w:val="none"/>
              </w:rPr>
              <w:t>——溶解氧的标准指数，大于1表明该水质超标；</w:t>
            </w:r>
          </w:p>
          <w:p>
            <w:pPr>
              <w:pageBreakBefore w:val="0"/>
              <w:kinsoku/>
              <w:wordWrap/>
              <w:topLinePunct w:val="0"/>
              <w:bidi w:val="0"/>
              <w:spacing w:line="360" w:lineRule="auto"/>
              <w:ind w:left="0" w:leftChars="0" w:right="0" w:rightChars="0" w:firstLine="1200" w:firstLineChars="500"/>
              <w:rPr>
                <w:color w:val="auto"/>
                <w:sz w:val="24"/>
                <w:szCs w:val="24"/>
                <w:highlight w:val="none"/>
              </w:rPr>
            </w:pPr>
            <w:r>
              <w:rPr>
                <w:color w:val="auto"/>
                <w:sz w:val="24"/>
                <w:szCs w:val="24"/>
                <w:highlight w:val="none"/>
              </w:rPr>
              <w:t>DOj——溶解氧在j点的实测统计代表值，mg/L；</w:t>
            </w:r>
          </w:p>
          <w:p>
            <w:pPr>
              <w:pageBreakBefore w:val="0"/>
              <w:kinsoku/>
              <w:wordWrap/>
              <w:topLinePunct w:val="0"/>
              <w:bidi w:val="0"/>
              <w:spacing w:line="360" w:lineRule="auto"/>
              <w:ind w:left="0" w:leftChars="0" w:right="0" w:rightChars="0" w:firstLine="1200" w:firstLineChars="500"/>
              <w:rPr>
                <w:color w:val="auto"/>
                <w:sz w:val="24"/>
                <w:szCs w:val="24"/>
                <w:highlight w:val="none"/>
              </w:rPr>
            </w:pPr>
            <w:r>
              <w:rPr>
                <w:color w:val="auto"/>
                <w:sz w:val="24"/>
                <w:szCs w:val="24"/>
                <w:highlight w:val="none"/>
              </w:rPr>
              <w:t>DOs——溶解氧的水质评价标准限值，mg/L；</w:t>
            </w:r>
          </w:p>
          <w:p>
            <w:pPr>
              <w:pageBreakBefore w:val="0"/>
              <w:kinsoku/>
              <w:wordWrap/>
              <w:topLinePunct w:val="0"/>
              <w:bidi w:val="0"/>
              <w:spacing w:line="360" w:lineRule="auto"/>
              <w:ind w:left="0" w:leftChars="0" w:right="0" w:rightChars="0" w:firstLine="1200" w:firstLineChars="500"/>
              <w:rPr>
                <w:color w:val="auto"/>
                <w:sz w:val="24"/>
                <w:szCs w:val="24"/>
                <w:highlight w:val="none"/>
              </w:rPr>
            </w:pPr>
            <w:r>
              <w:rPr>
                <w:color w:val="auto"/>
                <w:sz w:val="24"/>
                <w:szCs w:val="24"/>
                <w:highlight w:val="none"/>
              </w:rPr>
              <w:t>DOf——饱和溶解氧浓度，mg/L，对于河流，DOf=468/（31.6+T）。</w:t>
            </w:r>
          </w:p>
          <w:p>
            <w:pPr>
              <w:pageBreakBefore w:val="0"/>
              <w:kinsoku/>
              <w:wordWrap/>
              <w:topLinePunct w:val="0"/>
              <w:bidi w:val="0"/>
              <w:spacing w:line="360" w:lineRule="auto"/>
              <w:ind w:left="0" w:leftChars="0" w:right="0" w:rightChars="0" w:firstLine="1200" w:firstLineChars="500"/>
              <w:rPr>
                <w:rFonts w:eastAsia="黑体"/>
                <w:color w:val="auto"/>
                <w:highlight w:val="none"/>
              </w:rPr>
            </w:pPr>
            <w:r>
              <w:rPr>
                <w:color w:val="auto"/>
                <w:sz w:val="24"/>
                <w:highlight w:val="none"/>
              </w:rPr>
              <w:t>水质评价因子的标准指数大于1时，表明该评价因子的水质超过了规定的水质标准，已经不能满足相应的水域功能要求。</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24"/>
                <w:highlight w:val="none"/>
              </w:rPr>
              <w:t>④评价结果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rPr>
              <w:t>采用上述评价方法，各水质评价因子的标准指数见表3-</w:t>
            </w:r>
            <w:r>
              <w:rPr>
                <w:rFonts w:hint="eastAsia"/>
                <w:color w:val="auto"/>
                <w:sz w:val="24"/>
                <w:szCs w:val="24"/>
                <w:highlight w:val="none"/>
                <w:lang w:val="en-US" w:eastAsia="zh-CN"/>
              </w:rPr>
              <w:t>7</w:t>
            </w:r>
            <w:r>
              <w:rPr>
                <w:color w:val="auto"/>
                <w:sz w:val="24"/>
                <w:szCs w:val="24"/>
                <w:highlight w:val="none"/>
              </w:rPr>
              <w:t>。</w:t>
            </w:r>
          </w:p>
          <w:p>
            <w:pPr>
              <w:pageBreakBefore w:val="0"/>
              <w:kinsoku/>
              <w:wordWrap/>
              <w:topLinePunct w:val="0"/>
              <w:bidi w:val="0"/>
              <w:spacing w:line="360" w:lineRule="auto"/>
              <w:ind w:left="0" w:leftChars="0" w:right="0" w:rightChars="0"/>
              <w:jc w:val="center"/>
              <w:rPr>
                <w:color w:val="auto"/>
                <w:sz w:val="24"/>
                <w:szCs w:val="32"/>
                <w:highlight w:val="none"/>
                <w:lang w:bidi="ar"/>
              </w:rPr>
            </w:pPr>
            <w:r>
              <w:rPr>
                <w:rFonts w:eastAsia="黑体"/>
                <w:color w:val="auto"/>
                <w:highlight w:val="none"/>
              </w:rPr>
              <w:t>表3-</w:t>
            </w:r>
            <w:r>
              <w:rPr>
                <w:rFonts w:hint="eastAsia" w:eastAsia="黑体"/>
                <w:color w:val="auto"/>
                <w:highlight w:val="none"/>
                <w:lang w:val="en-US" w:eastAsia="zh-CN"/>
              </w:rPr>
              <w:t>7</w:t>
            </w:r>
            <w:r>
              <w:rPr>
                <w:rFonts w:hint="eastAsia" w:eastAsia="黑体"/>
                <w:color w:val="auto"/>
                <w:highlight w:val="none"/>
              </w:rPr>
              <w:t xml:space="preserve"> </w:t>
            </w:r>
            <w:r>
              <w:rPr>
                <w:rFonts w:eastAsia="黑体"/>
                <w:color w:val="auto"/>
                <w:highlight w:val="none"/>
              </w:rPr>
              <w:t>地表水水质评价因子标准指数统计表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2225"/>
              <w:gridCol w:w="976"/>
              <w:gridCol w:w="2702"/>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Merge w:val="restart"/>
                  <w:vAlign w:val="center"/>
                </w:tcPr>
                <w:p>
                  <w:pPr>
                    <w:pageBreakBefore w:val="0"/>
                    <w:kinsoku/>
                    <w:wordWrap/>
                    <w:topLinePunct w:val="0"/>
                    <w:bidi w:val="0"/>
                    <w:ind w:left="0" w:leftChars="0" w:right="0" w:rightChars="0"/>
                    <w:jc w:val="center"/>
                    <w:rPr>
                      <w:b/>
                      <w:bCs/>
                      <w:color w:val="auto"/>
                      <w:highlight w:val="none"/>
                    </w:rPr>
                  </w:pPr>
                  <w:r>
                    <w:rPr>
                      <w:b/>
                      <w:color w:val="auto"/>
                      <w:highlight w:val="none"/>
                    </w:rPr>
                    <w:t>监测指标</w:t>
                  </w:r>
                </w:p>
              </w:tc>
              <w:tc>
                <w:tcPr>
                  <w:tcW w:w="1745" w:type="pct"/>
                  <w:gridSpan w:val="2"/>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Ⅰ</w:t>
                  </w:r>
                </w:p>
              </w:tc>
              <w:tc>
                <w:tcPr>
                  <w:tcW w:w="2005" w:type="pct"/>
                  <w:gridSpan w:val="2"/>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Merge w:val="continue"/>
                  <w:vAlign w:val="center"/>
                </w:tcPr>
                <w:p>
                  <w:pPr>
                    <w:pageBreakBefore w:val="0"/>
                    <w:widowControl/>
                    <w:kinsoku/>
                    <w:wordWrap/>
                    <w:topLinePunct w:val="0"/>
                    <w:bidi w:val="0"/>
                    <w:ind w:left="0" w:leftChars="0" w:right="0" w:rightChars="0"/>
                    <w:jc w:val="center"/>
                    <w:textAlignment w:val="center"/>
                    <w:rPr>
                      <w:b/>
                      <w:color w:val="auto"/>
                      <w:highlight w:val="none"/>
                    </w:rPr>
                  </w:pPr>
                </w:p>
              </w:tc>
              <w:tc>
                <w:tcPr>
                  <w:tcW w:w="1213" w:type="pct"/>
                  <w:vAlign w:val="center"/>
                </w:tcPr>
                <w:p>
                  <w:pPr>
                    <w:pStyle w:val="44"/>
                    <w:pageBreakBefore w:val="0"/>
                    <w:kinsoku/>
                    <w:wordWrap/>
                    <w:overflowPunct w:val="0"/>
                    <w:topLinePunct w:val="0"/>
                    <w:bidi w:val="0"/>
                    <w:ind w:left="0" w:leftChars="0" w:right="0" w:rightChars="0"/>
                    <w:jc w:val="center"/>
                    <w:rPr>
                      <w:color w:val="auto"/>
                      <w:highlight w:val="none"/>
                    </w:rPr>
                  </w:pPr>
                  <w:r>
                    <w:rPr>
                      <w:b/>
                      <w:color w:val="auto"/>
                      <w:highlight w:val="none"/>
                    </w:rPr>
                    <w:t>浓度范围</w:t>
                  </w:r>
                </w:p>
              </w:tc>
              <w:tc>
                <w:tcPr>
                  <w:tcW w:w="532" w:type="pct"/>
                  <w:vAlign w:val="center"/>
                </w:tcPr>
                <w:p>
                  <w:pPr>
                    <w:pStyle w:val="44"/>
                    <w:pageBreakBefore w:val="0"/>
                    <w:kinsoku/>
                    <w:wordWrap/>
                    <w:overflowPunct w:val="0"/>
                    <w:topLinePunct w:val="0"/>
                    <w:bidi w:val="0"/>
                    <w:ind w:left="0" w:leftChars="0" w:right="0" w:rightChars="0"/>
                    <w:jc w:val="center"/>
                    <w:rPr>
                      <w:color w:val="auto"/>
                      <w:highlight w:val="none"/>
                    </w:rPr>
                  </w:pPr>
                  <w:r>
                    <w:rPr>
                      <w:b/>
                      <w:color w:val="auto"/>
                      <w:position w:val="1"/>
                      <w:highlight w:val="none"/>
                    </w:rPr>
                    <w:t>S</w:t>
                  </w:r>
                  <w:r>
                    <w:rPr>
                      <w:b/>
                      <w:color w:val="auto"/>
                      <w:position w:val="-2"/>
                      <w:highlight w:val="none"/>
                    </w:rPr>
                    <w:t>i</w:t>
                  </w:r>
                  <w:r>
                    <w:rPr>
                      <w:b/>
                      <w:color w:val="auto"/>
                      <w:highlight w:val="none"/>
                    </w:rPr>
                    <w:t>最大</w:t>
                  </w:r>
                </w:p>
              </w:tc>
              <w:tc>
                <w:tcPr>
                  <w:tcW w:w="1473" w:type="pct"/>
                  <w:vAlign w:val="center"/>
                </w:tcPr>
                <w:p>
                  <w:pPr>
                    <w:pStyle w:val="44"/>
                    <w:pageBreakBefore w:val="0"/>
                    <w:kinsoku/>
                    <w:wordWrap/>
                    <w:overflowPunct w:val="0"/>
                    <w:topLinePunct w:val="0"/>
                    <w:bidi w:val="0"/>
                    <w:ind w:left="0" w:leftChars="0" w:right="0" w:rightChars="0"/>
                    <w:jc w:val="center"/>
                    <w:rPr>
                      <w:color w:val="auto"/>
                      <w:highlight w:val="none"/>
                    </w:rPr>
                  </w:pPr>
                  <w:r>
                    <w:rPr>
                      <w:b/>
                      <w:color w:val="auto"/>
                      <w:highlight w:val="none"/>
                    </w:rPr>
                    <w:t>浓度范围</w:t>
                  </w:r>
                </w:p>
              </w:tc>
              <w:tc>
                <w:tcPr>
                  <w:tcW w:w="532" w:type="pct"/>
                  <w:vAlign w:val="center"/>
                </w:tcPr>
                <w:p>
                  <w:pPr>
                    <w:pStyle w:val="44"/>
                    <w:pageBreakBefore w:val="0"/>
                    <w:kinsoku/>
                    <w:wordWrap/>
                    <w:overflowPunct w:val="0"/>
                    <w:topLinePunct w:val="0"/>
                    <w:bidi w:val="0"/>
                    <w:ind w:left="0" w:leftChars="0" w:right="0" w:rightChars="0"/>
                    <w:jc w:val="center"/>
                    <w:rPr>
                      <w:color w:val="auto"/>
                      <w:highlight w:val="none"/>
                    </w:rPr>
                  </w:pPr>
                  <w:r>
                    <w:rPr>
                      <w:b/>
                      <w:color w:val="auto"/>
                      <w:position w:val="1"/>
                      <w:highlight w:val="none"/>
                    </w:rPr>
                    <w:t>S</w:t>
                  </w:r>
                  <w:r>
                    <w:rPr>
                      <w:b/>
                      <w:color w:val="auto"/>
                      <w:position w:val="-2"/>
                      <w:highlight w:val="none"/>
                    </w:rPr>
                    <w:t>i</w:t>
                  </w:r>
                  <w:r>
                    <w:rPr>
                      <w:b/>
                      <w:color w:val="auto"/>
                      <w:highlight w:val="none"/>
                    </w:rPr>
                    <w:t>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pH（无量纲）</w:t>
                  </w:r>
                </w:p>
              </w:tc>
              <w:tc>
                <w:tcPr>
                  <w:tcW w:w="121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7.4~7.8</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0.4</w:t>
                  </w:r>
                </w:p>
              </w:tc>
              <w:tc>
                <w:tcPr>
                  <w:tcW w:w="147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7.4~7.6</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溶解氧</w:t>
                  </w:r>
                </w:p>
              </w:tc>
              <w:tc>
                <w:tcPr>
                  <w:tcW w:w="121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5.3~5.6</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0.89</w:t>
                  </w:r>
                </w:p>
              </w:tc>
              <w:tc>
                <w:tcPr>
                  <w:tcW w:w="147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5.4~5.6</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化学需氧量</w:t>
                  </w:r>
                </w:p>
              </w:tc>
              <w:tc>
                <w:tcPr>
                  <w:tcW w:w="121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5~7</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0.35</w:t>
                  </w:r>
                </w:p>
              </w:tc>
              <w:tc>
                <w:tcPr>
                  <w:tcW w:w="147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10~13</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五日生化需氧量</w:t>
                  </w:r>
                </w:p>
              </w:tc>
              <w:tc>
                <w:tcPr>
                  <w:tcW w:w="121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1.1~1.5</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0.375</w:t>
                  </w:r>
                </w:p>
              </w:tc>
              <w:tc>
                <w:tcPr>
                  <w:tcW w:w="147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2.3~3.1</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color w:val="auto"/>
                      <w:sz w:val="21"/>
                      <w:szCs w:val="21"/>
                      <w:highlight w:val="none"/>
                    </w:rPr>
                    <w:t>氨氮</w:t>
                  </w:r>
                </w:p>
              </w:tc>
              <w:tc>
                <w:tcPr>
                  <w:tcW w:w="121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0.222~0.264</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0.264</w:t>
                  </w:r>
                </w:p>
              </w:tc>
              <w:tc>
                <w:tcPr>
                  <w:tcW w:w="147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0.23~0.244</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0.244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napToGrid w:val="0"/>
                    <w:spacing w:before="0" w:after="0"/>
                    <w:ind w:left="0" w:leftChars="0" w:right="0" w:rightChars="0"/>
                    <w:rPr>
                      <w:rFonts w:cs="Times New Roman"/>
                      <w:color w:val="auto"/>
                      <w:szCs w:val="21"/>
                      <w:highlight w:val="none"/>
                    </w:rPr>
                  </w:pPr>
                  <w:r>
                    <w:rPr>
                      <w:rFonts w:cs="Times New Roman"/>
                      <w:color w:val="auto"/>
                      <w:sz w:val="21"/>
                      <w:szCs w:val="21"/>
                      <w:highlight w:val="none"/>
                    </w:rPr>
                    <w:t>总磷</w:t>
                  </w:r>
                </w:p>
              </w:tc>
              <w:tc>
                <w:tcPr>
                  <w:tcW w:w="121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0.03~0.04</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0.2</w:t>
                  </w:r>
                </w:p>
              </w:tc>
              <w:tc>
                <w:tcPr>
                  <w:tcW w:w="1473"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color w:val="auto"/>
                      <w:kern w:val="0"/>
                      <w:highlight w:val="none"/>
                      <w:lang w:bidi="ar"/>
                    </w:rPr>
                    <w:t>0.04~0.04</w:t>
                  </w:r>
                </w:p>
              </w:tc>
              <w:tc>
                <w:tcPr>
                  <w:tcW w:w="532" w:type="pct"/>
                  <w:vAlign w:val="center"/>
                </w:tcPr>
                <w:p>
                  <w:pPr>
                    <w:pageBreakBefore w:val="0"/>
                    <w:widowControl/>
                    <w:kinsoku/>
                    <w:wordWrap/>
                    <w:topLinePunct w:val="0"/>
                    <w:bidi w:val="0"/>
                    <w:ind w:left="0" w:leftChars="0" w:right="0" w:rightChars="0"/>
                    <w:jc w:val="center"/>
                    <w:textAlignment w:val="center"/>
                    <w:rPr>
                      <w:bCs/>
                      <w:color w:val="auto"/>
                      <w:highlight w:val="none"/>
                    </w:rPr>
                  </w:pPr>
                  <w:r>
                    <w:rPr>
                      <w:bCs/>
                      <w:color w:val="auto"/>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pacing w:before="0" w:after="0"/>
                    <w:ind w:left="0" w:leftChars="0" w:right="0" w:rightChars="0"/>
                    <w:rPr>
                      <w:rFonts w:cs="Times New Roman"/>
                      <w:color w:val="auto"/>
                      <w:szCs w:val="21"/>
                      <w:highlight w:val="none"/>
                    </w:rPr>
                  </w:pPr>
                  <w:r>
                    <w:rPr>
                      <w:rFonts w:cs="Times New Roman"/>
                      <w:bCs/>
                      <w:color w:val="auto"/>
                      <w:sz w:val="21"/>
                      <w:szCs w:val="21"/>
                      <w:highlight w:val="none"/>
                    </w:rPr>
                    <w:t>石油类</w:t>
                  </w:r>
                </w:p>
              </w:tc>
              <w:tc>
                <w:tcPr>
                  <w:tcW w:w="121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69"/>
                      <w:color w:val="auto"/>
                      <w:highlight w:val="none"/>
                      <w:lang w:bidi="ar"/>
                    </w:rPr>
                    <w:t>0.01</w:t>
                  </w:r>
                  <w:r>
                    <w:rPr>
                      <w:color w:val="auto"/>
                      <w:kern w:val="0"/>
                      <w:highlight w:val="none"/>
                      <w:vertAlign w:val="superscript"/>
                      <w:lang w:bidi="ar"/>
                    </w:rPr>
                    <w:t>L</w:t>
                  </w:r>
                </w:p>
              </w:tc>
              <w:tc>
                <w:tcPr>
                  <w:tcW w:w="53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4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69"/>
                      <w:color w:val="auto"/>
                      <w:highlight w:val="none"/>
                      <w:lang w:bidi="ar"/>
                    </w:rPr>
                    <w:t>0.01</w:t>
                  </w:r>
                  <w:r>
                    <w:rPr>
                      <w:color w:val="auto"/>
                      <w:kern w:val="0"/>
                      <w:highlight w:val="none"/>
                      <w:vertAlign w:val="superscript"/>
                      <w:lang w:bidi="ar"/>
                    </w:rPr>
                    <w:t>L</w:t>
                  </w:r>
                </w:p>
              </w:tc>
              <w:tc>
                <w:tcPr>
                  <w:tcW w:w="53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napToGrid w:val="0"/>
                    <w:spacing w:before="0" w:after="0"/>
                    <w:ind w:left="0" w:leftChars="0" w:right="0" w:rightChars="0"/>
                    <w:rPr>
                      <w:rFonts w:cs="Times New Roman"/>
                      <w:color w:val="auto"/>
                      <w:szCs w:val="21"/>
                      <w:highlight w:val="none"/>
                    </w:rPr>
                  </w:pPr>
                  <w:r>
                    <w:rPr>
                      <w:rFonts w:cs="Times New Roman"/>
                      <w:color w:val="auto"/>
                      <w:sz w:val="21"/>
                      <w:szCs w:val="21"/>
                      <w:highlight w:val="none"/>
                    </w:rPr>
                    <w:t>阴离子表面活性剂</w:t>
                  </w:r>
                </w:p>
              </w:tc>
              <w:tc>
                <w:tcPr>
                  <w:tcW w:w="121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69"/>
                      <w:color w:val="auto"/>
                      <w:highlight w:val="none"/>
                      <w:lang w:bidi="ar"/>
                    </w:rPr>
                    <w:t>0.05</w:t>
                  </w:r>
                  <w:r>
                    <w:rPr>
                      <w:color w:val="auto"/>
                      <w:kern w:val="0"/>
                      <w:highlight w:val="none"/>
                      <w:vertAlign w:val="superscript"/>
                      <w:lang w:bidi="ar"/>
                    </w:rPr>
                    <w:t>L</w:t>
                  </w:r>
                </w:p>
              </w:tc>
              <w:tc>
                <w:tcPr>
                  <w:tcW w:w="53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c>
                <w:tcPr>
                  <w:tcW w:w="14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69"/>
                      <w:color w:val="auto"/>
                      <w:highlight w:val="none"/>
                      <w:lang w:bidi="ar"/>
                    </w:rPr>
                    <w:t>0.05</w:t>
                  </w:r>
                  <w:r>
                    <w:rPr>
                      <w:color w:val="auto"/>
                      <w:kern w:val="0"/>
                      <w:highlight w:val="none"/>
                      <w:vertAlign w:val="superscript"/>
                      <w:lang w:bidi="ar"/>
                    </w:rPr>
                    <w:t>L</w:t>
                  </w:r>
                </w:p>
              </w:tc>
              <w:tc>
                <w:tcPr>
                  <w:tcW w:w="53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8" w:type="pct"/>
                  <w:vAlign w:val="center"/>
                </w:tcPr>
                <w:p>
                  <w:pPr>
                    <w:pStyle w:val="42"/>
                    <w:pageBreakBefore w:val="0"/>
                    <w:kinsoku/>
                    <w:wordWrap/>
                    <w:topLinePunct w:val="0"/>
                    <w:bidi w:val="0"/>
                    <w:snapToGrid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粪大肠菌群（MPN/L）</w:t>
                  </w:r>
                </w:p>
              </w:tc>
              <w:tc>
                <w:tcPr>
                  <w:tcW w:w="121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6.9</w:t>
                  </w:r>
                  <w:r>
                    <w:rPr>
                      <w:color w:val="auto"/>
                      <w:highlight w:val="none"/>
                    </w:rPr>
                    <w:t>×10</w:t>
                  </w:r>
                  <w:r>
                    <w:rPr>
                      <w:color w:val="auto"/>
                      <w:highlight w:val="none"/>
                      <w:vertAlign w:val="superscript"/>
                    </w:rPr>
                    <w:t>2</w:t>
                  </w:r>
                  <w:r>
                    <w:rPr>
                      <w:color w:val="auto"/>
                      <w:kern w:val="0"/>
                      <w:highlight w:val="none"/>
                      <w:lang w:bidi="ar"/>
                    </w:rPr>
                    <w:t>~8.1</w:t>
                  </w:r>
                  <w:r>
                    <w:rPr>
                      <w:color w:val="auto"/>
                      <w:highlight w:val="none"/>
                    </w:rPr>
                    <w:t>×10</w:t>
                  </w:r>
                  <w:r>
                    <w:rPr>
                      <w:color w:val="auto"/>
                      <w:highlight w:val="none"/>
                      <w:vertAlign w:val="superscript"/>
                    </w:rPr>
                    <w:t>2</w:t>
                  </w:r>
                </w:p>
              </w:tc>
              <w:tc>
                <w:tcPr>
                  <w:tcW w:w="53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bCs/>
                      <w:color w:val="auto"/>
                      <w:highlight w:val="none"/>
                    </w:rPr>
                    <w:t>0.081</w:t>
                  </w:r>
                </w:p>
              </w:tc>
              <w:tc>
                <w:tcPr>
                  <w:tcW w:w="1473"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1.3</w:t>
                  </w:r>
                  <w:r>
                    <w:rPr>
                      <w:color w:val="auto"/>
                      <w:highlight w:val="none"/>
                    </w:rPr>
                    <w:t>×10</w:t>
                  </w:r>
                  <w:r>
                    <w:rPr>
                      <w:color w:val="auto"/>
                      <w:highlight w:val="none"/>
                      <w:vertAlign w:val="superscript"/>
                    </w:rPr>
                    <w:t>3</w:t>
                  </w:r>
                  <w:r>
                    <w:rPr>
                      <w:color w:val="auto"/>
                      <w:kern w:val="0"/>
                      <w:highlight w:val="none"/>
                      <w:lang w:bidi="ar"/>
                    </w:rPr>
                    <w:t>~1.8</w:t>
                  </w:r>
                  <w:r>
                    <w:rPr>
                      <w:color w:val="auto"/>
                      <w:highlight w:val="none"/>
                    </w:rPr>
                    <w:t>×10</w:t>
                  </w:r>
                  <w:r>
                    <w:rPr>
                      <w:color w:val="auto"/>
                      <w:highlight w:val="none"/>
                      <w:vertAlign w:val="superscript"/>
                    </w:rPr>
                    <w:t>3</w:t>
                  </w:r>
                </w:p>
              </w:tc>
              <w:tc>
                <w:tcPr>
                  <w:tcW w:w="53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0.18</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rPr>
              <w:t>结果表明，现状监测期间，前河各监测指标均能满足《地表水环境质量标准》（GB3838-2002）Ⅲ类标准</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三、地下水环境质量现状</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根据《国民经济行业分类》（GB/T4754-2017）可知，本项目属于“污水处理及再生利用（D4620）”</w:t>
            </w:r>
            <w:r>
              <w:rPr>
                <w:rFonts w:hint="eastAsia"/>
                <w:color w:val="auto"/>
                <w:sz w:val="24"/>
                <w:szCs w:val="32"/>
                <w:highlight w:val="none"/>
                <w:lang w:eastAsia="zh-CN" w:bidi="ar"/>
              </w:rPr>
              <w:t>，</w:t>
            </w:r>
            <w:r>
              <w:rPr>
                <w:rFonts w:hint="eastAsia"/>
                <w:color w:val="auto"/>
                <w:sz w:val="24"/>
                <w:szCs w:val="32"/>
                <w:highlight w:val="none"/>
                <w:lang w:val="en-US" w:eastAsia="zh-CN" w:bidi="ar"/>
              </w:rPr>
              <w:t>存在地下水污染途径，因此</w:t>
            </w:r>
            <w:r>
              <w:rPr>
                <w:color w:val="auto"/>
                <w:sz w:val="24"/>
                <w:szCs w:val="32"/>
                <w:highlight w:val="none"/>
                <w:lang w:bidi="ar"/>
              </w:rPr>
              <w:t>本次环评设地下水监测点1个</w:t>
            </w:r>
            <w:r>
              <w:rPr>
                <w:rFonts w:hint="eastAsia"/>
                <w:color w:val="auto"/>
                <w:sz w:val="24"/>
                <w:szCs w:val="32"/>
                <w:highlight w:val="none"/>
                <w:lang w:val="en-US" w:eastAsia="zh-CN" w:bidi="ar"/>
              </w:rPr>
              <w:t>作为</w:t>
            </w:r>
            <w:r>
              <w:rPr>
                <w:color w:val="auto"/>
                <w:sz w:val="24"/>
                <w:szCs w:val="32"/>
                <w:highlight w:val="none"/>
                <w:lang w:bidi="ar"/>
              </w:rPr>
              <w:t>背景</w:t>
            </w:r>
            <w:r>
              <w:rPr>
                <w:rFonts w:hint="eastAsia"/>
                <w:color w:val="auto"/>
                <w:sz w:val="24"/>
                <w:szCs w:val="32"/>
                <w:highlight w:val="none"/>
                <w:lang w:val="en-US" w:eastAsia="zh-CN" w:bidi="ar"/>
              </w:rPr>
              <w:t>值</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1、监测点位基本信息</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本次环评委托达州恒福环境监测服务有限公司于2023年6月24日对区域地下水环境进行监测。监测点基本信息见下表。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w:t>
            </w:r>
            <w:r>
              <w:rPr>
                <w:rFonts w:hint="eastAsia" w:eastAsia="黑体"/>
                <w:color w:val="auto"/>
                <w:highlight w:val="none"/>
                <w:lang w:val="en-US" w:eastAsia="zh-CN"/>
              </w:rPr>
              <w:t>8</w:t>
            </w:r>
            <w:r>
              <w:rPr>
                <w:rFonts w:hint="eastAsia" w:eastAsia="黑体"/>
                <w:color w:val="auto"/>
                <w:highlight w:val="none"/>
              </w:rPr>
              <w:t xml:space="preserve"> </w:t>
            </w:r>
            <w:r>
              <w:rPr>
                <w:rFonts w:eastAsia="黑体"/>
                <w:color w:val="auto"/>
                <w:highlight w:val="none"/>
              </w:rPr>
              <w:t>地下水监测点基本信息表</w:t>
            </w:r>
          </w:p>
          <w:tbl>
            <w:tblPr>
              <w:tblStyle w:val="23"/>
              <w:tblW w:w="49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8"/>
              <w:gridCol w:w="1110"/>
              <w:gridCol w:w="1266"/>
              <w:gridCol w:w="4919"/>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359"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检测项目</w:t>
                  </w:r>
                </w:p>
              </w:tc>
              <w:tc>
                <w:tcPr>
                  <w:tcW w:w="60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检测点编号及位置</w:t>
                  </w:r>
                </w:p>
              </w:tc>
              <w:tc>
                <w:tcPr>
                  <w:tcW w:w="691"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经纬度</w:t>
                  </w:r>
                </w:p>
              </w:tc>
              <w:tc>
                <w:tcPr>
                  <w:tcW w:w="2685" w:type="pct"/>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检测因子</w:t>
                  </w:r>
                </w:p>
              </w:tc>
              <w:tc>
                <w:tcPr>
                  <w:tcW w:w="657"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5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地下水</w:t>
                  </w:r>
                </w:p>
              </w:tc>
              <w:tc>
                <w:tcPr>
                  <w:tcW w:w="606" w:type="pct"/>
                  <w:vAlign w:val="center"/>
                </w:tcPr>
                <w:p>
                  <w:pPr>
                    <w:pStyle w:val="39"/>
                    <w:pageBreakBefore w:val="0"/>
                    <w:kinsoku/>
                    <w:wordWrap/>
                    <w:topLinePunct w:val="0"/>
                    <w:bidi w:val="0"/>
                    <w:ind w:left="0" w:leftChars="0" w:right="0" w:rightChars="0"/>
                    <w:rPr>
                      <w:color w:val="auto"/>
                      <w:highlight w:val="none"/>
                    </w:rPr>
                  </w:pPr>
                  <w:r>
                    <w:rPr>
                      <w:color w:val="auto"/>
                      <w:highlight w:val="none"/>
                    </w:rPr>
                    <w:t>D1，龙驹坝居民点</w:t>
                  </w:r>
                </w:p>
              </w:tc>
              <w:tc>
                <w:tcPr>
                  <w:tcW w:w="69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107.4550°E</w:t>
                  </w:r>
                </w:p>
                <w:p>
                  <w:pPr>
                    <w:pageBreakBefore w:val="0"/>
                    <w:kinsoku/>
                    <w:wordWrap/>
                    <w:topLinePunct w:val="0"/>
                    <w:bidi w:val="0"/>
                    <w:ind w:left="0" w:leftChars="0" w:right="0" w:rightChars="0"/>
                    <w:jc w:val="center"/>
                    <w:rPr>
                      <w:color w:val="auto"/>
                      <w:highlight w:val="none"/>
                    </w:rPr>
                  </w:pPr>
                  <w:r>
                    <w:rPr>
                      <w:color w:val="auto"/>
                      <w:highlight w:val="none"/>
                    </w:rPr>
                    <w:t>30.6817°N</w:t>
                  </w:r>
                </w:p>
              </w:tc>
              <w:tc>
                <w:tcPr>
                  <w:tcW w:w="268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K</w:t>
                  </w:r>
                  <w:r>
                    <w:rPr>
                      <w:color w:val="auto"/>
                      <w:highlight w:val="none"/>
                      <w:vertAlign w:val="superscript"/>
                    </w:rPr>
                    <w:t>+</w:t>
                  </w:r>
                  <w:r>
                    <w:rPr>
                      <w:color w:val="auto"/>
                      <w:highlight w:val="none"/>
                    </w:rPr>
                    <w:t>、Na</w:t>
                  </w:r>
                  <w:r>
                    <w:rPr>
                      <w:color w:val="auto"/>
                      <w:highlight w:val="none"/>
                      <w:vertAlign w:val="superscript"/>
                    </w:rPr>
                    <w:t>+</w:t>
                  </w:r>
                  <w:r>
                    <w:rPr>
                      <w:color w:val="auto"/>
                      <w:highlight w:val="none"/>
                    </w:rPr>
                    <w:t>、Ca</w:t>
                  </w:r>
                  <w:r>
                    <w:rPr>
                      <w:color w:val="auto"/>
                      <w:highlight w:val="none"/>
                      <w:vertAlign w:val="superscript"/>
                    </w:rPr>
                    <w:t>2+</w:t>
                  </w:r>
                  <w:r>
                    <w:rPr>
                      <w:color w:val="auto"/>
                      <w:highlight w:val="none"/>
                    </w:rPr>
                    <w:t>、Mg</w:t>
                  </w:r>
                  <w:r>
                    <w:rPr>
                      <w:color w:val="auto"/>
                      <w:highlight w:val="none"/>
                      <w:vertAlign w:val="superscript"/>
                    </w:rPr>
                    <w:t>2+</w:t>
                  </w:r>
                  <w:r>
                    <w:rPr>
                      <w:color w:val="auto"/>
                      <w:highlight w:val="none"/>
                    </w:rPr>
                    <w:t>、CO</w:t>
                  </w:r>
                  <w:r>
                    <w:rPr>
                      <w:color w:val="auto"/>
                      <w:highlight w:val="none"/>
                      <w:vertAlign w:val="subscript"/>
                    </w:rPr>
                    <w:t>3</w:t>
                  </w:r>
                  <w:r>
                    <w:rPr>
                      <w:color w:val="auto"/>
                      <w:highlight w:val="none"/>
                      <w:vertAlign w:val="superscript"/>
                    </w:rPr>
                    <w:t>2-</w:t>
                  </w:r>
                  <w:r>
                    <w:rPr>
                      <w:color w:val="auto"/>
                      <w:highlight w:val="none"/>
                    </w:rPr>
                    <w:t>、HCO</w:t>
                  </w:r>
                  <w:r>
                    <w:rPr>
                      <w:color w:val="auto"/>
                      <w:highlight w:val="none"/>
                      <w:vertAlign w:val="subscript"/>
                    </w:rPr>
                    <w:t>3</w:t>
                  </w:r>
                  <w:r>
                    <w:rPr>
                      <w:color w:val="auto"/>
                      <w:highlight w:val="none"/>
                      <w:vertAlign w:val="superscript"/>
                    </w:rPr>
                    <w:t>2-</w:t>
                  </w:r>
                  <w:r>
                    <w:rPr>
                      <w:color w:val="auto"/>
                      <w:highlight w:val="none"/>
                    </w:rPr>
                    <w:t>、Cl</w:t>
                  </w:r>
                  <w:r>
                    <w:rPr>
                      <w:color w:val="auto"/>
                      <w:highlight w:val="none"/>
                      <w:vertAlign w:val="superscript"/>
                    </w:rPr>
                    <w:t>-</w:t>
                  </w:r>
                  <w:r>
                    <w:rPr>
                      <w:color w:val="auto"/>
                      <w:highlight w:val="none"/>
                    </w:rPr>
                    <w:t>、SO</w:t>
                  </w:r>
                  <w:r>
                    <w:rPr>
                      <w:color w:val="auto"/>
                      <w:highlight w:val="none"/>
                      <w:vertAlign w:val="subscript"/>
                    </w:rPr>
                    <w:t>4</w:t>
                  </w:r>
                  <w:r>
                    <w:rPr>
                      <w:color w:val="auto"/>
                      <w:highlight w:val="none"/>
                      <w:vertAlign w:val="superscript"/>
                    </w:rPr>
                    <w:t>2-</w:t>
                  </w:r>
                  <w:r>
                    <w:rPr>
                      <w:color w:val="auto"/>
                      <w:highlight w:val="none"/>
                    </w:rPr>
                    <w:t>、pH、氨氮、硝酸盐、亚硝酸盐、挥发性酚类、氰化物、砷、汞、铬（六价）、总硬度、铅、氟、镉、铁、锰、溶解性总固体、耗氧量、硫酸盐、氯化物、总大肠菌群、菌落总数、石油类</w:t>
                  </w:r>
                </w:p>
              </w:tc>
              <w:tc>
                <w:tcPr>
                  <w:tcW w:w="657" w:type="pct"/>
                  <w:vAlign w:val="center"/>
                </w:tcPr>
                <w:p>
                  <w:pPr>
                    <w:pageBreakBefore w:val="0"/>
                    <w:kinsoku/>
                    <w:wordWrap/>
                    <w:topLinePunct w:val="0"/>
                    <w:autoSpaceDE w:val="0"/>
                    <w:bidi w:val="0"/>
                    <w:ind w:left="0" w:leftChars="0" w:right="0" w:rightChars="0"/>
                    <w:jc w:val="center"/>
                    <w:rPr>
                      <w:color w:val="auto"/>
                      <w:highlight w:val="none"/>
                    </w:rPr>
                  </w:pPr>
                  <w:r>
                    <w:rPr>
                      <w:color w:val="auto"/>
                      <w:highlight w:val="none"/>
                    </w:rPr>
                    <w:t>检测1次</w:t>
                  </w:r>
                </w:p>
              </w:tc>
            </w:tr>
          </w:tbl>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2、地下水监测结果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项目地下水监测结果见下表。</w:t>
            </w:r>
          </w:p>
          <w:p>
            <w:pPr>
              <w:pageBreakBefore w:val="0"/>
              <w:kinsoku/>
              <w:wordWrap/>
              <w:topLinePunct w:val="0"/>
              <w:bidi w:val="0"/>
              <w:spacing w:line="360" w:lineRule="auto"/>
              <w:ind w:left="0" w:leftChars="0" w:right="0" w:rightChars="0"/>
              <w:jc w:val="center"/>
              <w:rPr>
                <w:b/>
                <w:bCs/>
                <w:color w:val="auto"/>
                <w:sz w:val="24"/>
                <w:szCs w:val="24"/>
                <w:highlight w:val="none"/>
              </w:rPr>
            </w:pPr>
            <w:r>
              <w:rPr>
                <w:rFonts w:eastAsia="黑体"/>
                <w:color w:val="auto"/>
                <w:highlight w:val="none"/>
              </w:rPr>
              <w:t>表3-</w:t>
            </w:r>
            <w:r>
              <w:rPr>
                <w:rFonts w:hint="eastAsia" w:eastAsia="黑体"/>
                <w:color w:val="auto"/>
                <w:highlight w:val="none"/>
                <w:lang w:val="en-US" w:eastAsia="zh-CN"/>
              </w:rPr>
              <w:t>9</w:t>
            </w:r>
            <w:r>
              <w:rPr>
                <w:rFonts w:hint="eastAsia" w:eastAsia="黑体"/>
                <w:color w:val="auto"/>
                <w:highlight w:val="none"/>
              </w:rPr>
              <w:t xml:space="preserve"> </w:t>
            </w:r>
            <w:r>
              <w:rPr>
                <w:rFonts w:eastAsia="黑体"/>
                <w:color w:val="auto"/>
                <w:highlight w:val="none"/>
              </w:rPr>
              <w:t>地下水监测结果</w:t>
            </w:r>
            <w:r>
              <w:rPr>
                <w:rFonts w:hint="eastAsia" w:eastAsia="黑体"/>
                <w:color w:val="auto"/>
                <w:highlight w:val="none"/>
                <w:lang w:val="en-US" w:eastAsia="zh-CN"/>
              </w:rPr>
              <w:t xml:space="preserve">  </w:t>
            </w:r>
            <w:r>
              <w:rPr>
                <w:rFonts w:eastAsia="黑体"/>
                <w:color w:val="auto"/>
                <w:highlight w:val="none"/>
              </w:rPr>
              <w:t>单位：mg/L</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982"/>
              <w:gridCol w:w="4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blHeader/>
                <w:jc w:val="center"/>
              </w:trPr>
              <w:tc>
                <w:tcPr>
                  <w:tcW w:w="711"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检测日期</w:t>
                  </w:r>
                </w:p>
              </w:tc>
              <w:tc>
                <w:tcPr>
                  <w:tcW w:w="1625" w:type="pct"/>
                  <w:vMerge w:val="restar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检测因子</w:t>
                  </w:r>
                </w:p>
              </w:tc>
              <w:tc>
                <w:tcPr>
                  <w:tcW w:w="2662"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检测点编号、位置及检测结果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blHeader/>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c>
                <w:tcPr>
                  <w:tcW w:w="1625"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c>
                <w:tcPr>
                  <w:tcW w:w="2662"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color w:val="auto"/>
                      <w:highlight w:val="none"/>
                    </w:rPr>
                    <w:t>D1</w:t>
                  </w:r>
                  <w:r>
                    <w:rPr>
                      <w:color w:val="auto"/>
                      <w:spacing w:val="12"/>
                      <w:kern w:val="28"/>
                      <w:highlight w:val="none"/>
                    </w:rPr>
                    <w:t>，</w:t>
                  </w:r>
                  <w:r>
                    <w:rPr>
                      <w:color w:val="auto"/>
                      <w:highlight w:val="none"/>
                    </w:rPr>
                    <w:t>龙驹坝居民点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2023.06.24</w:t>
                  </w: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pH（无量纲）</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kern w:val="0"/>
                      <w:highlight w:val="none"/>
                    </w:rPr>
                    <w:t>氨氮</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bCs/>
                      <w:color w:val="auto"/>
                      <w:szCs w:val="21"/>
                      <w:highlight w:val="none"/>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镉</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0.0001</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铅</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0.001</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亚硝酸盐</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bCs/>
                      <w:color w:val="auto"/>
                      <w:szCs w:val="21"/>
                      <w:highlight w:val="none"/>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bCs/>
                      <w:color w:val="auto"/>
                      <w:sz w:val="21"/>
                      <w:szCs w:val="21"/>
                      <w:highlight w:val="none"/>
                    </w:rPr>
                    <w:t>六价铬</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0.004</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总硬度</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bCs/>
                      <w:color w:val="auto"/>
                      <w:sz w:val="21"/>
                      <w:szCs w:val="21"/>
                      <w:highlight w:val="none"/>
                    </w:rPr>
                  </w:pPr>
                  <w:r>
                    <w:rPr>
                      <w:rFonts w:cs="Times New Roman"/>
                      <w:bCs/>
                      <w:color w:val="auto"/>
                      <w:sz w:val="21"/>
                      <w:szCs w:val="21"/>
                      <w:highlight w:val="none"/>
                    </w:rPr>
                    <w:t>溶解性总固体</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kern w:val="0"/>
                      <w:highlight w:val="none"/>
                      <w:lang w:bidi="ar"/>
                    </w:rPr>
                  </w:pPr>
                  <w:r>
                    <w:rPr>
                      <w:rFonts w:hint="eastAsia"/>
                      <w:color w:val="auto"/>
                      <w:kern w:val="0"/>
                      <w:szCs w:val="21"/>
                      <w:highlight w:val="none"/>
                      <w:lang w:bidi="ar"/>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Style w:val="42"/>
                    <w:pageBreakBefore w:val="0"/>
                    <w:kinsoku/>
                    <w:wordWrap/>
                    <w:topLinePunct w:val="0"/>
                    <w:bidi w:val="0"/>
                    <w:snapToGrid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石油类</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0.01</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挥发性酚类</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0.0003</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氰化物</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kern w:val="0"/>
                      <w:highlight w:val="none"/>
                      <w:lang w:bidi="ar"/>
                    </w:rPr>
                  </w:pPr>
                  <w:r>
                    <w:rPr>
                      <w:rFonts w:hint="eastAsia"/>
                      <w:color w:val="auto"/>
                      <w:szCs w:val="21"/>
                      <w:highlight w:val="none"/>
                    </w:rPr>
                    <w:t>0.001</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耗氧量</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kern w:val="0"/>
                      <w:highlight w:val="none"/>
                      <w:lang w:bidi="ar"/>
                    </w:rPr>
                  </w:pPr>
                  <w:r>
                    <w:rPr>
                      <w:rFonts w:hint="eastAsia"/>
                      <w:color w:val="auto"/>
                      <w:kern w:val="0"/>
                      <w:szCs w:val="21"/>
                      <w:highlight w:val="none"/>
                      <w:lang w:bidi="ar"/>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kern w:val="0"/>
                      <w:sz w:val="21"/>
                      <w:szCs w:val="21"/>
                      <w:highlight w:val="none"/>
                      <w:lang w:bidi="ar"/>
                    </w:rPr>
                    <w:t>K</w:t>
                  </w:r>
                  <w:r>
                    <w:rPr>
                      <w:rFonts w:cs="Times New Roman"/>
                      <w:color w:val="auto"/>
                      <w:kern w:val="0"/>
                      <w:sz w:val="21"/>
                      <w:szCs w:val="21"/>
                      <w:highlight w:val="none"/>
                      <w:vertAlign w:val="superscript"/>
                      <w:lang w:bidi="ar"/>
                    </w:rPr>
                    <w:t>+</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kern w:val="0"/>
                      <w:sz w:val="21"/>
                      <w:szCs w:val="21"/>
                      <w:highlight w:val="none"/>
                      <w:lang w:bidi="ar"/>
                    </w:rPr>
                    <w:t>Na</w:t>
                  </w:r>
                  <w:r>
                    <w:rPr>
                      <w:rFonts w:cs="Times New Roman"/>
                      <w:color w:val="auto"/>
                      <w:kern w:val="0"/>
                      <w:sz w:val="21"/>
                      <w:szCs w:val="21"/>
                      <w:highlight w:val="none"/>
                      <w:vertAlign w:val="superscript"/>
                      <w:lang w:bidi="ar"/>
                    </w:rPr>
                    <w:t>+</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kern w:val="0"/>
                      <w:sz w:val="21"/>
                      <w:szCs w:val="21"/>
                      <w:highlight w:val="none"/>
                      <w:lang w:bidi="ar"/>
                    </w:rPr>
                    <w:t>Ca</w:t>
                  </w:r>
                  <w:r>
                    <w:rPr>
                      <w:rFonts w:cs="Times New Roman"/>
                      <w:color w:val="auto"/>
                      <w:kern w:val="0"/>
                      <w:sz w:val="21"/>
                      <w:szCs w:val="21"/>
                      <w:highlight w:val="none"/>
                      <w:vertAlign w:val="superscript"/>
                      <w:lang w:bidi="ar"/>
                    </w:rPr>
                    <w:t>2+</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kern w:val="0"/>
                      <w:sz w:val="21"/>
                      <w:szCs w:val="21"/>
                      <w:highlight w:val="none"/>
                      <w:lang w:bidi="ar"/>
                    </w:rPr>
                    <w:t>Mg</w:t>
                  </w:r>
                  <w:r>
                    <w:rPr>
                      <w:rFonts w:cs="Times New Roman"/>
                      <w:color w:val="auto"/>
                      <w:kern w:val="0"/>
                      <w:sz w:val="21"/>
                      <w:szCs w:val="21"/>
                      <w:highlight w:val="none"/>
                      <w:vertAlign w:val="superscript"/>
                      <w:lang w:bidi="ar"/>
                    </w:rPr>
                    <w:t>2+</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铁</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0.02</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锰</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0.004</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砷</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0.0003</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bCs/>
                      <w:color w:val="auto"/>
                      <w:highlight w:val="none"/>
                    </w:rPr>
                    <w:t>汞</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0.000015</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硝酸盐</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625"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氯化物（Cl</w:t>
                  </w:r>
                  <w:r>
                    <w:rPr>
                      <w:color w:val="auto"/>
                      <w:highlight w:val="none"/>
                      <w:vertAlign w:val="superscript"/>
                    </w:rPr>
                    <w:t>-</w:t>
                  </w:r>
                  <w:r>
                    <w:rPr>
                      <w:color w:val="auto"/>
                      <w:highlight w:val="none"/>
                    </w:rPr>
                    <w:t>）</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bCs/>
                      <w:color w:val="auto"/>
                      <w:sz w:val="21"/>
                      <w:szCs w:val="21"/>
                      <w:highlight w:val="none"/>
                    </w:rPr>
                    <w:t>氟化物</w:t>
                  </w:r>
                </w:p>
              </w:tc>
              <w:tc>
                <w:tcPr>
                  <w:tcW w:w="4881" w:type="dxa"/>
                  <w:shd w:val="clear" w:color="auto" w:fill="auto"/>
                  <w:vAlign w:val="center"/>
                </w:tcPr>
                <w:p>
                  <w:pPr>
                    <w:pageBreakBefore w:val="0"/>
                    <w:kinsoku/>
                    <w:wordWrap/>
                    <w:topLinePunct w:val="0"/>
                    <w:bidi w:val="0"/>
                    <w:spacing w:line="240" w:lineRule="auto"/>
                    <w:ind w:left="0" w:leftChars="0" w:right="0" w:rightChars="0"/>
                    <w:jc w:val="center"/>
                    <w:rPr>
                      <w:color w:val="auto"/>
                      <w:highlight w:val="none"/>
                    </w:rPr>
                  </w:pPr>
                  <w:r>
                    <w:rPr>
                      <w:rFonts w:hint="eastAsia"/>
                      <w:color w:val="auto"/>
                      <w:szCs w:val="21"/>
                      <w:highlight w:val="none"/>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color w:val="auto"/>
                      <w:sz w:val="21"/>
                      <w:szCs w:val="21"/>
                      <w:highlight w:val="none"/>
                    </w:rPr>
                    <w:t>硫酸盐（SO</w:t>
                  </w:r>
                  <w:r>
                    <w:rPr>
                      <w:rFonts w:cs="Times New Roman"/>
                      <w:color w:val="auto"/>
                      <w:sz w:val="21"/>
                      <w:szCs w:val="21"/>
                      <w:highlight w:val="none"/>
                      <w:vertAlign w:val="subscript"/>
                    </w:rPr>
                    <w:t>3</w:t>
                  </w:r>
                  <w:r>
                    <w:rPr>
                      <w:rFonts w:cs="Times New Roman"/>
                      <w:color w:val="auto"/>
                      <w:sz w:val="21"/>
                      <w:szCs w:val="21"/>
                      <w:highlight w:val="none"/>
                      <w:vertAlign w:val="superscript"/>
                    </w:rPr>
                    <w:t>2-</w:t>
                  </w:r>
                  <w:r>
                    <w:rPr>
                      <w:rFonts w:cs="Times New Roman"/>
                      <w:color w:val="auto"/>
                      <w:sz w:val="21"/>
                      <w:szCs w:val="21"/>
                      <w:highlight w:val="none"/>
                    </w:rPr>
                    <w:t>）</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color w:val="auto"/>
                      <w:kern w:val="0"/>
                      <w:sz w:val="21"/>
                      <w:szCs w:val="21"/>
                      <w:highlight w:val="none"/>
                      <w:lang w:bidi="ar"/>
                    </w:rPr>
                    <w:t>CO</w:t>
                  </w:r>
                  <w:r>
                    <w:rPr>
                      <w:rFonts w:cs="Times New Roman"/>
                      <w:color w:val="auto"/>
                      <w:kern w:val="0"/>
                      <w:sz w:val="21"/>
                      <w:szCs w:val="21"/>
                      <w:highlight w:val="none"/>
                      <w:vertAlign w:val="subscript"/>
                      <w:lang w:bidi="ar"/>
                    </w:rPr>
                    <w:t>3</w:t>
                  </w:r>
                  <w:r>
                    <w:rPr>
                      <w:rFonts w:cs="Times New Roman"/>
                      <w:color w:val="auto"/>
                      <w:kern w:val="0"/>
                      <w:sz w:val="21"/>
                      <w:szCs w:val="21"/>
                      <w:highlight w:val="none"/>
                      <w:vertAlign w:val="superscript"/>
                      <w:lang w:bidi="ar"/>
                    </w:rPr>
                    <w:t>2-</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5</w:t>
                  </w:r>
                  <w:r>
                    <w:rPr>
                      <w:rFonts w:hint="eastAsia"/>
                      <w:color w:val="auto"/>
                      <w:szCs w:val="21"/>
                      <w:highlight w:val="none"/>
                      <w:vertAlign w:val="superscript"/>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color w:val="auto"/>
                      <w:kern w:val="0"/>
                      <w:sz w:val="21"/>
                      <w:szCs w:val="21"/>
                      <w:highlight w:val="none"/>
                      <w:lang w:bidi="ar"/>
                    </w:rPr>
                    <w:t>HCO</w:t>
                  </w:r>
                  <w:r>
                    <w:rPr>
                      <w:rFonts w:cs="Times New Roman"/>
                      <w:color w:val="auto"/>
                      <w:kern w:val="0"/>
                      <w:sz w:val="21"/>
                      <w:szCs w:val="21"/>
                      <w:highlight w:val="none"/>
                      <w:vertAlign w:val="subscript"/>
                      <w:lang w:bidi="ar"/>
                    </w:rPr>
                    <w:t>3</w:t>
                  </w:r>
                  <w:r>
                    <w:rPr>
                      <w:rFonts w:cs="Times New Roman"/>
                      <w:color w:val="auto"/>
                      <w:kern w:val="0"/>
                      <w:sz w:val="21"/>
                      <w:szCs w:val="21"/>
                      <w:highlight w:val="none"/>
                      <w:vertAlign w:val="superscript"/>
                      <w:lang w:bidi="ar"/>
                    </w:rPr>
                    <w:t>-</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bCs/>
                      <w:color w:val="auto"/>
                      <w:sz w:val="21"/>
                      <w:szCs w:val="21"/>
                      <w:highlight w:val="none"/>
                    </w:rPr>
                    <w:t>菌落总数（CFU/mL）</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11" w:type="pct"/>
                  <w:vMerge w:val="continue"/>
                  <w:shd w:val="clear" w:color="auto" w:fill="auto"/>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p>
              </w:tc>
              <w:tc>
                <w:tcPr>
                  <w:tcW w:w="1625" w:type="pct"/>
                  <w:shd w:val="clear" w:color="auto" w:fill="auto"/>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总大肠菌群（MPN/L）</w:t>
                  </w:r>
                </w:p>
              </w:tc>
              <w:tc>
                <w:tcPr>
                  <w:tcW w:w="4881" w:type="dxa"/>
                  <w:shd w:val="clear" w:color="auto" w:fill="auto"/>
                  <w:vAlign w:val="center"/>
                </w:tcPr>
                <w:p>
                  <w:pPr>
                    <w:pageBreakBefore w:val="0"/>
                    <w:widowControl/>
                    <w:kinsoku/>
                    <w:wordWrap/>
                    <w:topLinePunct w:val="0"/>
                    <w:bidi w:val="0"/>
                    <w:spacing w:line="240" w:lineRule="auto"/>
                    <w:ind w:left="0" w:leftChars="0" w:right="0" w:rightChars="0"/>
                    <w:jc w:val="center"/>
                    <w:textAlignment w:val="center"/>
                    <w:rPr>
                      <w:color w:val="auto"/>
                      <w:highlight w:val="none"/>
                    </w:rPr>
                  </w:pPr>
                  <w:r>
                    <w:rPr>
                      <w:rFonts w:hint="eastAsia"/>
                      <w:color w:val="auto"/>
                      <w:szCs w:val="21"/>
                      <w:highlight w:val="none"/>
                    </w:rPr>
                    <w:t>20</w:t>
                  </w:r>
                  <w:r>
                    <w:rPr>
                      <w:rFonts w:hint="eastAsia"/>
                      <w:color w:val="auto"/>
                      <w:szCs w:val="21"/>
                      <w:highlight w:val="none"/>
                      <w:vertAlign w:val="superscript"/>
                    </w:rPr>
                    <w:t>L</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3、地下水环境质量现状评价</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（1）评价因子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pH、氨氮、镉、铅、亚硝酸盐、六价铬、总硬度、溶解性总固体、挥发性酚类、氰化物、耗氧量、Na</w:t>
            </w:r>
            <w:r>
              <w:rPr>
                <w:color w:val="auto"/>
                <w:sz w:val="24"/>
                <w:szCs w:val="32"/>
                <w:highlight w:val="none"/>
                <w:vertAlign w:val="superscript"/>
                <w:lang w:bidi="ar"/>
              </w:rPr>
              <w:t>+</w:t>
            </w:r>
            <w:r>
              <w:rPr>
                <w:color w:val="auto"/>
                <w:sz w:val="24"/>
                <w:szCs w:val="32"/>
                <w:highlight w:val="none"/>
                <w:lang w:bidi="ar"/>
              </w:rPr>
              <w:t>、铁、锰、砷、汞、硝酸盐、氯化物、氟化物、硫酸盐、</w:t>
            </w:r>
            <w:r>
              <w:rPr>
                <w:rFonts w:hint="eastAsia"/>
                <w:color w:val="auto"/>
                <w:sz w:val="24"/>
                <w:szCs w:val="32"/>
                <w:highlight w:val="none"/>
                <w:lang w:val="en-US" w:eastAsia="zh-CN" w:bidi="ar"/>
              </w:rPr>
              <w:t>菌落总数</w:t>
            </w:r>
            <w:r>
              <w:rPr>
                <w:color w:val="auto"/>
                <w:sz w:val="24"/>
                <w:szCs w:val="32"/>
                <w:highlight w:val="none"/>
                <w:lang w:bidi="ar"/>
              </w:rPr>
              <w:t>、总大肠菌群。</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（2）评价标准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执行《地下水质量标准》（GB/T14848-2017）中Ⅲ类标准。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（3）评价方法</w:t>
            </w:r>
          </w:p>
          <w:p>
            <w:pPr>
              <w:pageBreakBefore w:val="0"/>
              <w:kinsoku/>
              <w:wordWrap/>
              <w:topLinePunct w:val="0"/>
              <w:bidi w:val="0"/>
              <w:spacing w:line="360" w:lineRule="auto"/>
              <w:ind w:left="0" w:leftChars="0" w:right="0" w:rightChars="0" w:firstLine="480" w:firstLineChars="200"/>
              <w:rPr>
                <w:b/>
                <w:bCs/>
                <w:color w:val="auto"/>
                <w:sz w:val="24"/>
                <w:szCs w:val="32"/>
                <w:highlight w:val="none"/>
                <w:lang w:bidi="ar"/>
              </w:rPr>
            </w:pPr>
            <w:r>
              <w:rPr>
                <w:color w:val="auto"/>
                <w:sz w:val="24"/>
                <w:szCs w:val="32"/>
                <w:highlight w:val="none"/>
                <w:lang w:bidi="ar"/>
              </w:rPr>
              <w:t>本次评价采用单项水质指数评价法，计算公式见地表水环境质量现状评价。</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（4）评价结果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采用上述评价方法，各水质评价因子的标准指数见表3-1</w:t>
            </w:r>
            <w:r>
              <w:rPr>
                <w:rFonts w:hint="eastAsia"/>
                <w:color w:val="auto"/>
                <w:sz w:val="24"/>
                <w:szCs w:val="32"/>
                <w:highlight w:val="none"/>
                <w:lang w:val="en-US" w:eastAsia="zh-CN" w:bidi="ar"/>
              </w:rPr>
              <w:t>0</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b/>
                <w:bCs/>
                <w:color w:val="auto"/>
                <w:sz w:val="24"/>
                <w:szCs w:val="24"/>
                <w:highlight w:val="none"/>
              </w:rPr>
            </w:pPr>
            <w:r>
              <w:rPr>
                <w:rFonts w:eastAsia="黑体"/>
                <w:color w:val="auto"/>
                <w:highlight w:val="none"/>
              </w:rPr>
              <w:t>表3-1</w:t>
            </w:r>
            <w:r>
              <w:rPr>
                <w:rFonts w:hint="eastAsia" w:eastAsia="黑体"/>
                <w:color w:val="auto"/>
                <w:highlight w:val="none"/>
                <w:lang w:val="en-US" w:eastAsia="zh-CN"/>
              </w:rPr>
              <w:t>0</w:t>
            </w:r>
            <w:r>
              <w:rPr>
                <w:rFonts w:hint="eastAsia" w:eastAsia="黑体"/>
                <w:color w:val="auto"/>
                <w:highlight w:val="none"/>
              </w:rPr>
              <w:t xml:space="preserve"> </w:t>
            </w:r>
            <w:r>
              <w:rPr>
                <w:rFonts w:eastAsia="黑体"/>
                <w:color w:val="auto"/>
                <w:highlight w:val="none"/>
              </w:rPr>
              <w:t>地下水现状评价结果</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27"/>
              <w:gridCol w:w="1582"/>
              <w:gridCol w:w="1037"/>
              <w:gridCol w:w="2367"/>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lang w:bidi="ar"/>
                    </w:rPr>
                  </w:pPr>
                  <w:r>
                    <w:rPr>
                      <w:b/>
                      <w:bCs/>
                      <w:color w:val="auto"/>
                      <w:highlight w:val="none"/>
                      <w:lang w:bidi="ar"/>
                    </w:rPr>
                    <w:t>检测因子</w:t>
                  </w:r>
                </w:p>
              </w:tc>
              <w:tc>
                <w:tcPr>
                  <w:tcW w:w="614" w:type="pct"/>
                  <w:vAlign w:val="center"/>
                </w:tcPr>
                <w:p>
                  <w:pPr>
                    <w:pStyle w:val="44"/>
                    <w:pageBreakBefore w:val="0"/>
                    <w:kinsoku/>
                    <w:wordWrap/>
                    <w:overflowPunct w:val="0"/>
                    <w:topLinePunct w:val="0"/>
                    <w:bidi w:val="0"/>
                    <w:ind w:left="0" w:leftChars="0" w:right="0" w:rightChars="0"/>
                    <w:jc w:val="center"/>
                    <w:rPr>
                      <w:color w:val="auto"/>
                      <w:highlight w:val="none"/>
                    </w:rPr>
                  </w:pPr>
                  <w:r>
                    <w:rPr>
                      <w:b/>
                      <w:color w:val="auto"/>
                      <w:position w:val="1"/>
                      <w:highlight w:val="none"/>
                    </w:rPr>
                    <w:t>S</w:t>
                  </w:r>
                  <w:r>
                    <w:rPr>
                      <w:b/>
                      <w:color w:val="auto"/>
                      <w:position w:val="-2"/>
                      <w:highlight w:val="none"/>
                    </w:rPr>
                    <w:t>i</w:t>
                  </w:r>
                </w:p>
              </w:tc>
              <w:tc>
                <w:tcPr>
                  <w:tcW w:w="862" w:type="pct"/>
                  <w:vAlign w:val="center"/>
                </w:tcPr>
                <w:p>
                  <w:pPr>
                    <w:pageBreakBefore w:val="0"/>
                    <w:kinsoku/>
                    <w:wordWrap/>
                    <w:topLinePunct w:val="0"/>
                    <w:bidi w:val="0"/>
                    <w:ind w:left="0" w:leftChars="0" w:right="0" w:rightChars="0"/>
                    <w:jc w:val="center"/>
                    <w:rPr>
                      <w:b/>
                      <w:color w:val="auto"/>
                      <w:position w:val="1"/>
                      <w:highlight w:val="none"/>
                    </w:rPr>
                  </w:pPr>
                  <w:r>
                    <w:rPr>
                      <w:b/>
                      <w:bCs/>
                      <w:color w:val="auto"/>
                      <w:highlight w:val="none"/>
                      <w:lang w:bidi="ar"/>
                    </w:rPr>
                    <w:t>检测因子</w:t>
                  </w:r>
                </w:p>
              </w:tc>
              <w:tc>
                <w:tcPr>
                  <w:tcW w:w="565" w:type="pct"/>
                  <w:vAlign w:val="center"/>
                </w:tcPr>
                <w:p>
                  <w:pPr>
                    <w:pStyle w:val="44"/>
                    <w:pageBreakBefore w:val="0"/>
                    <w:kinsoku/>
                    <w:wordWrap/>
                    <w:overflowPunct w:val="0"/>
                    <w:topLinePunct w:val="0"/>
                    <w:bidi w:val="0"/>
                    <w:ind w:left="0" w:leftChars="0" w:right="0" w:rightChars="0"/>
                    <w:jc w:val="center"/>
                    <w:rPr>
                      <w:b/>
                      <w:color w:val="auto"/>
                      <w:position w:val="1"/>
                      <w:highlight w:val="none"/>
                    </w:rPr>
                  </w:pPr>
                  <w:r>
                    <w:rPr>
                      <w:b/>
                      <w:color w:val="auto"/>
                      <w:position w:val="1"/>
                      <w:highlight w:val="none"/>
                    </w:rPr>
                    <w:t>S</w:t>
                  </w:r>
                  <w:r>
                    <w:rPr>
                      <w:b/>
                      <w:color w:val="auto"/>
                      <w:position w:val="-2"/>
                      <w:highlight w:val="none"/>
                    </w:rPr>
                    <w:t>i</w:t>
                  </w:r>
                </w:p>
              </w:tc>
              <w:tc>
                <w:tcPr>
                  <w:tcW w:w="1290" w:type="pct"/>
                  <w:vAlign w:val="center"/>
                </w:tcPr>
                <w:p>
                  <w:pPr>
                    <w:pageBreakBefore w:val="0"/>
                    <w:kinsoku/>
                    <w:wordWrap/>
                    <w:topLinePunct w:val="0"/>
                    <w:bidi w:val="0"/>
                    <w:ind w:left="0" w:leftChars="0" w:right="0" w:rightChars="0"/>
                    <w:jc w:val="center"/>
                    <w:rPr>
                      <w:b/>
                      <w:color w:val="auto"/>
                      <w:position w:val="1"/>
                      <w:highlight w:val="none"/>
                    </w:rPr>
                  </w:pPr>
                  <w:r>
                    <w:rPr>
                      <w:b/>
                      <w:bCs/>
                      <w:color w:val="auto"/>
                      <w:highlight w:val="none"/>
                      <w:lang w:bidi="ar"/>
                    </w:rPr>
                    <w:t>检测因子</w:t>
                  </w:r>
                </w:p>
              </w:tc>
              <w:tc>
                <w:tcPr>
                  <w:tcW w:w="833" w:type="pct"/>
                  <w:vAlign w:val="center"/>
                </w:tcPr>
                <w:p>
                  <w:pPr>
                    <w:pStyle w:val="44"/>
                    <w:pageBreakBefore w:val="0"/>
                    <w:kinsoku/>
                    <w:wordWrap/>
                    <w:overflowPunct w:val="0"/>
                    <w:topLinePunct w:val="0"/>
                    <w:bidi w:val="0"/>
                    <w:ind w:left="0" w:leftChars="0" w:right="0" w:rightChars="0"/>
                    <w:jc w:val="center"/>
                    <w:rPr>
                      <w:b/>
                      <w:color w:val="auto"/>
                      <w:position w:val="1"/>
                      <w:highlight w:val="none"/>
                    </w:rPr>
                  </w:pPr>
                  <w:r>
                    <w:rPr>
                      <w:b/>
                      <w:color w:val="auto"/>
                      <w:position w:val="1"/>
                      <w:highlight w:val="none"/>
                    </w:rPr>
                    <w:t>S</w:t>
                  </w:r>
                  <w:r>
                    <w:rPr>
                      <w:b/>
                      <w:color w:val="auto"/>
                      <w:position w:val="-2"/>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pH（无量纲）</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0.10 </w:t>
                  </w:r>
                </w:p>
              </w:tc>
              <w:tc>
                <w:tcPr>
                  <w:tcW w:w="862" w:type="pct"/>
                  <w:vAlign w:val="center"/>
                </w:tcPr>
                <w:p>
                  <w:pPr>
                    <w:pStyle w:val="42"/>
                    <w:pageBreakBefore w:val="0"/>
                    <w:kinsoku/>
                    <w:wordWrap/>
                    <w:topLinePunct w:val="0"/>
                    <w:bidi w:val="0"/>
                    <w:spacing w:before="0" w:after="0"/>
                    <w:ind w:left="0" w:leftChars="0" w:right="0" w:rightChars="0"/>
                    <w:rPr>
                      <w:rFonts w:cs="Times New Roman"/>
                      <w:bCs/>
                      <w:color w:val="auto"/>
                      <w:sz w:val="21"/>
                      <w:szCs w:val="21"/>
                      <w:highlight w:val="none"/>
                    </w:rPr>
                  </w:pPr>
                  <w:r>
                    <w:rPr>
                      <w:rFonts w:cs="Times New Roman"/>
                      <w:bCs/>
                      <w:color w:val="auto"/>
                      <w:sz w:val="21"/>
                      <w:szCs w:val="21"/>
                      <w:highlight w:val="none"/>
                    </w:rPr>
                    <w:t>溶解性总固体</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0.23 </w:t>
                  </w:r>
                </w:p>
              </w:tc>
              <w:tc>
                <w:tcPr>
                  <w:tcW w:w="1290"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汞</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rPr>
                    <w:t>氨氮</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0.24 </w:t>
                  </w:r>
                </w:p>
              </w:tc>
              <w:tc>
                <w:tcPr>
                  <w:tcW w:w="862" w:type="pct"/>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挥发性酚类</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1290" w:type="pct"/>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硝酸盐</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镉</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0</w:t>
                  </w:r>
                </w:p>
              </w:tc>
              <w:tc>
                <w:tcPr>
                  <w:tcW w:w="862" w:type="pct"/>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color w:val="auto"/>
                      <w:sz w:val="21"/>
                      <w:szCs w:val="21"/>
                      <w:highlight w:val="none"/>
                    </w:rPr>
                    <w:t>氰化物</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129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氯化物（Cl</w:t>
                  </w:r>
                  <w:r>
                    <w:rPr>
                      <w:color w:val="auto"/>
                      <w:highlight w:val="none"/>
                      <w:vertAlign w:val="superscript"/>
                    </w:rPr>
                    <w:t>-</w:t>
                  </w:r>
                  <w:r>
                    <w:rPr>
                      <w:color w:val="auto"/>
                      <w:highlight w:val="none"/>
                    </w:rPr>
                    <w:t>）</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铅</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862"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耗氧量</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0.95 </w:t>
                  </w:r>
                </w:p>
              </w:tc>
              <w:tc>
                <w:tcPr>
                  <w:tcW w:w="1290" w:type="pct"/>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bCs/>
                      <w:color w:val="auto"/>
                      <w:sz w:val="21"/>
                      <w:szCs w:val="21"/>
                      <w:highlight w:val="none"/>
                    </w:rPr>
                    <w:t>氟化物</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亚硝酸盐</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0.01 </w:t>
                  </w:r>
                </w:p>
              </w:tc>
              <w:tc>
                <w:tcPr>
                  <w:tcW w:w="8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铁</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1290" w:type="pct"/>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color w:val="auto"/>
                      <w:sz w:val="21"/>
                      <w:szCs w:val="21"/>
                      <w:highlight w:val="none"/>
                    </w:rPr>
                    <w:t>硫酸盐（SO</w:t>
                  </w:r>
                  <w:r>
                    <w:rPr>
                      <w:rFonts w:cs="Times New Roman"/>
                      <w:color w:val="auto"/>
                      <w:sz w:val="21"/>
                      <w:szCs w:val="21"/>
                      <w:highlight w:val="none"/>
                      <w:vertAlign w:val="subscript"/>
                    </w:rPr>
                    <w:t>4</w:t>
                  </w:r>
                  <w:r>
                    <w:rPr>
                      <w:rFonts w:cs="Times New Roman"/>
                      <w:color w:val="auto"/>
                      <w:sz w:val="21"/>
                      <w:szCs w:val="21"/>
                      <w:highlight w:val="none"/>
                      <w:vertAlign w:val="superscript"/>
                    </w:rPr>
                    <w:t>2-</w:t>
                  </w:r>
                  <w:r>
                    <w:rPr>
                      <w:rFonts w:cs="Times New Roman"/>
                      <w:color w:val="auto"/>
                      <w:sz w:val="21"/>
                      <w:szCs w:val="21"/>
                      <w:highlight w:val="none"/>
                    </w:rPr>
                    <w:t>）</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Style w:val="42"/>
                    <w:pageBreakBefore w:val="0"/>
                    <w:kinsoku/>
                    <w:wordWrap/>
                    <w:topLinePunct w:val="0"/>
                    <w:bidi w:val="0"/>
                    <w:spacing w:before="0" w:after="0"/>
                    <w:ind w:left="0" w:leftChars="0" w:right="0" w:rightChars="0"/>
                    <w:rPr>
                      <w:rFonts w:cs="Times New Roman"/>
                      <w:color w:val="auto"/>
                      <w:sz w:val="21"/>
                      <w:szCs w:val="21"/>
                      <w:highlight w:val="none"/>
                    </w:rPr>
                  </w:pPr>
                  <w:r>
                    <w:rPr>
                      <w:rFonts w:cs="Times New Roman"/>
                      <w:bCs/>
                      <w:color w:val="auto"/>
                      <w:sz w:val="21"/>
                      <w:szCs w:val="21"/>
                      <w:highlight w:val="none"/>
                    </w:rPr>
                    <w:t>六价铬</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8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锰</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1290" w:type="pct"/>
                  <w:vAlign w:val="center"/>
                </w:tcPr>
                <w:p>
                  <w:pPr>
                    <w:pStyle w:val="42"/>
                    <w:pageBreakBefore w:val="0"/>
                    <w:kinsoku/>
                    <w:wordWrap/>
                    <w:topLinePunct w:val="0"/>
                    <w:bidi w:val="0"/>
                    <w:spacing w:before="0" w:after="0"/>
                    <w:ind w:left="0" w:leftChars="0" w:right="0" w:rightChars="0"/>
                    <w:rPr>
                      <w:rFonts w:cs="Times New Roman"/>
                      <w:color w:val="auto"/>
                      <w:kern w:val="0"/>
                      <w:sz w:val="21"/>
                      <w:szCs w:val="21"/>
                      <w:highlight w:val="none"/>
                      <w:lang w:bidi="ar"/>
                    </w:rPr>
                  </w:pPr>
                  <w:r>
                    <w:rPr>
                      <w:rFonts w:cs="Times New Roman"/>
                      <w:bCs/>
                      <w:color w:val="auto"/>
                      <w:sz w:val="21"/>
                      <w:szCs w:val="21"/>
                      <w:highlight w:val="none"/>
                    </w:rPr>
                    <w:t>菌落总数（CFU/mL）</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总硬度</w:t>
                  </w:r>
                </w:p>
              </w:tc>
              <w:tc>
                <w:tcPr>
                  <w:tcW w:w="614"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0.41 </w:t>
                  </w:r>
                </w:p>
              </w:tc>
              <w:tc>
                <w:tcPr>
                  <w:tcW w:w="86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砷</w:t>
                  </w:r>
                </w:p>
              </w:tc>
              <w:tc>
                <w:tcPr>
                  <w:tcW w:w="565"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 xml:space="preserve">0 </w:t>
                  </w:r>
                </w:p>
              </w:tc>
              <w:tc>
                <w:tcPr>
                  <w:tcW w:w="1290"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总大肠菌群（MPN/L）</w:t>
                  </w:r>
                </w:p>
              </w:tc>
              <w:tc>
                <w:tcPr>
                  <w:tcW w:w="833" w:type="pct"/>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0</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评价结果表明，现状监测期间，各项因子均可以满足《地下水质量标准》（GB/T14848-2017）中Ⅲ类标准。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四、声环境质量现状</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为了解区域声环境质量现状，本次环评委托达州恒福环境监测服务有限公司于2023年6月25日对区域声环境进行监测。</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1、监测点位基本信息</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本次环评共设噪声监测点1个，监测点基本信息见下表。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1</w:t>
            </w:r>
            <w:r>
              <w:rPr>
                <w:rFonts w:hint="eastAsia" w:eastAsia="黑体"/>
                <w:color w:val="auto"/>
                <w:highlight w:val="none"/>
              </w:rPr>
              <w:t xml:space="preserve"> </w:t>
            </w:r>
            <w:r>
              <w:rPr>
                <w:rFonts w:eastAsia="黑体"/>
                <w:color w:val="auto"/>
                <w:highlight w:val="none"/>
              </w:rPr>
              <w:t>噪声监测点位表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581"/>
              <w:gridCol w:w="1480"/>
              <w:gridCol w:w="3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检测项目</w:t>
                  </w:r>
                </w:p>
              </w:tc>
              <w:tc>
                <w:tcPr>
                  <w:tcW w:w="140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检测点编号及位置</w:t>
                  </w:r>
                </w:p>
              </w:tc>
              <w:tc>
                <w:tcPr>
                  <w:tcW w:w="806" w:type="pct"/>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检测因子</w:t>
                  </w:r>
                </w:p>
              </w:tc>
              <w:tc>
                <w:tcPr>
                  <w:tcW w:w="1954"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声环境</w:t>
                  </w:r>
                </w:p>
              </w:tc>
              <w:tc>
                <w:tcPr>
                  <w:tcW w:w="140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1#，西侧居民点</w:t>
                  </w:r>
                </w:p>
              </w:tc>
              <w:tc>
                <w:tcPr>
                  <w:tcW w:w="80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L</w:t>
                  </w:r>
                  <w:r>
                    <w:rPr>
                      <w:color w:val="auto"/>
                      <w:highlight w:val="none"/>
                      <w:vertAlign w:val="subscript"/>
                    </w:rPr>
                    <w:t>eq</w:t>
                  </w:r>
                </w:p>
              </w:tc>
              <w:tc>
                <w:tcPr>
                  <w:tcW w:w="195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检测1天，昼间、夜间各检测1次</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2、评价标准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执行《声环境质量标准》（GB3096-2008）2类标准。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3、评价结果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声环境质量现状评价结果见表3-1</w:t>
            </w:r>
            <w:r>
              <w:rPr>
                <w:rFonts w:hint="eastAsia"/>
                <w:color w:val="auto"/>
                <w:sz w:val="24"/>
                <w:szCs w:val="32"/>
                <w:highlight w:val="none"/>
                <w:lang w:val="en-US" w:eastAsia="zh-CN" w:bidi="ar"/>
              </w:rPr>
              <w:t>2</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2</w:t>
            </w:r>
            <w:r>
              <w:rPr>
                <w:rFonts w:hint="eastAsia" w:eastAsia="黑体"/>
                <w:color w:val="auto"/>
                <w:highlight w:val="none"/>
              </w:rPr>
              <w:t xml:space="preserve"> </w:t>
            </w:r>
            <w:r>
              <w:rPr>
                <w:rFonts w:eastAsia="黑体"/>
                <w:color w:val="auto"/>
                <w:highlight w:val="none"/>
              </w:rPr>
              <w:t>声环境质量现状评价结果</w:t>
            </w:r>
          </w:p>
          <w:tbl>
            <w:tblPr>
              <w:tblStyle w:val="23"/>
              <w:tblW w:w="9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90"/>
              <w:gridCol w:w="1905"/>
              <w:gridCol w:w="1245"/>
              <w:gridCol w:w="645"/>
              <w:gridCol w:w="1290"/>
              <w:gridCol w:w="675"/>
              <w:gridCol w:w="1001"/>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09" w:type="dxa"/>
                  <w:vMerge w:val="restart"/>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
                      <w:color w:val="auto"/>
                      <w:sz w:val="21"/>
                      <w:szCs w:val="21"/>
                      <w:highlight w:val="none"/>
                    </w:rPr>
                  </w:pPr>
                  <w:r>
                    <w:rPr>
                      <w:rFonts w:cs="Times New Roman"/>
                      <w:b/>
                      <w:color w:val="auto"/>
                      <w:sz w:val="21"/>
                      <w:szCs w:val="21"/>
                      <w:highlight w:val="none"/>
                    </w:rPr>
                    <w:t>采样日期</w:t>
                  </w:r>
                </w:p>
              </w:tc>
              <w:tc>
                <w:tcPr>
                  <w:tcW w:w="690" w:type="dxa"/>
                  <w:vMerge w:val="restart"/>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
                      <w:color w:val="auto"/>
                      <w:sz w:val="21"/>
                      <w:szCs w:val="21"/>
                      <w:highlight w:val="none"/>
                    </w:rPr>
                  </w:pPr>
                  <w:r>
                    <w:rPr>
                      <w:rFonts w:cs="Times New Roman"/>
                      <w:b/>
                      <w:color w:val="auto"/>
                      <w:sz w:val="21"/>
                      <w:szCs w:val="21"/>
                      <w:highlight w:val="none"/>
                    </w:rPr>
                    <w:t>检测因子</w:t>
                  </w:r>
                </w:p>
              </w:tc>
              <w:tc>
                <w:tcPr>
                  <w:tcW w:w="1905" w:type="dxa"/>
                  <w:vMerge w:val="restart"/>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
                      <w:color w:val="auto"/>
                      <w:sz w:val="21"/>
                      <w:szCs w:val="21"/>
                      <w:highlight w:val="none"/>
                    </w:rPr>
                  </w:pPr>
                  <w:r>
                    <w:rPr>
                      <w:rFonts w:cs="Times New Roman"/>
                      <w:b/>
                      <w:bCs/>
                      <w:color w:val="auto"/>
                      <w:sz w:val="21"/>
                      <w:szCs w:val="21"/>
                      <w:highlight w:val="none"/>
                    </w:rPr>
                    <w:t>检测点编号及位置</w:t>
                  </w:r>
                </w:p>
              </w:tc>
              <w:tc>
                <w:tcPr>
                  <w:tcW w:w="3855" w:type="dxa"/>
                  <w:gridSpan w:val="4"/>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color w:val="auto"/>
                      <w:spacing w:val="-6"/>
                      <w:highlight w:val="none"/>
                    </w:rPr>
                    <w:t>检测时段及检测结果</w:t>
                  </w:r>
                </w:p>
              </w:tc>
              <w:tc>
                <w:tcPr>
                  <w:tcW w:w="1907" w:type="dxa"/>
                  <w:gridSpan w:val="2"/>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bCs/>
                      <w:color w:val="auto"/>
                      <w:highlight w:val="none"/>
                      <w:lang w:bidi="ar"/>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809" w:type="dxa"/>
                  <w:vMerge w:val="continue"/>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p>
              </w:tc>
              <w:tc>
                <w:tcPr>
                  <w:tcW w:w="690" w:type="dxa"/>
                  <w:vMerge w:val="continue"/>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p>
              </w:tc>
              <w:tc>
                <w:tcPr>
                  <w:tcW w:w="1905" w:type="dxa"/>
                  <w:vMerge w:val="continue"/>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
                      <w:color w:val="auto"/>
                      <w:sz w:val="21"/>
                      <w:szCs w:val="21"/>
                      <w:highlight w:val="none"/>
                    </w:rPr>
                  </w:pPr>
                </w:p>
              </w:tc>
              <w:tc>
                <w:tcPr>
                  <w:tcW w:w="1245"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color w:val="auto"/>
                      <w:spacing w:val="-6"/>
                      <w:highlight w:val="none"/>
                    </w:rPr>
                    <w:t>检测时段</w:t>
                  </w:r>
                </w:p>
              </w:tc>
              <w:tc>
                <w:tcPr>
                  <w:tcW w:w="645"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color w:val="auto"/>
                      <w:spacing w:val="-6"/>
                      <w:highlight w:val="none"/>
                    </w:rPr>
                    <w:t>昼间</w:t>
                  </w:r>
                </w:p>
              </w:tc>
              <w:tc>
                <w:tcPr>
                  <w:tcW w:w="1290"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color w:val="auto"/>
                      <w:spacing w:val="-6"/>
                      <w:highlight w:val="none"/>
                    </w:rPr>
                    <w:t>检测时段</w:t>
                  </w:r>
                </w:p>
              </w:tc>
              <w:tc>
                <w:tcPr>
                  <w:tcW w:w="675"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color w:val="auto"/>
                      <w:spacing w:val="-6"/>
                      <w:highlight w:val="none"/>
                    </w:rPr>
                    <w:t>夜间</w:t>
                  </w:r>
                </w:p>
              </w:tc>
              <w:tc>
                <w:tcPr>
                  <w:tcW w:w="1001"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bCs/>
                      <w:color w:val="auto"/>
                      <w:highlight w:val="none"/>
                      <w:lang w:bidi="ar"/>
                    </w:rPr>
                    <w:t>昼间</w:t>
                  </w:r>
                </w:p>
              </w:tc>
              <w:tc>
                <w:tcPr>
                  <w:tcW w:w="906"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
                      <w:color w:val="auto"/>
                      <w:spacing w:val="-6"/>
                      <w:highlight w:val="none"/>
                    </w:rPr>
                  </w:pPr>
                  <w:r>
                    <w:rPr>
                      <w:b/>
                      <w:bCs/>
                      <w:color w:val="auto"/>
                      <w:highlight w:val="none"/>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09"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color w:val="auto"/>
                      <w:highlight w:val="none"/>
                    </w:rPr>
                  </w:pPr>
                  <w:r>
                    <w:rPr>
                      <w:color w:val="auto"/>
                      <w:highlight w:val="none"/>
                    </w:rPr>
                    <w:t>2023.06.25</w:t>
                  </w:r>
                </w:p>
              </w:tc>
              <w:tc>
                <w:tcPr>
                  <w:tcW w:w="690"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Cs/>
                      <w:color w:val="auto"/>
                      <w:kern w:val="0"/>
                      <w:highlight w:val="none"/>
                    </w:rPr>
                  </w:pPr>
                  <w:r>
                    <w:rPr>
                      <w:snapToGrid w:val="0"/>
                      <w:color w:val="auto"/>
                      <w:highlight w:val="none"/>
                    </w:rPr>
                    <w:t>L</w:t>
                  </w:r>
                  <w:r>
                    <w:rPr>
                      <w:snapToGrid w:val="0"/>
                      <w:color w:val="auto"/>
                      <w:highlight w:val="none"/>
                      <w:vertAlign w:val="subscript"/>
                    </w:rPr>
                    <w:t>eq</w:t>
                  </w:r>
                </w:p>
              </w:tc>
              <w:tc>
                <w:tcPr>
                  <w:tcW w:w="1905"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color w:val="auto"/>
                      <w:highlight w:val="none"/>
                    </w:rPr>
                  </w:pPr>
                  <w:r>
                    <w:rPr>
                      <w:color w:val="auto"/>
                      <w:highlight w:val="none"/>
                    </w:rPr>
                    <w:t>1#，西侧居民点</w:t>
                  </w:r>
                </w:p>
              </w:tc>
              <w:tc>
                <w:tcPr>
                  <w:tcW w:w="1245" w:type="dxa"/>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Cs/>
                      <w:color w:val="auto"/>
                      <w:sz w:val="21"/>
                      <w:szCs w:val="21"/>
                      <w:highlight w:val="none"/>
                    </w:rPr>
                  </w:pPr>
                  <w:r>
                    <w:rPr>
                      <w:rFonts w:cs="Times New Roman"/>
                      <w:bCs/>
                      <w:color w:val="auto"/>
                      <w:sz w:val="21"/>
                      <w:szCs w:val="21"/>
                      <w:highlight w:val="none"/>
                    </w:rPr>
                    <w:t>09:07-09:17</w:t>
                  </w:r>
                </w:p>
              </w:tc>
              <w:tc>
                <w:tcPr>
                  <w:tcW w:w="645" w:type="dxa"/>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Cs/>
                      <w:color w:val="auto"/>
                      <w:sz w:val="21"/>
                      <w:szCs w:val="21"/>
                      <w:highlight w:val="none"/>
                    </w:rPr>
                  </w:pPr>
                  <w:r>
                    <w:rPr>
                      <w:rFonts w:cs="Times New Roman"/>
                      <w:bCs/>
                      <w:color w:val="auto"/>
                      <w:sz w:val="21"/>
                      <w:szCs w:val="21"/>
                      <w:highlight w:val="none"/>
                    </w:rPr>
                    <w:t>52</w:t>
                  </w:r>
                </w:p>
              </w:tc>
              <w:tc>
                <w:tcPr>
                  <w:tcW w:w="1290" w:type="dxa"/>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Cs/>
                      <w:color w:val="auto"/>
                      <w:sz w:val="21"/>
                      <w:szCs w:val="21"/>
                      <w:highlight w:val="none"/>
                    </w:rPr>
                  </w:pPr>
                  <w:r>
                    <w:rPr>
                      <w:rFonts w:cs="Times New Roman"/>
                      <w:bCs/>
                      <w:color w:val="auto"/>
                      <w:sz w:val="21"/>
                      <w:szCs w:val="21"/>
                      <w:highlight w:val="none"/>
                    </w:rPr>
                    <w:t>22:00-22:10</w:t>
                  </w:r>
                </w:p>
              </w:tc>
              <w:tc>
                <w:tcPr>
                  <w:tcW w:w="675" w:type="dxa"/>
                  <w:vAlign w:val="center"/>
                </w:tcPr>
                <w:p>
                  <w:pPr>
                    <w:pStyle w:val="42"/>
                    <w:keepNext w:val="0"/>
                    <w:keepLines w:val="0"/>
                    <w:pageBreakBefore w:val="0"/>
                    <w:widowControl w:val="0"/>
                    <w:kinsoku/>
                    <w:wordWrap/>
                    <w:overflowPunct/>
                    <w:topLinePunct w:val="0"/>
                    <w:autoSpaceDE/>
                    <w:autoSpaceDN/>
                    <w:bidi w:val="0"/>
                    <w:adjustRightInd/>
                    <w:snapToGrid w:val="0"/>
                    <w:spacing w:before="0" w:after="0"/>
                    <w:ind w:left="0" w:leftChars="0" w:right="0" w:rightChars="0" w:firstLine="0"/>
                    <w:textAlignment w:val="auto"/>
                    <w:rPr>
                      <w:rFonts w:cs="Times New Roman"/>
                      <w:bCs/>
                      <w:color w:val="auto"/>
                      <w:sz w:val="21"/>
                      <w:szCs w:val="21"/>
                      <w:highlight w:val="none"/>
                    </w:rPr>
                  </w:pPr>
                  <w:r>
                    <w:rPr>
                      <w:rFonts w:cs="Times New Roman"/>
                      <w:bCs/>
                      <w:color w:val="auto"/>
                      <w:sz w:val="21"/>
                      <w:szCs w:val="21"/>
                      <w:highlight w:val="none"/>
                    </w:rPr>
                    <w:t>43</w:t>
                  </w:r>
                </w:p>
              </w:tc>
              <w:tc>
                <w:tcPr>
                  <w:tcW w:w="1001"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Cs/>
                      <w:color w:val="auto"/>
                      <w:highlight w:val="none"/>
                    </w:rPr>
                  </w:pPr>
                  <w:r>
                    <w:rPr>
                      <w:color w:val="auto"/>
                      <w:highlight w:val="none"/>
                      <w:lang w:bidi="ar"/>
                    </w:rPr>
                    <w:t>60</w:t>
                  </w:r>
                </w:p>
              </w:tc>
              <w:tc>
                <w:tcPr>
                  <w:tcW w:w="906" w:type="dxa"/>
                  <w:vAlign w:val="center"/>
                </w:tcPr>
                <w:p>
                  <w:pPr>
                    <w:keepNext w:val="0"/>
                    <w:keepLines w:val="0"/>
                    <w:pageBreakBefore w:val="0"/>
                    <w:widowControl w:val="0"/>
                    <w:kinsoku/>
                    <w:wordWrap/>
                    <w:overflowPunct/>
                    <w:topLinePunct w:val="0"/>
                    <w:autoSpaceDE/>
                    <w:autoSpaceDN/>
                    <w:bidi w:val="0"/>
                    <w:adjustRightInd/>
                    <w:ind w:left="0" w:leftChars="0" w:right="0" w:rightChars="0" w:firstLine="0"/>
                    <w:jc w:val="center"/>
                    <w:textAlignment w:val="auto"/>
                    <w:rPr>
                      <w:bCs/>
                      <w:color w:val="auto"/>
                      <w:highlight w:val="none"/>
                    </w:rPr>
                  </w:pPr>
                  <w:r>
                    <w:rPr>
                      <w:color w:val="auto"/>
                      <w:highlight w:val="none"/>
                      <w:lang w:bidi="ar"/>
                    </w:rPr>
                    <w:t>50</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结果表明，现状监测期间，监测点噪声值均达到《声环境质量标准》（GB3096-2008）2类标准，区域声环境质量良好。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五、土壤环境质量现状</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根据《国民经济行业分类》（GB/T4754-2017）可知，本项目属于“污水处理及再生利用（D4620）”</w:t>
            </w:r>
            <w:r>
              <w:rPr>
                <w:rFonts w:hint="eastAsia"/>
                <w:color w:val="auto"/>
                <w:sz w:val="24"/>
                <w:szCs w:val="32"/>
                <w:highlight w:val="none"/>
                <w:lang w:eastAsia="zh-CN" w:bidi="ar"/>
              </w:rPr>
              <w:t>，</w:t>
            </w:r>
            <w:r>
              <w:rPr>
                <w:rFonts w:hint="eastAsia"/>
                <w:color w:val="auto"/>
                <w:sz w:val="24"/>
                <w:szCs w:val="32"/>
                <w:highlight w:val="none"/>
                <w:lang w:val="en-US" w:eastAsia="zh-CN" w:bidi="ar"/>
              </w:rPr>
              <w:t>存在土壤污染途径，因此</w:t>
            </w:r>
            <w:r>
              <w:rPr>
                <w:color w:val="auto"/>
                <w:sz w:val="24"/>
                <w:szCs w:val="32"/>
                <w:highlight w:val="none"/>
                <w:lang w:bidi="ar"/>
              </w:rPr>
              <w:t>本次环评设</w:t>
            </w:r>
            <w:r>
              <w:rPr>
                <w:rFonts w:hint="eastAsia"/>
                <w:color w:val="auto"/>
                <w:sz w:val="24"/>
                <w:szCs w:val="32"/>
                <w:highlight w:val="none"/>
                <w:lang w:val="en-US" w:eastAsia="zh-CN" w:bidi="ar"/>
              </w:rPr>
              <w:t>土壤</w:t>
            </w:r>
            <w:r>
              <w:rPr>
                <w:color w:val="auto"/>
                <w:sz w:val="24"/>
                <w:szCs w:val="32"/>
                <w:highlight w:val="none"/>
                <w:lang w:bidi="ar"/>
              </w:rPr>
              <w:t>监测点1个</w:t>
            </w:r>
            <w:r>
              <w:rPr>
                <w:rFonts w:hint="eastAsia"/>
                <w:color w:val="auto"/>
                <w:sz w:val="24"/>
                <w:szCs w:val="32"/>
                <w:highlight w:val="none"/>
                <w:lang w:val="en-US" w:eastAsia="zh-CN" w:bidi="ar"/>
              </w:rPr>
              <w:t>作为</w:t>
            </w:r>
            <w:r>
              <w:rPr>
                <w:color w:val="auto"/>
                <w:sz w:val="24"/>
                <w:szCs w:val="32"/>
                <w:highlight w:val="none"/>
                <w:lang w:bidi="ar"/>
              </w:rPr>
              <w:t>背景</w:t>
            </w:r>
            <w:r>
              <w:rPr>
                <w:rFonts w:hint="eastAsia"/>
                <w:color w:val="auto"/>
                <w:sz w:val="24"/>
                <w:szCs w:val="32"/>
                <w:highlight w:val="none"/>
                <w:lang w:val="en-US" w:eastAsia="zh-CN" w:bidi="ar"/>
              </w:rPr>
              <w:t>值</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1、监测点位基本信息</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为了解区域土壤环境质量现状，本次环评委托达州恒福环境监测服务有限公司于2023年6月24日对区域土壤环境进行监测。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本次环评共设土壤监测点1个，监测点基本信息见下表3-1</w:t>
            </w:r>
            <w:r>
              <w:rPr>
                <w:rFonts w:hint="eastAsia"/>
                <w:color w:val="auto"/>
                <w:sz w:val="24"/>
                <w:szCs w:val="32"/>
                <w:highlight w:val="none"/>
                <w:lang w:val="en-US" w:eastAsia="zh-CN" w:bidi="ar"/>
              </w:rPr>
              <w:t>3</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3</w:t>
            </w:r>
            <w:r>
              <w:rPr>
                <w:rFonts w:hint="eastAsia" w:eastAsia="黑体"/>
                <w:color w:val="auto"/>
                <w:highlight w:val="none"/>
              </w:rPr>
              <w:t xml:space="preserve"> </w:t>
            </w:r>
            <w:r>
              <w:rPr>
                <w:rFonts w:eastAsia="黑体"/>
                <w:color w:val="auto"/>
                <w:highlight w:val="none"/>
              </w:rPr>
              <w:t>土壤监测点基本信息表</w:t>
            </w:r>
          </w:p>
          <w:tbl>
            <w:tblPr>
              <w:tblStyle w:val="23"/>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3"/>
              <w:gridCol w:w="932"/>
              <w:gridCol w:w="1004"/>
              <w:gridCol w:w="681"/>
              <w:gridCol w:w="5240"/>
              <w:gridCol w:w="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351"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检测项目</w:t>
                  </w:r>
                </w:p>
              </w:tc>
              <w:tc>
                <w:tcPr>
                  <w:tcW w:w="508"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检测点编号及位置</w:t>
                  </w:r>
                </w:p>
              </w:tc>
              <w:tc>
                <w:tcPr>
                  <w:tcW w:w="547"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经纬度</w:t>
                  </w:r>
                </w:p>
              </w:tc>
              <w:tc>
                <w:tcPr>
                  <w:tcW w:w="371"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采样</w:t>
                  </w:r>
                </w:p>
                <w:p>
                  <w:pPr>
                    <w:pageBreakBefore w:val="0"/>
                    <w:kinsoku/>
                    <w:wordWrap/>
                    <w:topLinePunct w:val="0"/>
                    <w:bidi w:val="0"/>
                    <w:ind w:left="0" w:leftChars="0" w:right="0" w:rightChars="0"/>
                    <w:jc w:val="center"/>
                    <w:rPr>
                      <w:b/>
                      <w:color w:val="auto"/>
                      <w:highlight w:val="none"/>
                    </w:rPr>
                  </w:pPr>
                  <w:r>
                    <w:rPr>
                      <w:b/>
                      <w:color w:val="auto"/>
                      <w:highlight w:val="none"/>
                    </w:rPr>
                    <w:t>类型</w:t>
                  </w:r>
                </w:p>
              </w:tc>
              <w:tc>
                <w:tcPr>
                  <w:tcW w:w="2856" w:type="pct"/>
                  <w:vAlign w:val="center"/>
                </w:tcPr>
                <w:p>
                  <w:pPr>
                    <w:pageBreakBefore w:val="0"/>
                    <w:kinsoku/>
                    <w:wordWrap/>
                    <w:topLinePunct w:val="0"/>
                    <w:bidi w:val="0"/>
                    <w:ind w:left="0" w:leftChars="0" w:right="0" w:rightChars="0"/>
                    <w:jc w:val="center"/>
                    <w:rPr>
                      <w:color w:val="auto"/>
                      <w:highlight w:val="none"/>
                    </w:rPr>
                  </w:pPr>
                  <w:r>
                    <w:rPr>
                      <w:b/>
                      <w:bCs/>
                      <w:color w:val="auto"/>
                      <w:highlight w:val="none"/>
                    </w:rPr>
                    <w:t>检测因子</w:t>
                  </w:r>
                </w:p>
              </w:tc>
              <w:tc>
                <w:tcPr>
                  <w:tcW w:w="364"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检测</w:t>
                  </w:r>
                </w:p>
                <w:p>
                  <w:pPr>
                    <w:pageBreakBefore w:val="0"/>
                    <w:kinsoku/>
                    <w:wordWrap/>
                    <w:topLinePunct w:val="0"/>
                    <w:bidi w:val="0"/>
                    <w:ind w:left="0" w:leftChars="0" w:right="0" w:rightChars="0"/>
                    <w:jc w:val="center"/>
                    <w:rPr>
                      <w:b/>
                      <w:color w:val="auto"/>
                      <w:highlight w:val="none"/>
                    </w:rPr>
                  </w:pPr>
                  <w:r>
                    <w:rPr>
                      <w:b/>
                      <w:color w:val="auto"/>
                      <w:highlight w:val="none"/>
                    </w:rPr>
                    <w:t>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51" w:type="pct"/>
                  <w:vAlign w:val="center"/>
                </w:tcPr>
                <w:p>
                  <w:pPr>
                    <w:pageBreakBefore w:val="0"/>
                    <w:kinsoku/>
                    <w:wordWrap/>
                    <w:topLinePunct w:val="0"/>
                    <w:autoSpaceDE w:val="0"/>
                    <w:bidi w:val="0"/>
                    <w:ind w:left="0" w:leftChars="0" w:right="0" w:rightChars="0"/>
                    <w:jc w:val="center"/>
                    <w:rPr>
                      <w:color w:val="auto"/>
                      <w:highlight w:val="none"/>
                      <w:lang w:bidi="ar"/>
                    </w:rPr>
                  </w:pPr>
                  <w:r>
                    <w:rPr>
                      <w:color w:val="auto"/>
                      <w:highlight w:val="none"/>
                    </w:rPr>
                    <w:t>土壤</w:t>
                  </w:r>
                </w:p>
              </w:tc>
              <w:tc>
                <w:tcPr>
                  <w:tcW w:w="50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T1，二期拟建空地</w:t>
                  </w:r>
                </w:p>
              </w:tc>
              <w:tc>
                <w:tcPr>
                  <w:tcW w:w="54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107.4550°E</w:t>
                  </w:r>
                </w:p>
                <w:p>
                  <w:pPr>
                    <w:pageBreakBefore w:val="0"/>
                    <w:kinsoku/>
                    <w:wordWrap/>
                    <w:topLinePunct w:val="0"/>
                    <w:bidi w:val="0"/>
                    <w:ind w:left="0" w:leftChars="0" w:right="0" w:rightChars="0"/>
                    <w:jc w:val="center"/>
                    <w:rPr>
                      <w:color w:val="auto"/>
                      <w:highlight w:val="none"/>
                    </w:rPr>
                  </w:pPr>
                  <w:r>
                    <w:rPr>
                      <w:color w:val="auto"/>
                      <w:highlight w:val="none"/>
                    </w:rPr>
                    <w:t>30.6817°N</w:t>
                  </w:r>
                </w:p>
              </w:tc>
              <w:tc>
                <w:tcPr>
                  <w:tcW w:w="37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表层样</w:t>
                  </w:r>
                </w:p>
              </w:tc>
              <w:tc>
                <w:tcPr>
                  <w:tcW w:w="2856" w:type="pct"/>
                  <w:vAlign w:val="center"/>
                </w:tcPr>
                <w:p>
                  <w:pPr>
                    <w:pageBreakBefore w:val="0"/>
                    <w:kinsoku/>
                    <w:wordWrap/>
                    <w:topLinePunct w:val="0"/>
                    <w:autoSpaceDE w:val="0"/>
                    <w:bidi w:val="0"/>
                    <w:ind w:left="0" w:leftChars="0" w:right="0" w:rightChars="0"/>
                    <w:jc w:val="center"/>
                    <w:rPr>
                      <w:color w:val="auto"/>
                      <w:highlight w:val="none"/>
                      <w:lang w:bidi="ar"/>
                    </w:rPr>
                  </w:pPr>
                  <w:r>
                    <w:rPr>
                      <w:color w:val="auto"/>
                      <w:kern w:val="0"/>
                      <w:highlight w:val="none"/>
                      <w:lang w:bidi="ar"/>
                    </w:rPr>
                    <w:t>pH、</w:t>
                  </w:r>
                  <w:r>
                    <w:rPr>
                      <w:color w:val="auto"/>
                      <w:highlight w:val="none"/>
                    </w:rPr>
                    <w:t>砷、镉、铬（六价）、铜、铅、汞、镍、四氯化碳、氯仿、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苯并[a]蒽、苯并[a]芘、苯并[b]荧蒽、苯并[k]荧蒽、䓛、二苯并[a,h]蒽、茚并[1,2,3-cd]芘、萘、</w:t>
                  </w:r>
                  <w:r>
                    <w:rPr>
                      <w:bCs/>
                      <w:color w:val="auto"/>
                      <w:highlight w:val="none"/>
                    </w:rPr>
                    <w:t>石油烃（C10-C40）、</w:t>
                  </w:r>
                  <w:r>
                    <w:rPr>
                      <w:color w:val="auto"/>
                      <w:highlight w:val="none"/>
                    </w:rPr>
                    <w:t>氯甲烷*、硝基苯*、苯胺*、2-氯酚*、锌</w:t>
                  </w:r>
                </w:p>
              </w:tc>
              <w:tc>
                <w:tcPr>
                  <w:tcW w:w="364" w:type="pct"/>
                  <w:vAlign w:val="center"/>
                </w:tcPr>
                <w:p>
                  <w:pPr>
                    <w:pageBreakBefore w:val="0"/>
                    <w:kinsoku/>
                    <w:wordWrap/>
                    <w:topLinePunct w:val="0"/>
                    <w:autoSpaceDE w:val="0"/>
                    <w:bidi w:val="0"/>
                    <w:ind w:left="0" w:leftChars="0" w:right="0" w:rightChars="0"/>
                    <w:jc w:val="center"/>
                    <w:rPr>
                      <w:color w:val="auto"/>
                      <w:kern w:val="0"/>
                      <w:highlight w:val="none"/>
                      <w:lang w:bidi="ar"/>
                    </w:rPr>
                  </w:pPr>
                  <w:r>
                    <w:rPr>
                      <w:color w:val="auto"/>
                      <w:highlight w:val="none"/>
                    </w:rPr>
                    <w:t>检测1次</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2、评价标准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执行《土壤环境质量建设用地土壤污染风险管控标准（试行）》（GB36600-2018）中二类用地筛选值。</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3、评价方法</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据HJ964-2018规定，土壤环境质量现状评价采用标准指数法。标准指数&gt;1，表明该因子已超标，标准指数越大，超标越严重。</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土壤现状评价采用单项分指数法评价，公式如下：</w:t>
            </w:r>
          </w:p>
          <w:p>
            <w:pPr>
              <w:pageBreakBefore w:val="0"/>
              <w:kinsoku/>
              <w:wordWrap/>
              <w:topLinePunct w:val="0"/>
              <w:bidi w:val="0"/>
              <w:spacing w:line="360" w:lineRule="auto"/>
              <w:ind w:left="0" w:leftChars="0" w:right="0" w:rightChars="0"/>
              <w:jc w:val="center"/>
              <w:rPr>
                <w:color w:val="auto"/>
                <w:sz w:val="24"/>
                <w:szCs w:val="32"/>
                <w:highlight w:val="none"/>
                <w:lang w:bidi="ar"/>
              </w:rPr>
            </w:pPr>
            <w:r>
              <w:rPr>
                <w:color w:val="auto"/>
                <w:sz w:val="24"/>
                <w:szCs w:val="32"/>
                <w:highlight w:val="none"/>
                <w:lang w:bidi="ar"/>
              </w:rPr>
              <w:t>Ki=Ci/Si</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式中：Ki—第i项参数的分指数；</w:t>
            </w:r>
          </w:p>
          <w:p>
            <w:pPr>
              <w:pageBreakBefore w:val="0"/>
              <w:kinsoku/>
              <w:wordWrap/>
              <w:topLinePunct w:val="0"/>
              <w:bidi w:val="0"/>
              <w:spacing w:line="360" w:lineRule="auto"/>
              <w:ind w:left="0" w:leftChars="0" w:right="0" w:rightChars="0" w:firstLine="1200" w:firstLineChars="500"/>
              <w:rPr>
                <w:color w:val="auto"/>
                <w:sz w:val="24"/>
                <w:szCs w:val="32"/>
                <w:highlight w:val="none"/>
                <w:lang w:bidi="ar"/>
              </w:rPr>
            </w:pPr>
            <w:r>
              <w:rPr>
                <w:color w:val="auto"/>
                <w:sz w:val="24"/>
                <w:szCs w:val="32"/>
                <w:highlight w:val="none"/>
                <w:lang w:bidi="ar"/>
              </w:rPr>
              <w:t>Ci—第i项参数的实测值；</w:t>
            </w:r>
          </w:p>
          <w:p>
            <w:pPr>
              <w:pageBreakBefore w:val="0"/>
              <w:kinsoku/>
              <w:wordWrap/>
              <w:topLinePunct w:val="0"/>
              <w:bidi w:val="0"/>
              <w:spacing w:line="360" w:lineRule="auto"/>
              <w:ind w:left="0" w:leftChars="0" w:right="0" w:rightChars="0" w:firstLine="1200" w:firstLineChars="500"/>
              <w:rPr>
                <w:color w:val="auto"/>
                <w:sz w:val="24"/>
                <w:szCs w:val="32"/>
                <w:highlight w:val="none"/>
                <w:lang w:bidi="ar"/>
              </w:rPr>
            </w:pPr>
            <w:r>
              <w:rPr>
                <w:color w:val="auto"/>
                <w:sz w:val="24"/>
                <w:szCs w:val="32"/>
                <w:highlight w:val="none"/>
                <w:lang w:bidi="ar"/>
              </w:rPr>
              <w:t>Si—第i项参数的标准值。</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4、监测结果及评价结果</w:t>
            </w:r>
          </w:p>
          <w:p>
            <w:pPr>
              <w:pageBreakBefore w:val="0"/>
              <w:kinsoku/>
              <w:wordWrap/>
              <w:topLinePunct w:val="0"/>
              <w:bidi w:val="0"/>
              <w:spacing w:line="360" w:lineRule="auto"/>
              <w:ind w:left="0" w:leftChars="0" w:right="0" w:rightChars="0"/>
              <w:jc w:val="center"/>
              <w:rPr>
                <w:color w:val="auto"/>
                <w:sz w:val="24"/>
                <w:szCs w:val="24"/>
                <w:highlight w:val="none"/>
              </w:rPr>
            </w:pPr>
            <w:r>
              <w:rPr>
                <w:rFonts w:eastAsia="黑体"/>
                <w:color w:val="auto"/>
                <w:highlight w:val="none"/>
              </w:rPr>
              <w:t>表3-1</w:t>
            </w:r>
            <w:r>
              <w:rPr>
                <w:rFonts w:hint="eastAsia" w:eastAsia="黑体"/>
                <w:color w:val="auto"/>
                <w:highlight w:val="none"/>
                <w:lang w:val="en-US" w:eastAsia="zh-CN"/>
              </w:rPr>
              <w:t>4</w:t>
            </w:r>
            <w:r>
              <w:rPr>
                <w:rFonts w:hint="eastAsia" w:eastAsia="黑体"/>
                <w:color w:val="auto"/>
                <w:highlight w:val="none"/>
              </w:rPr>
              <w:t xml:space="preserve"> </w:t>
            </w:r>
            <w:r>
              <w:rPr>
                <w:rFonts w:eastAsia="黑体"/>
                <w:color w:val="auto"/>
                <w:kern w:val="0"/>
                <w:highlight w:val="none"/>
              </w:rPr>
              <w:t>土壤环境质量现状监测及评价结果表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685"/>
              <w:gridCol w:w="3192"/>
              <w:gridCol w:w="1727"/>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2"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采样日期</w:t>
                  </w:r>
                </w:p>
              </w:tc>
              <w:tc>
                <w:tcPr>
                  <w:tcW w:w="918"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检测因子</w:t>
                  </w:r>
                </w:p>
              </w:tc>
              <w:tc>
                <w:tcPr>
                  <w:tcW w:w="1739"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检测点位编号、位置及检测结果</w:t>
                  </w:r>
                </w:p>
              </w:tc>
              <w:tc>
                <w:tcPr>
                  <w:tcW w:w="941" w:type="pct"/>
                  <w:vAlign w:val="center"/>
                </w:tcPr>
                <w:p>
                  <w:pPr>
                    <w:pageBreakBefore w:val="0"/>
                    <w:kinsoku/>
                    <w:wordWrap/>
                    <w:topLinePunct w:val="0"/>
                    <w:bidi w:val="0"/>
                    <w:ind w:left="0" w:leftChars="0" w:right="0" w:rightChars="0"/>
                    <w:jc w:val="center"/>
                    <w:rPr>
                      <w:rFonts w:hint="eastAsia" w:eastAsia="宋体"/>
                      <w:b/>
                      <w:bCs/>
                      <w:color w:val="auto"/>
                      <w:highlight w:val="none"/>
                      <w:lang w:val="en-US" w:eastAsia="zh-CN"/>
                    </w:rPr>
                  </w:pPr>
                  <w:r>
                    <w:rPr>
                      <w:rFonts w:hint="eastAsia"/>
                      <w:b/>
                      <w:bCs/>
                      <w:color w:val="auto"/>
                      <w:highlight w:val="none"/>
                      <w:lang w:val="en-US" w:eastAsia="zh-CN"/>
                    </w:rPr>
                    <w:t>筛选值</w:t>
                  </w:r>
                </w:p>
              </w:tc>
              <w:tc>
                <w:tcPr>
                  <w:tcW w:w="767" w:type="pct"/>
                  <w:vMerge w:val="restart"/>
                  <w:vAlign w:val="center"/>
                </w:tcPr>
                <w:p>
                  <w:pPr>
                    <w:pageBreakBefore w:val="0"/>
                    <w:kinsoku/>
                    <w:wordWrap/>
                    <w:topLinePunct w:val="0"/>
                    <w:bidi w:val="0"/>
                    <w:ind w:left="0" w:leftChars="0" w:right="0" w:rightChars="0"/>
                    <w:jc w:val="center"/>
                    <w:rPr>
                      <w:b/>
                      <w:bCs/>
                      <w:color w:val="auto"/>
                      <w:highlight w:val="none"/>
                    </w:rPr>
                  </w:pPr>
                  <w:r>
                    <w:rPr>
                      <w:b/>
                      <w:color w:val="auto"/>
                      <w:position w:val="1"/>
                      <w:highlight w:val="none"/>
                    </w:rPr>
                    <w:t>S</w:t>
                  </w:r>
                  <w:r>
                    <w:rPr>
                      <w:b/>
                      <w:color w:val="auto"/>
                      <w:position w:val="-2"/>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Merge w:val="continue"/>
                  <w:vAlign w:val="center"/>
                </w:tcPr>
                <w:p>
                  <w:pPr>
                    <w:pageBreakBefore w:val="0"/>
                    <w:kinsoku/>
                    <w:wordWrap/>
                    <w:topLinePunct w:val="0"/>
                    <w:bidi w:val="0"/>
                    <w:ind w:left="0" w:leftChars="0" w:right="0" w:rightChars="0"/>
                    <w:jc w:val="center"/>
                    <w:rPr>
                      <w:b/>
                      <w:bCs/>
                      <w:color w:val="auto"/>
                      <w:highlight w:val="none"/>
                    </w:rPr>
                  </w:pPr>
                </w:p>
              </w:tc>
              <w:tc>
                <w:tcPr>
                  <w:tcW w:w="173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T1</w:t>
                  </w:r>
                  <w:r>
                    <w:rPr>
                      <w:color w:val="auto"/>
                      <w:highlight w:val="none"/>
                    </w:rPr>
                    <w:t>，</w:t>
                  </w:r>
                  <w:r>
                    <w:rPr>
                      <w:color w:val="auto"/>
                      <w:kern w:val="0"/>
                      <w:highlight w:val="none"/>
                    </w:rPr>
                    <w:t>二期拟建空地</w:t>
                  </w:r>
                </w:p>
              </w:tc>
              <w:tc>
                <w:tcPr>
                  <w:tcW w:w="941" w:type="pct"/>
                  <w:vAlign w:val="center"/>
                </w:tcPr>
                <w:p>
                  <w:pPr>
                    <w:pageBreakBefore w:val="0"/>
                    <w:kinsoku/>
                    <w:wordWrap/>
                    <w:topLinePunct w:val="0"/>
                    <w:bidi w:val="0"/>
                    <w:ind w:left="0" w:leftChars="0" w:right="0" w:rightChars="0"/>
                    <w:jc w:val="center"/>
                    <w:rPr>
                      <w:rFonts w:hint="eastAsia" w:eastAsia="宋体"/>
                      <w:bCs/>
                      <w:color w:val="auto"/>
                      <w:highlight w:val="none"/>
                      <w:lang w:val="en-US" w:eastAsia="zh-CN"/>
                    </w:rPr>
                  </w:pPr>
                  <w:r>
                    <w:rPr>
                      <w:rFonts w:hint="eastAsia"/>
                      <w:bCs/>
                      <w:color w:val="auto"/>
                      <w:highlight w:val="none"/>
                      <w:lang w:val="en-US" w:eastAsia="zh-CN"/>
                    </w:rPr>
                    <w:t>第二类用地</w:t>
                  </w:r>
                </w:p>
              </w:tc>
              <w:tc>
                <w:tcPr>
                  <w:tcW w:w="767" w:type="pct"/>
                  <w:vMerge w:val="continue"/>
                  <w:vAlign w:val="center"/>
                </w:tcPr>
                <w:p>
                  <w:pPr>
                    <w:pageBreakBefore w:val="0"/>
                    <w:kinsoku/>
                    <w:wordWrap/>
                    <w:topLinePunct w:val="0"/>
                    <w:bidi w:val="0"/>
                    <w:ind w:left="0" w:leftChars="0" w:right="0" w:rightChars="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restart"/>
                  <w:vAlign w:val="center"/>
                </w:tcPr>
                <w:p>
                  <w:pPr>
                    <w:pageBreakBefore w:val="0"/>
                    <w:kinsoku/>
                    <w:wordWrap/>
                    <w:topLinePunct w:val="0"/>
                    <w:bidi w:val="0"/>
                    <w:ind w:left="0" w:leftChars="0" w:right="0" w:rightChars="0"/>
                    <w:jc w:val="center"/>
                    <w:rPr>
                      <w:color w:val="auto"/>
                      <w:highlight w:val="none"/>
                    </w:rPr>
                  </w:pPr>
                  <w:r>
                    <w:rPr>
                      <w:bCs/>
                      <w:color w:val="auto"/>
                      <w:highlight w:val="none"/>
                    </w:rPr>
                    <w:t>2023.06.24</w:t>
                  </w: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pH（无量纲）</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7.24</w:t>
                  </w:r>
                </w:p>
              </w:tc>
              <w:tc>
                <w:tcPr>
                  <w:tcW w:w="941" w:type="pct"/>
                  <w:vAlign w:val="center"/>
                </w:tcPr>
                <w:p>
                  <w:pPr>
                    <w:pageBreakBefore w:val="0"/>
                    <w:widowControl/>
                    <w:kinsoku/>
                    <w:wordWrap/>
                    <w:topLinePunct w:val="0"/>
                    <w:bidi w:val="0"/>
                    <w:ind w:left="0" w:leftChars="0" w:right="0" w:rightChars="0"/>
                    <w:jc w:val="center"/>
                    <w:textAlignment w:val="top"/>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767" w:type="pct"/>
                  <w:vAlign w:val="center"/>
                </w:tcPr>
                <w:p>
                  <w:pPr>
                    <w:keepNext w:val="0"/>
                    <w:keepLines w:val="0"/>
                    <w:widowControl/>
                    <w:suppressLineNumbers w:val="0"/>
                    <w:jc w:val="center"/>
                    <w:textAlignment w:val="top"/>
                    <w:rPr>
                      <w:rFonts w:hint="eastAsia"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bCs/>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铜</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89</w:t>
                  </w:r>
                </w:p>
              </w:tc>
              <w:tc>
                <w:tcPr>
                  <w:tcW w:w="941" w:type="pct"/>
                  <w:vAlign w:val="center"/>
                </w:tcPr>
                <w:p>
                  <w:pPr>
                    <w:pageBreakBefore w:val="0"/>
                    <w:widowControl/>
                    <w:kinsoku/>
                    <w:wordWrap/>
                    <w:topLinePunct w:val="0"/>
                    <w:bidi w:val="0"/>
                    <w:ind w:left="0" w:leftChars="0" w:right="0" w:rightChars="0"/>
                    <w:jc w:val="center"/>
                    <w:textAlignment w:val="top"/>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18000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铅</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54</w:t>
                  </w:r>
                </w:p>
              </w:tc>
              <w:tc>
                <w:tcPr>
                  <w:tcW w:w="941" w:type="pct"/>
                  <w:vAlign w:val="center"/>
                </w:tcPr>
                <w:p>
                  <w:pPr>
                    <w:pageBreakBefore w:val="0"/>
                    <w:widowControl/>
                    <w:kinsoku/>
                    <w:wordWrap/>
                    <w:topLinePunct w:val="0"/>
                    <w:bidi w:val="0"/>
                    <w:ind w:left="0" w:leftChars="0" w:right="0" w:rightChars="0"/>
                    <w:jc w:val="center"/>
                    <w:textAlignment w:val="top"/>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800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镍</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86</w:t>
                  </w:r>
                </w:p>
              </w:tc>
              <w:tc>
                <w:tcPr>
                  <w:tcW w:w="941" w:type="pct"/>
                  <w:vAlign w:val="center"/>
                </w:tcPr>
                <w:p>
                  <w:pPr>
                    <w:pageBreakBefore w:val="0"/>
                    <w:widowControl/>
                    <w:kinsoku/>
                    <w:wordWrap/>
                    <w:topLinePunct w:val="0"/>
                    <w:bidi w:val="0"/>
                    <w:ind w:left="0" w:leftChars="0" w:right="0" w:rightChars="0"/>
                    <w:jc w:val="center"/>
                    <w:textAlignment w:val="top"/>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900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镉</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0.29</w:t>
                  </w:r>
                </w:p>
              </w:tc>
              <w:tc>
                <w:tcPr>
                  <w:tcW w:w="941" w:type="pct"/>
                  <w:vAlign w:val="center"/>
                </w:tcPr>
                <w:p>
                  <w:pPr>
                    <w:pageBreakBefore w:val="0"/>
                    <w:widowControl/>
                    <w:kinsoku/>
                    <w:wordWrap/>
                    <w:topLinePunct w:val="0"/>
                    <w:bidi w:val="0"/>
                    <w:ind w:left="0" w:leftChars="0" w:right="0" w:rightChars="0"/>
                    <w:jc w:val="center"/>
                    <w:textAlignment w:val="top"/>
                    <w:rPr>
                      <w:rFonts w:hint="default" w:eastAsia="宋体"/>
                      <w:color w:val="auto"/>
                      <w:szCs w:val="21"/>
                      <w:highlight w:val="none"/>
                      <w:lang w:val="en-US" w:eastAsia="zh-CN"/>
                    </w:rPr>
                  </w:pPr>
                  <w:r>
                    <w:rPr>
                      <w:rFonts w:hint="eastAsia"/>
                      <w:color w:val="auto"/>
                      <w:szCs w:val="21"/>
                      <w:highlight w:val="none"/>
                      <w:lang w:val="en-US" w:eastAsia="zh-CN"/>
                    </w:rPr>
                    <w:t>65</w:t>
                  </w:r>
                </w:p>
              </w:tc>
              <w:tc>
                <w:tcPr>
                  <w:tcW w:w="767" w:type="pct"/>
                  <w:vAlign w:val="center"/>
                </w:tcPr>
                <w:p>
                  <w:pPr>
                    <w:keepNext w:val="0"/>
                    <w:keepLines w:val="0"/>
                    <w:widowControl/>
                    <w:suppressLineNumbers w:val="0"/>
                    <w:jc w:val="center"/>
                    <w:textAlignment w:val="top"/>
                    <w:rPr>
                      <w:rFonts w:hint="eastAsia"/>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砷</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2.90</w:t>
                  </w:r>
                </w:p>
              </w:tc>
              <w:tc>
                <w:tcPr>
                  <w:tcW w:w="941" w:type="pct"/>
                  <w:vAlign w:val="center"/>
                </w:tcPr>
                <w:p>
                  <w:pPr>
                    <w:pageBreakBefore w:val="0"/>
                    <w:widowControl/>
                    <w:kinsoku/>
                    <w:wordWrap/>
                    <w:topLinePunct w:val="0"/>
                    <w:bidi w:val="0"/>
                    <w:ind w:left="0" w:leftChars="0" w:right="0" w:rightChars="0"/>
                    <w:jc w:val="center"/>
                    <w:textAlignment w:val="top"/>
                    <w:rPr>
                      <w:rFonts w:hint="default" w:eastAsia="宋体"/>
                      <w:color w:val="auto"/>
                      <w:kern w:val="0"/>
                      <w:szCs w:val="21"/>
                      <w:highlight w:val="none"/>
                      <w:lang w:val="en-US" w:eastAsia="zh-CN"/>
                    </w:rPr>
                  </w:pPr>
                  <w:r>
                    <w:rPr>
                      <w:rFonts w:hint="eastAsia"/>
                      <w:color w:val="auto"/>
                      <w:kern w:val="0"/>
                      <w:szCs w:val="21"/>
                      <w:highlight w:val="none"/>
                      <w:lang w:val="en-US" w:eastAsia="zh-CN"/>
                    </w:rPr>
                    <w:t>60</w:t>
                  </w:r>
                  <w:r>
                    <w:rPr>
                      <w:rFonts w:hint="eastAsia"/>
                      <w:color w:val="auto"/>
                      <w:kern w:val="0"/>
                      <w:szCs w:val="21"/>
                      <w:highlight w:val="none"/>
                      <w:vertAlign w:val="superscript"/>
                      <w:lang w:val="en-US" w:eastAsia="zh-CN"/>
                    </w:rPr>
                    <w:t>a</w:t>
                  </w:r>
                </w:p>
              </w:tc>
              <w:tc>
                <w:tcPr>
                  <w:tcW w:w="767" w:type="pct"/>
                  <w:vAlign w:val="center"/>
                </w:tcPr>
                <w:p>
                  <w:pPr>
                    <w:keepNext w:val="0"/>
                    <w:keepLines w:val="0"/>
                    <w:widowControl/>
                    <w:suppressLineNumbers w:val="0"/>
                    <w:jc w:val="center"/>
                    <w:textAlignment w:val="top"/>
                    <w:rPr>
                      <w:rFonts w:hint="eastAsia"/>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汞</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0.062</w:t>
                  </w:r>
                </w:p>
              </w:tc>
              <w:tc>
                <w:tcPr>
                  <w:tcW w:w="941" w:type="pct"/>
                  <w:vAlign w:val="center"/>
                </w:tcPr>
                <w:p>
                  <w:pPr>
                    <w:pageBreakBefore w:val="0"/>
                    <w:widowControl/>
                    <w:kinsoku/>
                    <w:wordWrap/>
                    <w:topLinePunct w:val="0"/>
                    <w:bidi w:val="0"/>
                    <w:ind w:left="0" w:leftChars="0" w:right="0" w:rightChars="0"/>
                    <w:jc w:val="center"/>
                    <w:textAlignment w:val="top"/>
                    <w:rPr>
                      <w:rFonts w:hint="default" w:eastAsia="宋体"/>
                      <w:color w:val="auto"/>
                      <w:kern w:val="0"/>
                      <w:szCs w:val="21"/>
                      <w:highlight w:val="none"/>
                      <w:lang w:val="en-US" w:eastAsia="zh-CN"/>
                    </w:rPr>
                  </w:pPr>
                  <w:r>
                    <w:rPr>
                      <w:rFonts w:hint="eastAsia"/>
                      <w:color w:val="auto"/>
                      <w:kern w:val="0"/>
                      <w:szCs w:val="21"/>
                      <w:highlight w:val="none"/>
                      <w:lang w:val="en-US" w:eastAsia="zh-CN"/>
                    </w:rPr>
                    <w:t>38</w:t>
                  </w:r>
                </w:p>
              </w:tc>
              <w:tc>
                <w:tcPr>
                  <w:tcW w:w="767" w:type="pct"/>
                  <w:vAlign w:val="center"/>
                </w:tcPr>
                <w:p>
                  <w:pPr>
                    <w:keepNext w:val="0"/>
                    <w:keepLines w:val="0"/>
                    <w:widowControl/>
                    <w:suppressLineNumbers w:val="0"/>
                    <w:jc w:val="center"/>
                    <w:textAlignment w:val="top"/>
                    <w:rPr>
                      <w:rFonts w:hint="eastAsia"/>
                      <w:color w:val="auto"/>
                      <w:kern w:val="0"/>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锌</w:t>
                  </w:r>
                </w:p>
              </w:tc>
              <w:tc>
                <w:tcPr>
                  <w:tcW w:w="1739" w:type="pct"/>
                  <w:vAlign w:val="center"/>
                </w:tcPr>
                <w:p>
                  <w:pPr>
                    <w:pageBreakBefore w:val="0"/>
                    <w:widowControl/>
                    <w:kinsoku/>
                    <w:wordWrap/>
                    <w:topLinePunct w:val="0"/>
                    <w:bidi w:val="0"/>
                    <w:ind w:left="0" w:leftChars="0" w:right="0" w:rightChars="0"/>
                    <w:jc w:val="center"/>
                    <w:textAlignment w:val="top"/>
                    <w:rPr>
                      <w:rFonts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100</w:t>
                  </w:r>
                </w:p>
              </w:tc>
              <w:tc>
                <w:tcPr>
                  <w:tcW w:w="941" w:type="pct"/>
                  <w:vAlign w:val="center"/>
                </w:tcPr>
                <w:p>
                  <w:pPr>
                    <w:pageBreakBefore w:val="0"/>
                    <w:widowControl/>
                    <w:kinsoku/>
                    <w:wordWrap/>
                    <w:topLinePunct w:val="0"/>
                    <w:bidi w:val="0"/>
                    <w:ind w:left="0" w:leftChars="0" w:right="0" w:rightChars="0"/>
                    <w:jc w:val="center"/>
                    <w:textAlignment w:val="top"/>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铬（六价）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5.7</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石油烃</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4500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Style w:val="42"/>
                    <w:pageBreakBefore w:val="0"/>
                    <w:kinsoku/>
                    <w:wordWrap/>
                    <w:topLinePunct w:val="0"/>
                    <w:bidi w:val="0"/>
                    <w:spacing w:before="0" w:after="0"/>
                    <w:ind w:left="0" w:leftChars="0" w:right="0" w:rightChars="0"/>
                    <w:jc w:val="center"/>
                    <w:rPr>
                      <w:rFonts w:cs="Times New Roman"/>
                      <w:color w:val="auto"/>
                      <w:sz w:val="21"/>
                      <w:szCs w:val="21"/>
                      <w:highlight w:val="none"/>
                    </w:rPr>
                  </w:pPr>
                  <w:r>
                    <w:rPr>
                      <w:rFonts w:cs="Times New Roman"/>
                      <w:color w:val="auto"/>
                      <w:sz w:val="21"/>
                      <w:szCs w:val="21"/>
                      <w:highlight w:val="none"/>
                    </w:rPr>
                    <w:t>四氯化碳</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2.8</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氯仿</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0.9</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1,1-二氯乙烷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9</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4"/>
                      <w:highlight w:val="none"/>
                    </w:rPr>
                  </w:pPr>
                  <w:r>
                    <w:rPr>
                      <w:color w:val="auto"/>
                      <w:spacing w:val="-4"/>
                      <w:highlight w:val="none"/>
                    </w:rPr>
                    <w:t>1,2-二氯乙烷，苯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5，4</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1,1-二氯乙烯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66</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8"/>
                      <w:highlight w:val="none"/>
                    </w:rPr>
                  </w:pPr>
                  <w:r>
                    <w:rPr>
                      <w:color w:val="auto"/>
                      <w:spacing w:val="-8"/>
                      <w:highlight w:val="none"/>
                    </w:rPr>
                    <w:t>顺-1,2-二氯乙烯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596</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8"/>
                      <w:highlight w:val="none"/>
                    </w:rPr>
                  </w:pPr>
                  <w:r>
                    <w:rPr>
                      <w:color w:val="auto"/>
                      <w:spacing w:val="-8"/>
                      <w:highlight w:val="none"/>
                    </w:rPr>
                    <w:t>反-1,2-二氯乙烯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54</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8"/>
                      <w:highlight w:val="none"/>
                    </w:rPr>
                  </w:pPr>
                  <w:r>
                    <w:rPr>
                      <w:color w:val="auto"/>
                      <w:highlight w:val="none"/>
                    </w:rPr>
                    <w:t>二氯甲烷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616</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1,2-二氯丙烷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4"/>
                      <w:highlight w:val="none"/>
                    </w:rPr>
                  </w:pPr>
                  <w:r>
                    <w:rPr>
                      <w:color w:val="auto"/>
                      <w:spacing w:val="-4"/>
                      <w:highlight w:val="none"/>
                    </w:rPr>
                    <w:t>1,1,1,2-四氯乙烷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4"/>
                      <w:highlight w:val="none"/>
                    </w:rPr>
                  </w:pPr>
                  <w:r>
                    <w:rPr>
                      <w:color w:val="auto"/>
                      <w:spacing w:val="-4"/>
                      <w:highlight w:val="none"/>
                    </w:rPr>
                    <w:t>1,1,2,2-四氯乙烷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6.8</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四氯乙烯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53</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1,1,1-三氯乙烷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840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1,1,2-三氯乙烷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2.8</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三氯乙烯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2.8</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1,2,3-三氯丙烷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0.43</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氯苯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270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1,2-二氯苯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560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1,4-二氯苯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乙苯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28</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甲苯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1200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间，对二甲苯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570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spacing w:val="-8"/>
                      <w:highlight w:val="none"/>
                    </w:rPr>
                  </w:pPr>
                  <w:r>
                    <w:rPr>
                      <w:color w:val="auto"/>
                      <w:spacing w:val="-8"/>
                      <w:highlight w:val="none"/>
                    </w:rPr>
                    <w:t>邻二甲苯，苯乙烯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640</w:t>
                  </w:r>
                  <w:r>
                    <w:rPr>
                      <w:rFonts w:hint="eastAsia"/>
                      <w:color w:val="auto"/>
                      <w:kern w:val="0"/>
                      <w:szCs w:val="21"/>
                      <w:highlight w:val="none"/>
                      <w:lang w:eastAsia="zh-CN" w:bidi="ar"/>
                    </w:rPr>
                    <w:t>，</w:t>
                  </w:r>
                  <w:r>
                    <w:rPr>
                      <w:rFonts w:hint="eastAsia"/>
                      <w:color w:val="auto"/>
                      <w:kern w:val="0"/>
                      <w:szCs w:val="21"/>
                      <w:highlight w:val="none"/>
                      <w:lang w:val="en-US" w:eastAsia="zh-CN" w:bidi="ar"/>
                    </w:rPr>
                    <w:t>1290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苯并[a]芘</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苯并[b]荧蒽</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苯并[k]荧蒽</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151</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䓛</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1293</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二苯并[a,h]蒽</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茚并[1,2,3-cd]芘</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萘</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70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苯并[a]蒽</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15</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氯甲烷*</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37</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硝基苯*</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76</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苯胺*</w:t>
                  </w:r>
                </w:p>
              </w:tc>
              <w:tc>
                <w:tcPr>
                  <w:tcW w:w="1739"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260</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2" w:type="pct"/>
                  <w:vMerge w:val="continue"/>
                  <w:vAlign w:val="center"/>
                </w:tcPr>
                <w:p>
                  <w:pPr>
                    <w:pageBreakBefore w:val="0"/>
                    <w:kinsoku/>
                    <w:wordWrap/>
                    <w:topLinePunct w:val="0"/>
                    <w:bidi w:val="0"/>
                    <w:ind w:left="0" w:leftChars="0" w:right="0" w:rightChars="0"/>
                    <w:jc w:val="center"/>
                    <w:rPr>
                      <w:color w:val="auto"/>
                      <w:highlight w:val="none"/>
                    </w:rPr>
                  </w:pPr>
                </w:p>
              </w:tc>
              <w:tc>
                <w:tcPr>
                  <w:tcW w:w="918" w:type="pct"/>
                  <w:vAlign w:val="center"/>
                </w:tcPr>
                <w:p>
                  <w:pPr>
                    <w:pageBreakBefore w:val="0"/>
                    <w:kinsoku/>
                    <w:wordWrap/>
                    <w:topLinePunct w:val="0"/>
                    <w:autoSpaceDE w:val="0"/>
                    <w:autoSpaceDN w:val="0"/>
                    <w:bidi w:val="0"/>
                    <w:ind w:left="0" w:leftChars="0" w:right="0" w:rightChars="0"/>
                    <w:jc w:val="center"/>
                    <w:rPr>
                      <w:color w:val="auto"/>
                      <w:highlight w:val="none"/>
                    </w:rPr>
                  </w:pPr>
                  <w:r>
                    <w:rPr>
                      <w:color w:val="auto"/>
                      <w:highlight w:val="none"/>
                    </w:rPr>
                    <w:t>2-氯酚*</w:t>
                  </w:r>
                </w:p>
              </w:tc>
              <w:tc>
                <w:tcPr>
                  <w:tcW w:w="1739" w:type="pct"/>
                  <w:vAlign w:val="center"/>
                </w:tcPr>
                <w:p>
                  <w:pPr>
                    <w:pageBreakBefore w:val="0"/>
                    <w:kinsoku/>
                    <w:wordWrap/>
                    <w:topLinePunct w:val="0"/>
                    <w:bidi w:val="0"/>
                    <w:ind w:left="0" w:leftChars="0" w:right="0" w:rightChars="0"/>
                    <w:jc w:val="center"/>
                    <w:rPr>
                      <w:color w:val="auto"/>
                      <w:kern w:val="0"/>
                      <w:highlight w:val="none"/>
                    </w:rPr>
                  </w:pPr>
                  <w:r>
                    <w:rPr>
                      <w:rFonts w:hint="eastAsia"/>
                      <w:color w:val="auto"/>
                      <w:kern w:val="0"/>
                      <w:szCs w:val="21"/>
                      <w:highlight w:val="none"/>
                      <w:lang w:bidi="ar"/>
                    </w:rPr>
                    <w:t>ND</w:t>
                  </w:r>
                </w:p>
              </w:tc>
              <w:tc>
                <w:tcPr>
                  <w:tcW w:w="941" w:type="pct"/>
                  <w:vAlign w:val="center"/>
                </w:tcPr>
                <w:p>
                  <w:pPr>
                    <w:pageBreakBefore w:val="0"/>
                    <w:kinsoku/>
                    <w:wordWrap/>
                    <w:topLinePunct w:val="0"/>
                    <w:bidi w:val="0"/>
                    <w:ind w:left="0" w:leftChars="0" w:right="0" w:rightChars="0"/>
                    <w:jc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2256</w:t>
                  </w:r>
                </w:p>
              </w:tc>
              <w:tc>
                <w:tcPr>
                  <w:tcW w:w="767" w:type="pct"/>
                  <w:vAlign w:val="center"/>
                </w:tcPr>
                <w:p>
                  <w:pPr>
                    <w:keepNext w:val="0"/>
                    <w:keepLines w:val="0"/>
                    <w:widowControl/>
                    <w:suppressLineNumbers w:val="0"/>
                    <w:jc w:val="center"/>
                    <w:textAlignment w:val="top"/>
                    <w:rPr>
                      <w:rFonts w:hint="eastAsia"/>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结果表明，现状监测期间，厂内各点位各项指标监测结果均可以满足《土壤环境质量建设用地土壤污染风险管控标准（试行）》（GB36600-2018）中二类用地筛选值标准。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六、生态环境现状</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项目二期用地属于已划拨的污水厂内闲置空地</w:t>
            </w:r>
            <w:r>
              <w:rPr>
                <w:rFonts w:hint="eastAsia"/>
                <w:color w:val="auto"/>
                <w:sz w:val="24"/>
                <w:szCs w:val="32"/>
                <w:highlight w:val="none"/>
                <w:lang w:eastAsia="zh-CN" w:bidi="ar"/>
              </w:rPr>
              <w:t>，空地</w:t>
            </w:r>
            <w:r>
              <w:rPr>
                <w:color w:val="auto"/>
                <w:sz w:val="24"/>
                <w:szCs w:val="32"/>
                <w:highlight w:val="none"/>
                <w:lang w:bidi="ar"/>
              </w:rPr>
              <w:t>自然植被少，主要为人工种植的花草树木，人类活动频繁，生态环境质量现状总体尚好。另外，项目区内无大型野生动物及古大珍稀植物，无特殊文物保护单位。因此，区域生态系统敏感程度低。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pageBreakBefore w:val="0"/>
              <w:kinsoku/>
              <w:wordWrap/>
              <w:topLinePunct w:val="0"/>
              <w:bidi w:val="0"/>
              <w:spacing w:line="360" w:lineRule="auto"/>
              <w:ind w:left="0" w:leftChars="0" w:right="0" w:rightChars="0"/>
              <w:jc w:val="center"/>
              <w:rPr>
                <w:color w:val="auto"/>
                <w:sz w:val="24"/>
                <w:szCs w:val="32"/>
                <w:highlight w:val="none"/>
                <w:lang w:bidi="ar"/>
              </w:rPr>
            </w:pPr>
            <w:r>
              <w:rPr>
                <w:color w:val="auto"/>
                <w:sz w:val="24"/>
                <w:szCs w:val="24"/>
                <w:highlight w:val="none"/>
                <w:lang w:bidi="ar"/>
              </w:rPr>
              <w:t>环境保护目标</w:t>
            </w:r>
          </w:p>
        </w:tc>
        <w:tc>
          <w:tcPr>
            <w:tcW w:w="4771" w:type="pct"/>
            <w:vAlign w:val="center"/>
          </w:tcPr>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一、大气环境</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按照《建设项目环境影响报告表编制技术指南污染影响类（试行）》的要求，大气环境应明确厂界外500m范围内的环境保护目标，项目大气环境保护目标见表3-1</w:t>
            </w:r>
            <w:r>
              <w:rPr>
                <w:rFonts w:hint="eastAsia"/>
                <w:color w:val="auto"/>
                <w:sz w:val="24"/>
                <w:szCs w:val="32"/>
                <w:highlight w:val="none"/>
                <w:lang w:val="en-US" w:eastAsia="zh-CN" w:bidi="ar"/>
              </w:rPr>
              <w:t>5</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5</w:t>
            </w:r>
            <w:r>
              <w:rPr>
                <w:rFonts w:hint="eastAsia" w:eastAsia="黑体"/>
                <w:color w:val="auto"/>
                <w:highlight w:val="none"/>
              </w:rPr>
              <w:t xml:space="preserve"> </w:t>
            </w:r>
            <w:r>
              <w:rPr>
                <w:rFonts w:eastAsia="黑体"/>
                <w:color w:val="auto"/>
                <w:highlight w:val="none"/>
              </w:rPr>
              <w:t>主要环境保护目标</w:t>
            </w:r>
          </w:p>
          <w:tbl>
            <w:tblPr>
              <w:tblStyle w:val="24"/>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71"/>
              <w:gridCol w:w="1116"/>
              <w:gridCol w:w="1231"/>
              <w:gridCol w:w="1302"/>
              <w:gridCol w:w="1174"/>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序号</w:t>
                  </w:r>
                </w:p>
              </w:tc>
              <w:tc>
                <w:tcPr>
                  <w:tcW w:w="915"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保护对象</w:t>
                  </w:r>
                </w:p>
              </w:tc>
              <w:tc>
                <w:tcPr>
                  <w:tcW w:w="611"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方位</w:t>
                  </w:r>
                </w:p>
              </w:tc>
              <w:tc>
                <w:tcPr>
                  <w:tcW w:w="674"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距离/m</w:t>
                  </w:r>
                </w:p>
              </w:tc>
              <w:tc>
                <w:tcPr>
                  <w:tcW w:w="71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规模</w:t>
                  </w:r>
                </w:p>
              </w:tc>
              <w:tc>
                <w:tcPr>
                  <w:tcW w:w="64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性质</w:t>
                  </w:r>
                </w:p>
              </w:tc>
              <w:tc>
                <w:tcPr>
                  <w:tcW w:w="104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91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墩子村居民</w:t>
                  </w:r>
                </w:p>
              </w:tc>
              <w:tc>
                <w:tcPr>
                  <w:tcW w:w="6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西北侧</w:t>
                  </w:r>
                </w:p>
              </w:tc>
              <w:tc>
                <w:tcPr>
                  <w:tcW w:w="67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181～500</w:t>
                  </w:r>
                </w:p>
              </w:tc>
              <w:tc>
                <w:tcPr>
                  <w:tcW w:w="71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30户</w:t>
                  </w:r>
                </w:p>
              </w:tc>
              <w:tc>
                <w:tcPr>
                  <w:tcW w:w="64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住宅区</w:t>
                  </w:r>
                </w:p>
              </w:tc>
              <w:tc>
                <w:tcPr>
                  <w:tcW w:w="1043"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91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墩子村居民</w:t>
                  </w:r>
                </w:p>
              </w:tc>
              <w:tc>
                <w:tcPr>
                  <w:tcW w:w="6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东北侧</w:t>
                  </w:r>
                </w:p>
              </w:tc>
              <w:tc>
                <w:tcPr>
                  <w:tcW w:w="67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347～500</w:t>
                  </w:r>
                </w:p>
              </w:tc>
              <w:tc>
                <w:tcPr>
                  <w:tcW w:w="71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20户</w:t>
                  </w:r>
                </w:p>
              </w:tc>
              <w:tc>
                <w:tcPr>
                  <w:tcW w:w="64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住宅区</w:t>
                  </w:r>
                </w:p>
              </w:tc>
              <w:tc>
                <w:tcPr>
                  <w:tcW w:w="1043" w:type="pct"/>
                  <w:vMerge w:val="continue"/>
                  <w:vAlign w:val="center"/>
                </w:tcPr>
                <w:p>
                  <w:pPr>
                    <w:pageBreakBefore w:val="0"/>
                    <w:kinsoku/>
                    <w:wordWrap/>
                    <w:topLinePunct w:val="0"/>
                    <w:bidi w:val="0"/>
                    <w:ind w:left="0" w:leftChars="0" w:right="0" w:rightChars="0"/>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w:t>
                  </w:r>
                </w:p>
              </w:tc>
              <w:tc>
                <w:tcPr>
                  <w:tcW w:w="91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沙湾社区</w:t>
                  </w:r>
                </w:p>
              </w:tc>
              <w:tc>
                <w:tcPr>
                  <w:tcW w:w="6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东南侧</w:t>
                  </w:r>
                </w:p>
              </w:tc>
              <w:tc>
                <w:tcPr>
                  <w:tcW w:w="67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328～500</w:t>
                  </w:r>
                </w:p>
              </w:tc>
              <w:tc>
                <w:tcPr>
                  <w:tcW w:w="71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13户</w:t>
                  </w:r>
                </w:p>
              </w:tc>
              <w:tc>
                <w:tcPr>
                  <w:tcW w:w="64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住宅区</w:t>
                  </w:r>
                </w:p>
              </w:tc>
              <w:tc>
                <w:tcPr>
                  <w:tcW w:w="1043" w:type="pct"/>
                  <w:vMerge w:val="continue"/>
                  <w:vAlign w:val="center"/>
                </w:tcPr>
                <w:p>
                  <w:pPr>
                    <w:pageBreakBefore w:val="0"/>
                    <w:kinsoku/>
                    <w:wordWrap/>
                    <w:topLinePunct w:val="0"/>
                    <w:bidi w:val="0"/>
                    <w:ind w:left="0" w:leftChars="0" w:right="0" w:rightChars="0" w:firstLine="480" w:firstLineChars="200"/>
                    <w:jc w:val="center"/>
                    <w:rPr>
                      <w:color w:val="auto"/>
                      <w:sz w:val="24"/>
                      <w:szCs w:val="32"/>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w:t>
                  </w:r>
                </w:p>
              </w:tc>
              <w:tc>
                <w:tcPr>
                  <w:tcW w:w="91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龙驹坝居民</w:t>
                  </w:r>
                </w:p>
              </w:tc>
              <w:tc>
                <w:tcPr>
                  <w:tcW w:w="6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西南侧</w:t>
                  </w:r>
                </w:p>
              </w:tc>
              <w:tc>
                <w:tcPr>
                  <w:tcW w:w="67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199～500</w:t>
                  </w:r>
                </w:p>
              </w:tc>
              <w:tc>
                <w:tcPr>
                  <w:tcW w:w="71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45户</w:t>
                  </w:r>
                </w:p>
              </w:tc>
              <w:tc>
                <w:tcPr>
                  <w:tcW w:w="64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住宅区</w:t>
                  </w:r>
                </w:p>
              </w:tc>
              <w:tc>
                <w:tcPr>
                  <w:tcW w:w="1043" w:type="pct"/>
                  <w:vMerge w:val="continue"/>
                  <w:vAlign w:val="center"/>
                </w:tcPr>
                <w:p>
                  <w:pPr>
                    <w:pageBreakBefore w:val="0"/>
                    <w:kinsoku/>
                    <w:wordWrap/>
                    <w:topLinePunct w:val="0"/>
                    <w:bidi w:val="0"/>
                    <w:ind w:left="0" w:leftChars="0" w:right="0" w:rightChars="0" w:firstLine="480" w:firstLineChars="200"/>
                    <w:jc w:val="center"/>
                    <w:rPr>
                      <w:color w:val="auto"/>
                      <w:sz w:val="24"/>
                      <w:szCs w:val="32"/>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w:t>
                  </w:r>
                </w:p>
              </w:tc>
              <w:tc>
                <w:tcPr>
                  <w:tcW w:w="91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龙驹坝居民</w:t>
                  </w:r>
                </w:p>
              </w:tc>
              <w:tc>
                <w:tcPr>
                  <w:tcW w:w="61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西侧</w:t>
                  </w:r>
                </w:p>
              </w:tc>
              <w:tc>
                <w:tcPr>
                  <w:tcW w:w="67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w:t>
                  </w:r>
                </w:p>
              </w:tc>
              <w:tc>
                <w:tcPr>
                  <w:tcW w:w="71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8户</w:t>
                  </w:r>
                </w:p>
              </w:tc>
              <w:tc>
                <w:tcPr>
                  <w:tcW w:w="64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住宅区</w:t>
                  </w:r>
                </w:p>
              </w:tc>
              <w:tc>
                <w:tcPr>
                  <w:tcW w:w="1043" w:type="pct"/>
                  <w:vMerge w:val="continue"/>
                  <w:vAlign w:val="center"/>
                </w:tcPr>
                <w:p>
                  <w:pPr>
                    <w:pageBreakBefore w:val="0"/>
                    <w:kinsoku/>
                    <w:wordWrap/>
                    <w:topLinePunct w:val="0"/>
                    <w:bidi w:val="0"/>
                    <w:ind w:left="0" w:leftChars="0" w:right="0" w:rightChars="0" w:firstLine="480" w:firstLineChars="200"/>
                    <w:jc w:val="center"/>
                    <w:rPr>
                      <w:color w:val="auto"/>
                      <w:sz w:val="24"/>
                      <w:szCs w:val="32"/>
                      <w:highlight w:val="none"/>
                      <w:lang w:bidi="ar"/>
                    </w:rPr>
                  </w:pP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二、声环境</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按照《建设项目环境影响报告表编制技术指南污染影响类（试行）》的要求，声环境应明确厂界外50m范围内的环境保护目标，项目声环境保护目标见表3-1</w:t>
            </w:r>
            <w:r>
              <w:rPr>
                <w:rFonts w:hint="eastAsia"/>
                <w:color w:val="auto"/>
                <w:sz w:val="24"/>
                <w:szCs w:val="32"/>
                <w:highlight w:val="none"/>
                <w:lang w:val="en-US" w:eastAsia="zh-CN" w:bidi="ar"/>
              </w:rPr>
              <w:t>6</w:t>
            </w:r>
            <w:r>
              <w:rPr>
                <w:color w:val="auto"/>
                <w:sz w:val="24"/>
                <w:szCs w:val="32"/>
                <w:highlight w:val="none"/>
                <w:lang w:bidi="ar"/>
              </w:rPr>
              <w:t>。</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6</w:t>
            </w:r>
            <w:r>
              <w:rPr>
                <w:rFonts w:hint="eastAsia" w:eastAsia="黑体"/>
                <w:color w:val="auto"/>
                <w:highlight w:val="none"/>
              </w:rPr>
              <w:t xml:space="preserve"> </w:t>
            </w:r>
            <w:r>
              <w:rPr>
                <w:rFonts w:eastAsia="黑体"/>
                <w:color w:val="auto"/>
                <w:highlight w:val="none"/>
              </w:rPr>
              <w:t>厂界外50m范围内声环境保护目标</w:t>
            </w:r>
          </w:p>
          <w:tbl>
            <w:tblPr>
              <w:tblStyle w:val="24"/>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87"/>
              <w:gridCol w:w="835"/>
              <w:gridCol w:w="1092"/>
              <w:gridCol w:w="963"/>
              <w:gridCol w:w="1078"/>
              <w:gridCol w:w="2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序号</w:t>
                  </w:r>
                </w:p>
              </w:tc>
              <w:tc>
                <w:tcPr>
                  <w:tcW w:w="869"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保护对象</w:t>
                  </w:r>
                </w:p>
              </w:tc>
              <w:tc>
                <w:tcPr>
                  <w:tcW w:w="45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方位</w:t>
                  </w:r>
                </w:p>
              </w:tc>
              <w:tc>
                <w:tcPr>
                  <w:tcW w:w="598"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距离/m</w:t>
                  </w:r>
                </w:p>
              </w:tc>
              <w:tc>
                <w:tcPr>
                  <w:tcW w:w="52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规模</w:t>
                  </w:r>
                </w:p>
              </w:tc>
              <w:tc>
                <w:tcPr>
                  <w:tcW w:w="590"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性质</w:t>
                  </w:r>
                </w:p>
              </w:tc>
              <w:tc>
                <w:tcPr>
                  <w:tcW w:w="152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869"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龙驹坝居民</w:t>
                  </w:r>
                </w:p>
              </w:tc>
              <w:tc>
                <w:tcPr>
                  <w:tcW w:w="45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西侧</w:t>
                  </w:r>
                </w:p>
              </w:tc>
              <w:tc>
                <w:tcPr>
                  <w:tcW w:w="59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w:t>
                  </w:r>
                </w:p>
              </w:tc>
              <w:tc>
                <w:tcPr>
                  <w:tcW w:w="52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8户</w:t>
                  </w:r>
                </w:p>
              </w:tc>
              <w:tc>
                <w:tcPr>
                  <w:tcW w:w="590"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住宅区</w:t>
                  </w:r>
                </w:p>
              </w:tc>
              <w:tc>
                <w:tcPr>
                  <w:tcW w:w="152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《声环境质量标准》（GB3096-2008）2类标准</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三、水环境主要环境保护目标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按照《建设项目环境影响报告表编制技术指南污染影响类（试行）》的要求，应明确厂界外500米范围内的地下水集中式饮用水水源和热水、矿泉水、温泉等特殊地下水资源。本项目不涉及地下水环境保护目标。</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7</w:t>
            </w:r>
            <w:r>
              <w:rPr>
                <w:rFonts w:hint="eastAsia" w:eastAsia="黑体"/>
                <w:color w:val="auto"/>
                <w:highlight w:val="none"/>
              </w:rPr>
              <w:t xml:space="preserve"> </w:t>
            </w:r>
            <w:r>
              <w:rPr>
                <w:rFonts w:eastAsia="黑体"/>
                <w:color w:val="auto"/>
                <w:highlight w:val="none"/>
              </w:rPr>
              <w:t>运营期水环境保护目标</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803"/>
              <w:gridCol w:w="735"/>
              <w:gridCol w:w="1064"/>
              <w:gridCol w:w="2252"/>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环境要素</w:t>
                  </w:r>
                </w:p>
              </w:tc>
              <w:tc>
                <w:tcPr>
                  <w:tcW w:w="438"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名称</w:t>
                  </w:r>
                </w:p>
              </w:tc>
              <w:tc>
                <w:tcPr>
                  <w:tcW w:w="401"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方位</w:t>
                  </w:r>
                </w:p>
              </w:tc>
              <w:tc>
                <w:tcPr>
                  <w:tcW w:w="580"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距离/m</w:t>
                  </w:r>
                </w:p>
              </w:tc>
              <w:tc>
                <w:tcPr>
                  <w:tcW w:w="1226"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规模</w:t>
                  </w:r>
                </w:p>
              </w:tc>
              <w:tc>
                <w:tcPr>
                  <w:tcW w:w="1738"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地表水</w:t>
                  </w:r>
                </w:p>
              </w:tc>
              <w:tc>
                <w:tcPr>
                  <w:tcW w:w="43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前河</w:t>
                  </w:r>
                </w:p>
              </w:tc>
              <w:tc>
                <w:tcPr>
                  <w:tcW w:w="40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北侧</w:t>
                  </w:r>
                </w:p>
              </w:tc>
              <w:tc>
                <w:tcPr>
                  <w:tcW w:w="580"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50</w:t>
                  </w:r>
                </w:p>
              </w:tc>
              <w:tc>
                <w:tcPr>
                  <w:tcW w:w="1226" w:type="pct"/>
                  <w:shd w:val="clear" w:color="auto" w:fill="auto"/>
                  <w:vAlign w:val="center"/>
                </w:tcPr>
                <w:p>
                  <w:pPr>
                    <w:pageBreakBefore w:val="0"/>
                    <w:kinsoku/>
                    <w:wordWrap/>
                    <w:topLinePunct w:val="0"/>
                    <w:bidi w:val="0"/>
                    <w:ind w:left="0" w:leftChars="0" w:right="0" w:rightChars="0"/>
                    <w:jc w:val="center"/>
                    <w:rPr>
                      <w:rFonts w:hint="eastAsia" w:eastAsia="宋体"/>
                      <w:color w:val="auto"/>
                      <w:highlight w:val="none"/>
                      <w:lang w:eastAsia="zh-CN" w:bidi="ar"/>
                    </w:rPr>
                  </w:pPr>
                  <w:r>
                    <w:rPr>
                      <w:rStyle w:val="28"/>
                      <w:rFonts w:hint="eastAsia"/>
                      <w:color w:val="auto"/>
                      <w:highlight w:val="none"/>
                      <w:lang w:val="en-US" w:eastAsia="zh-CN"/>
                    </w:rPr>
                    <w:t>中河（南坝水文站年平均流量57.96m</w:t>
                  </w:r>
                  <w:r>
                    <w:rPr>
                      <w:rStyle w:val="28"/>
                      <w:rFonts w:hint="eastAsia"/>
                      <w:color w:val="auto"/>
                      <w:highlight w:val="none"/>
                      <w:vertAlign w:val="superscript"/>
                      <w:lang w:val="en-US" w:eastAsia="zh-CN"/>
                    </w:rPr>
                    <w:t>3</w:t>
                  </w:r>
                  <w:r>
                    <w:rPr>
                      <w:rStyle w:val="28"/>
                      <w:rFonts w:hint="eastAsia"/>
                      <w:color w:val="auto"/>
                      <w:highlight w:val="none"/>
                      <w:lang w:val="en-US" w:eastAsia="zh-CN"/>
                    </w:rPr>
                    <w:t>/s）</w:t>
                  </w:r>
                </w:p>
              </w:tc>
              <w:tc>
                <w:tcPr>
                  <w:tcW w:w="173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地下水</w:t>
                  </w:r>
                </w:p>
              </w:tc>
              <w:tc>
                <w:tcPr>
                  <w:tcW w:w="2647" w:type="pct"/>
                  <w:gridSpan w:val="4"/>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厂界外500m范围内无地下水集中式饮用水水源和热水、矿泉水、温泉等特殊地下水资源</w:t>
                  </w:r>
                </w:p>
              </w:tc>
              <w:tc>
                <w:tcPr>
                  <w:tcW w:w="173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《地下水质量标准》（GB/T14848-2017）Ⅲ类标准</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四、生态环境</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项目不涉及新增用地，不涉及生态保护目标。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污染物排放控制标准</w:t>
            </w:r>
          </w:p>
        </w:tc>
        <w:tc>
          <w:tcPr>
            <w:tcW w:w="4771" w:type="pct"/>
            <w:vAlign w:val="center"/>
          </w:tcPr>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一、废气</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施工期扬尘执行《四川省施工场地扬尘排放标准》（DB51/2682-2020），具体见下表。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表3-1</w:t>
            </w:r>
            <w:r>
              <w:rPr>
                <w:rFonts w:hint="eastAsia" w:eastAsia="黑体"/>
                <w:color w:val="auto"/>
                <w:highlight w:val="none"/>
                <w:lang w:val="en-US" w:eastAsia="zh-CN"/>
              </w:rPr>
              <w:t>8</w:t>
            </w:r>
            <w:r>
              <w:rPr>
                <w:rFonts w:hint="eastAsia" w:eastAsia="黑体"/>
                <w:color w:val="auto"/>
                <w:highlight w:val="none"/>
              </w:rPr>
              <w:t xml:space="preserve"> </w:t>
            </w:r>
            <w:r>
              <w:rPr>
                <w:rFonts w:eastAsia="黑体"/>
                <w:color w:val="auto"/>
                <w:highlight w:val="none"/>
              </w:rPr>
              <w:t>施工场地扬尘排放限值</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306"/>
              <w:gridCol w:w="3147"/>
              <w:gridCol w:w="2703"/>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387"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序号</w:t>
                  </w:r>
                </w:p>
              </w:tc>
              <w:tc>
                <w:tcPr>
                  <w:tcW w:w="711"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污染物</w:t>
                  </w:r>
                </w:p>
              </w:tc>
              <w:tc>
                <w:tcPr>
                  <w:tcW w:w="1714"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施工阶段</w:t>
                  </w:r>
                </w:p>
              </w:tc>
              <w:tc>
                <w:tcPr>
                  <w:tcW w:w="1472"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监测点排放限值（mg/m</w:t>
                  </w:r>
                  <w:r>
                    <w:rPr>
                      <w:b/>
                      <w:bCs/>
                      <w:color w:val="auto"/>
                      <w:highlight w:val="none"/>
                      <w:vertAlign w:val="superscript"/>
                      <w:lang w:bidi="ar"/>
                    </w:rPr>
                    <w:t>3</w:t>
                  </w:r>
                  <w:r>
                    <w:rPr>
                      <w:b/>
                      <w:bCs/>
                      <w:color w:val="auto"/>
                      <w:highlight w:val="none"/>
                      <w:lang w:bidi="ar"/>
                    </w:rPr>
                    <w:t>）</w:t>
                  </w:r>
                </w:p>
              </w:tc>
              <w:tc>
                <w:tcPr>
                  <w:tcW w:w="713" w:type="pct"/>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711"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总悬浮颗粒物（TSP）</w:t>
                  </w:r>
                </w:p>
              </w:tc>
              <w:tc>
                <w:tcPr>
                  <w:tcW w:w="171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拆除过程/土方开挖/土方回填</w:t>
                  </w:r>
                </w:p>
              </w:tc>
              <w:tc>
                <w:tcPr>
                  <w:tcW w:w="1472"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0.600</w:t>
                  </w:r>
                </w:p>
              </w:tc>
              <w:tc>
                <w:tcPr>
                  <w:tcW w:w="713" w:type="pct"/>
                  <w:vMerge w:val="restar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自监测起持续15min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711" w:type="pct"/>
                  <w:vMerge w:val="continue"/>
                  <w:vAlign w:val="center"/>
                </w:tcPr>
                <w:p>
                  <w:pPr>
                    <w:pageBreakBefore w:val="0"/>
                    <w:kinsoku/>
                    <w:wordWrap/>
                    <w:topLinePunct w:val="0"/>
                    <w:bidi w:val="0"/>
                    <w:ind w:left="0" w:leftChars="0" w:right="0" w:rightChars="0"/>
                    <w:jc w:val="center"/>
                    <w:rPr>
                      <w:color w:val="auto"/>
                      <w:highlight w:val="none"/>
                      <w:lang w:bidi="ar"/>
                    </w:rPr>
                  </w:pPr>
                </w:p>
              </w:tc>
              <w:tc>
                <w:tcPr>
                  <w:tcW w:w="171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其他过程阶段</w:t>
                  </w:r>
                </w:p>
              </w:tc>
              <w:tc>
                <w:tcPr>
                  <w:tcW w:w="1472"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0.250</w:t>
                  </w:r>
                </w:p>
              </w:tc>
              <w:tc>
                <w:tcPr>
                  <w:tcW w:w="713" w:type="pct"/>
                  <w:vMerge w:val="continue"/>
                  <w:vAlign w:val="center"/>
                </w:tcPr>
                <w:p>
                  <w:pPr>
                    <w:pageBreakBefore w:val="0"/>
                    <w:kinsoku/>
                    <w:wordWrap/>
                    <w:topLinePunct w:val="0"/>
                    <w:bidi w:val="0"/>
                    <w:ind w:left="0" w:leftChars="0" w:right="0" w:rightChars="0" w:firstLine="480" w:firstLineChars="200"/>
                    <w:rPr>
                      <w:color w:val="auto"/>
                      <w:sz w:val="24"/>
                      <w:szCs w:val="32"/>
                      <w:highlight w:val="none"/>
                      <w:lang w:bidi="ar"/>
                    </w:rPr>
                  </w:pP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运营期氨、硫化氢、臭气浓度厂界浓度执行《城镇污水处理厂污染物排放标准》（GB18918-2002）及其修改单厂界（防护带边缘）表4中二级标准，运营期食堂油烟参照执行《饮食业油烟排放标准（试行）》（GB18483-2001）中标准值。具体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w:t>
            </w:r>
            <w:r>
              <w:rPr>
                <w:rFonts w:hint="eastAsia" w:eastAsia="黑体"/>
                <w:color w:val="auto"/>
                <w:highlight w:val="none"/>
                <w:lang w:val="en-US" w:eastAsia="zh-CN"/>
              </w:rPr>
              <w:t>19</w:t>
            </w:r>
            <w:r>
              <w:rPr>
                <w:rFonts w:hint="eastAsia" w:eastAsia="黑体"/>
                <w:color w:val="auto"/>
                <w:highlight w:val="none"/>
              </w:rPr>
              <w:t xml:space="preserve"> </w:t>
            </w:r>
            <w:r>
              <w:rPr>
                <w:rFonts w:eastAsia="黑体"/>
                <w:color w:val="auto"/>
                <w:highlight w:val="none"/>
              </w:rPr>
              <w:t>运营期大气污染物排放限值</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1741"/>
              <w:gridCol w:w="1800"/>
              <w:gridCol w:w="1941"/>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排放标准</w:t>
                  </w:r>
                </w:p>
              </w:tc>
              <w:tc>
                <w:tcPr>
                  <w:tcW w:w="949"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氨（mg/m</w:t>
                  </w:r>
                  <w:r>
                    <w:rPr>
                      <w:b/>
                      <w:bCs/>
                      <w:color w:val="auto"/>
                      <w:highlight w:val="none"/>
                      <w:vertAlign w:val="superscript"/>
                      <w:lang w:bidi="ar"/>
                    </w:rPr>
                    <w:t>3</w:t>
                  </w:r>
                  <w:r>
                    <w:rPr>
                      <w:b/>
                      <w:bCs/>
                      <w:color w:val="auto"/>
                      <w:highlight w:val="none"/>
                      <w:lang w:bidi="ar"/>
                    </w:rPr>
                    <w:t>）</w:t>
                  </w:r>
                </w:p>
              </w:tc>
              <w:tc>
                <w:tcPr>
                  <w:tcW w:w="981"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硫化氢（mg/m</w:t>
                  </w:r>
                  <w:r>
                    <w:rPr>
                      <w:b/>
                      <w:bCs/>
                      <w:color w:val="auto"/>
                      <w:highlight w:val="none"/>
                      <w:vertAlign w:val="superscript"/>
                      <w:lang w:bidi="ar"/>
                    </w:rPr>
                    <w:t>3</w:t>
                  </w:r>
                  <w:r>
                    <w:rPr>
                      <w:b/>
                      <w:bCs/>
                      <w:color w:val="auto"/>
                      <w:highlight w:val="none"/>
                      <w:lang w:bidi="ar"/>
                    </w:rPr>
                    <w:t>）</w:t>
                  </w:r>
                </w:p>
              </w:tc>
              <w:tc>
                <w:tcPr>
                  <w:tcW w:w="1058"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臭气浓度（无量纲）</w:t>
                  </w:r>
                </w:p>
              </w:tc>
              <w:tc>
                <w:tcPr>
                  <w:tcW w:w="939"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甲烷（厂区最高体积浓度%）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GB18918-2002二级标准</w:t>
                  </w:r>
                </w:p>
              </w:tc>
              <w:tc>
                <w:tcPr>
                  <w:tcW w:w="94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1.5</w:t>
                  </w:r>
                </w:p>
              </w:tc>
              <w:tc>
                <w:tcPr>
                  <w:tcW w:w="981"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0.06</w:t>
                  </w:r>
                </w:p>
              </w:tc>
              <w:tc>
                <w:tcPr>
                  <w:tcW w:w="105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w:t>
                  </w:r>
                </w:p>
              </w:tc>
              <w:tc>
                <w:tcPr>
                  <w:tcW w:w="93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r>
          </w:tbl>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表3-2</w:t>
            </w:r>
            <w:r>
              <w:rPr>
                <w:rFonts w:hint="eastAsia" w:eastAsia="黑体"/>
                <w:color w:val="auto"/>
                <w:highlight w:val="none"/>
                <w:lang w:val="en-US" w:eastAsia="zh-CN"/>
              </w:rPr>
              <w:t>0</w:t>
            </w:r>
            <w:r>
              <w:rPr>
                <w:rFonts w:hint="eastAsia" w:eastAsia="黑体"/>
                <w:color w:val="auto"/>
                <w:highlight w:val="none"/>
              </w:rPr>
              <w:t xml:space="preserve"> </w:t>
            </w:r>
            <w:r>
              <w:rPr>
                <w:rFonts w:eastAsia="黑体"/>
                <w:color w:val="auto"/>
                <w:highlight w:val="none"/>
              </w:rPr>
              <w:t>油烟排放标准</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2122"/>
              <w:gridCol w:w="2122"/>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规模</w:t>
                  </w:r>
                </w:p>
              </w:tc>
              <w:tc>
                <w:tcPr>
                  <w:tcW w:w="1157"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小型</w:t>
                  </w:r>
                </w:p>
              </w:tc>
              <w:tc>
                <w:tcPr>
                  <w:tcW w:w="1157"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中型</w:t>
                  </w:r>
                </w:p>
              </w:tc>
              <w:tc>
                <w:tcPr>
                  <w:tcW w:w="1157" w:type="pct"/>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highlight w:val="none"/>
                      <w:lang w:bidi="ar"/>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最高运行排放浓度（mg/m</w:t>
                  </w:r>
                  <w:r>
                    <w:rPr>
                      <w:color w:val="auto"/>
                      <w:highlight w:val="none"/>
                      <w:vertAlign w:val="superscript"/>
                      <w:lang w:bidi="ar"/>
                    </w:rPr>
                    <w:t>3</w:t>
                  </w:r>
                  <w:r>
                    <w:rPr>
                      <w:color w:val="auto"/>
                      <w:highlight w:val="none"/>
                      <w:lang w:bidi="ar"/>
                    </w:rPr>
                    <w:t>）</w:t>
                  </w:r>
                </w:p>
              </w:tc>
              <w:tc>
                <w:tcPr>
                  <w:tcW w:w="3471" w:type="pct"/>
                  <w:gridSpan w:val="3"/>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精华设施最低去除效率（%）</w:t>
                  </w:r>
                </w:p>
              </w:tc>
              <w:tc>
                <w:tcPr>
                  <w:tcW w:w="115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60</w:t>
                  </w:r>
                </w:p>
              </w:tc>
              <w:tc>
                <w:tcPr>
                  <w:tcW w:w="115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75</w:t>
                  </w:r>
                </w:p>
              </w:tc>
              <w:tc>
                <w:tcPr>
                  <w:tcW w:w="115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85</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二、废水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污水排放执行《城镇污水处理厂污染物排放标准》（GB18918-2002）中水污染物排放标准的一级A标准，具体见下表。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表3-2</w:t>
            </w:r>
            <w:r>
              <w:rPr>
                <w:rFonts w:hint="eastAsia" w:eastAsia="黑体"/>
                <w:color w:val="auto"/>
                <w:highlight w:val="none"/>
                <w:lang w:val="en-US" w:eastAsia="zh-CN"/>
              </w:rPr>
              <w:t>1</w:t>
            </w:r>
            <w:r>
              <w:rPr>
                <w:rFonts w:hint="eastAsia" w:eastAsia="黑体"/>
                <w:color w:val="auto"/>
                <w:highlight w:val="none"/>
              </w:rPr>
              <w:t xml:space="preserve"> </w:t>
            </w:r>
            <w:r>
              <w:rPr>
                <w:rFonts w:eastAsia="黑体"/>
                <w:color w:val="auto"/>
                <w:highlight w:val="none"/>
              </w:rPr>
              <w:t>城镇污水处理厂污染物排放标准（一级A标）（mg/L，pH除外）</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8"/>
              <w:gridCol w:w="707"/>
              <w:gridCol w:w="809"/>
              <w:gridCol w:w="942"/>
              <w:gridCol w:w="883"/>
              <w:gridCol w:w="1345"/>
              <w:gridCol w:w="938"/>
              <w:gridCol w:w="938"/>
              <w:gridCol w:w="16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7" w:type="pct"/>
                  <w:tcBorders>
                    <w:top w:val="single" w:color="auto" w:sz="4" w:space="0"/>
                    <w:left w:val="single" w:color="auto" w:sz="4"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项目</w:t>
                  </w:r>
                </w:p>
              </w:tc>
              <w:tc>
                <w:tcPr>
                  <w:tcW w:w="385"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pH</w:t>
                  </w:r>
                </w:p>
              </w:tc>
              <w:tc>
                <w:tcPr>
                  <w:tcW w:w="441"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COD</w:t>
                  </w:r>
                </w:p>
              </w:tc>
              <w:tc>
                <w:tcPr>
                  <w:tcW w:w="513"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BOD</w:t>
                  </w:r>
                  <w:r>
                    <w:rPr>
                      <w:b/>
                      <w:bCs/>
                      <w:color w:val="auto"/>
                      <w:highlight w:val="none"/>
                      <w:vertAlign w:val="subscript"/>
                      <w:lang w:bidi="ar"/>
                    </w:rPr>
                    <w:t>5</w:t>
                  </w:r>
                </w:p>
              </w:tc>
              <w:tc>
                <w:tcPr>
                  <w:tcW w:w="481"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SS</w:t>
                  </w:r>
                </w:p>
              </w:tc>
              <w:tc>
                <w:tcPr>
                  <w:tcW w:w="733" w:type="pct"/>
                  <w:tcBorders>
                    <w:top w:val="single" w:color="auto" w:sz="4" w:space="0"/>
                    <w:left w:val="single" w:color="auto" w:sz="6" w:space="0"/>
                    <w:bottom w:val="single" w:color="auto" w:sz="6" w:space="0"/>
                    <w:right w:val="single" w:color="auto" w:sz="4"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NH</w:t>
                  </w:r>
                  <w:r>
                    <w:rPr>
                      <w:b/>
                      <w:bCs/>
                      <w:color w:val="auto"/>
                      <w:highlight w:val="none"/>
                      <w:vertAlign w:val="subscript"/>
                      <w:lang w:bidi="ar"/>
                    </w:rPr>
                    <w:t>3</w:t>
                  </w:r>
                  <w:r>
                    <w:rPr>
                      <w:b/>
                      <w:bCs/>
                      <w:color w:val="auto"/>
                      <w:highlight w:val="none"/>
                      <w:lang w:bidi="ar"/>
                    </w:rPr>
                    <w:t>-N</w:t>
                  </w:r>
                </w:p>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（以N计）</w:t>
                  </w:r>
                </w:p>
              </w:tc>
              <w:tc>
                <w:tcPr>
                  <w:tcW w:w="511"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TN</w:t>
                  </w:r>
                </w:p>
              </w:tc>
              <w:tc>
                <w:tcPr>
                  <w:tcW w:w="511"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TP</w:t>
                  </w:r>
                </w:p>
              </w:tc>
              <w:tc>
                <w:tcPr>
                  <w:tcW w:w="905" w:type="pct"/>
                  <w:tcBorders>
                    <w:top w:val="single" w:color="auto" w:sz="4" w:space="0"/>
                    <w:left w:val="single" w:color="auto" w:sz="6" w:space="0"/>
                    <w:bottom w:val="single" w:color="auto" w:sz="6" w:space="0"/>
                    <w:right w:val="single" w:color="auto" w:sz="6" w:space="0"/>
                  </w:tcBorders>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粪大肠菌群数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7" w:type="pct"/>
                  <w:tcBorders>
                    <w:top w:val="single" w:color="auto" w:sz="6" w:space="0"/>
                    <w:left w:val="single" w:color="auto" w:sz="4"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标准值</w:t>
                  </w:r>
                </w:p>
              </w:tc>
              <w:tc>
                <w:tcPr>
                  <w:tcW w:w="385"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6～9</w:t>
                  </w:r>
                </w:p>
              </w:tc>
              <w:tc>
                <w:tcPr>
                  <w:tcW w:w="441"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≤50</w:t>
                  </w:r>
                </w:p>
              </w:tc>
              <w:tc>
                <w:tcPr>
                  <w:tcW w:w="513"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≤10</w:t>
                  </w:r>
                </w:p>
              </w:tc>
              <w:tc>
                <w:tcPr>
                  <w:tcW w:w="481"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≤10</w:t>
                  </w:r>
                </w:p>
              </w:tc>
              <w:tc>
                <w:tcPr>
                  <w:tcW w:w="733" w:type="pct"/>
                  <w:tcBorders>
                    <w:top w:val="single" w:color="auto" w:sz="6" w:space="0"/>
                    <w:left w:val="single" w:color="auto" w:sz="6" w:space="0"/>
                    <w:bottom w:val="single" w:color="auto" w:sz="4" w:space="0"/>
                    <w:right w:val="single" w:color="auto" w:sz="4"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≤5（8）</w:t>
                  </w:r>
                </w:p>
              </w:tc>
              <w:tc>
                <w:tcPr>
                  <w:tcW w:w="511"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≤15</w:t>
                  </w:r>
                </w:p>
              </w:tc>
              <w:tc>
                <w:tcPr>
                  <w:tcW w:w="511"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≤0.5</w:t>
                  </w:r>
                </w:p>
              </w:tc>
              <w:tc>
                <w:tcPr>
                  <w:tcW w:w="905" w:type="pct"/>
                  <w:tcBorders>
                    <w:top w:val="single" w:color="auto" w:sz="6" w:space="0"/>
                    <w:left w:val="single" w:color="auto" w:sz="6" w:space="0"/>
                    <w:bottom w:val="single" w:color="auto" w:sz="4" w:space="0"/>
                    <w:right w:val="single" w:color="auto" w:sz="6" w:space="0"/>
                  </w:tcBorders>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1000</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三、噪声</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施工期执行《建筑施工场界环境噪声排放标准》（GB12523-2011），运营期执行《工业企业厂界环境噪声排放标准》（GB12348-2008）2类标准，具体见下表。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表3-2</w:t>
            </w:r>
            <w:r>
              <w:rPr>
                <w:rFonts w:hint="eastAsia" w:eastAsia="黑体"/>
                <w:color w:val="auto"/>
                <w:highlight w:val="none"/>
                <w:lang w:val="en-US" w:eastAsia="zh-CN"/>
              </w:rPr>
              <w:t>2</w:t>
            </w:r>
            <w:r>
              <w:rPr>
                <w:rFonts w:hint="eastAsia" w:eastAsia="黑体"/>
                <w:color w:val="auto"/>
                <w:highlight w:val="none"/>
              </w:rPr>
              <w:t xml:space="preserve"> </w:t>
            </w:r>
            <w:r>
              <w:rPr>
                <w:rFonts w:eastAsia="黑体"/>
                <w:color w:val="auto"/>
                <w:highlight w:val="none"/>
              </w:rPr>
              <w:t>噪声排放标准限值</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7"/>
              <w:gridCol w:w="2570"/>
              <w:gridCol w:w="2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2" w:type="pct"/>
                  <w:shd w:val="clear" w:color="auto" w:fill="auto"/>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项目</w:t>
                  </w:r>
                </w:p>
              </w:tc>
              <w:tc>
                <w:tcPr>
                  <w:tcW w:w="1400" w:type="pct"/>
                  <w:shd w:val="clear" w:color="auto" w:fill="auto"/>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昼间</w:t>
                  </w:r>
                </w:p>
              </w:tc>
              <w:tc>
                <w:tcPr>
                  <w:tcW w:w="1606" w:type="pct"/>
                  <w:shd w:val="clear" w:color="auto" w:fill="auto"/>
                  <w:vAlign w:val="center"/>
                </w:tcPr>
                <w:p>
                  <w:pPr>
                    <w:pageBreakBefore w:val="0"/>
                    <w:kinsoku/>
                    <w:wordWrap/>
                    <w:topLinePunct w:val="0"/>
                    <w:bidi w:val="0"/>
                    <w:spacing w:line="360" w:lineRule="auto"/>
                    <w:ind w:left="0" w:leftChars="0" w:right="0" w:rightChars="0"/>
                    <w:jc w:val="center"/>
                    <w:rPr>
                      <w:b/>
                      <w:bCs/>
                      <w:color w:val="auto"/>
                      <w:highlight w:val="none"/>
                      <w:lang w:bidi="ar"/>
                    </w:rPr>
                  </w:pPr>
                  <w:r>
                    <w:rPr>
                      <w:b/>
                      <w:bCs/>
                      <w:color w:val="auto"/>
                      <w:highlight w:val="none"/>
                      <w:lang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2" w:type="pct"/>
                  <w:shd w:val="clear" w:color="auto" w:fill="auto"/>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施工期排放限值〔dB（A）〕</w:t>
                  </w:r>
                </w:p>
              </w:tc>
              <w:tc>
                <w:tcPr>
                  <w:tcW w:w="1400" w:type="pct"/>
                  <w:shd w:val="clear" w:color="auto" w:fill="auto"/>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70</w:t>
                  </w:r>
                </w:p>
              </w:tc>
              <w:tc>
                <w:tcPr>
                  <w:tcW w:w="1606" w:type="pct"/>
                  <w:shd w:val="clear" w:color="auto" w:fill="auto"/>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2" w:type="pct"/>
                  <w:shd w:val="clear" w:color="auto" w:fill="auto"/>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运营期排放限值〔dB（A）〕</w:t>
                  </w:r>
                </w:p>
              </w:tc>
              <w:tc>
                <w:tcPr>
                  <w:tcW w:w="1400" w:type="pct"/>
                  <w:shd w:val="clear" w:color="auto" w:fill="auto"/>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60</w:t>
                  </w:r>
                </w:p>
              </w:tc>
              <w:tc>
                <w:tcPr>
                  <w:tcW w:w="1606" w:type="pct"/>
                  <w:shd w:val="clear" w:color="auto" w:fill="auto"/>
                  <w:vAlign w:val="center"/>
                </w:tcPr>
                <w:p>
                  <w:pPr>
                    <w:pageBreakBefore w:val="0"/>
                    <w:kinsoku/>
                    <w:wordWrap/>
                    <w:topLinePunct w:val="0"/>
                    <w:bidi w:val="0"/>
                    <w:spacing w:line="360" w:lineRule="auto"/>
                    <w:ind w:left="0" w:leftChars="0" w:right="0" w:rightChars="0"/>
                    <w:jc w:val="center"/>
                    <w:rPr>
                      <w:color w:val="auto"/>
                      <w:highlight w:val="none"/>
                      <w:lang w:bidi="ar"/>
                    </w:rPr>
                  </w:pPr>
                  <w:r>
                    <w:rPr>
                      <w:color w:val="auto"/>
                      <w:highlight w:val="none"/>
                      <w:lang w:bidi="ar"/>
                    </w:rPr>
                    <w:t>50</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四、固体废物</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一般固废执行《一般工业固体废物贮存和填埋污染控制标准》（GB18599-2020）中相应标准。危险固体废物在厂内贮存时，执行《危险废物贮存污染控制标准》（GB18597-2023）中相关规定。项目产生的污泥应进行稳定化处理，处理后达到《城镇污水处理厂污染物排放标准》（GB18918-2002）表5、《污泥稳定化控制指标》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总量控制指标</w:t>
            </w:r>
          </w:p>
        </w:tc>
        <w:tc>
          <w:tcPr>
            <w:tcW w:w="4771" w:type="pct"/>
            <w:vAlign w:val="center"/>
          </w:tcPr>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依据《建设项目主要污染物排放总量指标审核及管理暂行办法》（环发〔2014〕197号）、《四川省环境保护厅办公室关于贯彻落实〈建设项目主要污染物排放总量指标审核及管理暂行办法〉的通知》（川环办发〔2015〕333号）中相关规定，对本项目废水污染物总量控制指标核定排放量计算过程如下：</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一、现有污染物排放总量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本项目一期工程污水处理量为1.0万m</w:t>
            </w:r>
            <w:r>
              <w:rPr>
                <w:color w:val="auto"/>
                <w:sz w:val="24"/>
                <w:szCs w:val="32"/>
                <w:highlight w:val="none"/>
                <w:vertAlign w:val="superscript"/>
                <w:lang w:bidi="ar"/>
              </w:rPr>
              <w:t>3</w:t>
            </w:r>
            <w:r>
              <w:rPr>
                <w:color w:val="auto"/>
                <w:sz w:val="24"/>
                <w:szCs w:val="32"/>
                <w:highlight w:val="none"/>
                <w:lang w:bidi="ar"/>
              </w:rPr>
              <w:t>/d，外排废水达《城镇污水处理厂污染物排放标准》（GB18918-2002）一级B标准（COD60mg/L、NH</w:t>
            </w:r>
            <w:r>
              <w:rPr>
                <w:color w:val="auto"/>
                <w:sz w:val="24"/>
                <w:szCs w:val="32"/>
                <w:highlight w:val="none"/>
                <w:vertAlign w:val="subscript"/>
                <w:lang w:bidi="ar"/>
              </w:rPr>
              <w:t>3</w:t>
            </w:r>
            <w:r>
              <w:rPr>
                <w:color w:val="auto"/>
                <w:sz w:val="24"/>
                <w:szCs w:val="32"/>
                <w:highlight w:val="none"/>
                <w:lang w:bidi="ar"/>
              </w:rPr>
              <w:t>-N8mg/L、TP1mg/L、TN20mg/L）。根据川环审批〔2011〕324号，项目总量指标如下：</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表3-2</w:t>
            </w:r>
            <w:r>
              <w:rPr>
                <w:rFonts w:hint="eastAsia" w:eastAsia="黑体"/>
                <w:color w:val="auto"/>
                <w:highlight w:val="none"/>
                <w:lang w:val="en-US" w:eastAsia="zh-CN"/>
              </w:rPr>
              <w:t>3</w:t>
            </w:r>
            <w:r>
              <w:rPr>
                <w:rFonts w:hint="eastAsia" w:eastAsia="黑体"/>
                <w:color w:val="auto"/>
                <w:highlight w:val="none"/>
              </w:rPr>
              <w:t xml:space="preserve"> </w:t>
            </w:r>
            <w:r>
              <w:rPr>
                <w:rFonts w:eastAsia="黑体"/>
                <w:color w:val="auto"/>
                <w:highlight w:val="none"/>
              </w:rPr>
              <w:t>现有项目水污染物总量指标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4"/>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shd w:val="clear" w:color="auto" w:fill="auto"/>
                  <w:vAlign w:val="center"/>
                </w:tcPr>
                <w:p>
                  <w:pPr>
                    <w:pageBreakBefore w:val="0"/>
                    <w:kinsoku/>
                    <w:wordWrap/>
                    <w:topLinePunct w:val="0"/>
                    <w:bidi w:val="0"/>
                    <w:ind w:left="0" w:leftChars="0" w:right="0" w:rightChars="0"/>
                    <w:jc w:val="center"/>
                    <w:rPr>
                      <w:b/>
                      <w:bCs/>
                      <w:color w:val="auto"/>
                      <w:highlight w:val="none"/>
                      <w:lang w:bidi="ar"/>
                    </w:rPr>
                  </w:pPr>
                  <w:r>
                    <w:rPr>
                      <w:b/>
                      <w:bCs/>
                      <w:color w:val="auto"/>
                      <w:kern w:val="0"/>
                      <w:highlight w:val="none"/>
                    </w:rPr>
                    <w:t>污水处理厂排口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rPr>
                    <w:t>COD</w:t>
                  </w:r>
                </w:p>
              </w:tc>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rPr>
                    <w:t>NH</w:t>
                  </w:r>
                  <w:r>
                    <w:rPr>
                      <w:color w:val="auto"/>
                      <w:kern w:val="0"/>
                      <w:highlight w:val="none"/>
                      <w:vertAlign w:val="subscript"/>
                    </w:rPr>
                    <w:t>3</w:t>
                  </w:r>
                  <w:r>
                    <w:rPr>
                      <w:color w:val="auto"/>
                      <w:kern w:val="0"/>
                      <w:highlight w:val="none"/>
                    </w:rPr>
                    <w:t>-N</w:t>
                  </w:r>
                </w:p>
              </w:tc>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TP</w:t>
                  </w:r>
                </w:p>
              </w:tc>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219.00</w:t>
                  </w:r>
                </w:p>
              </w:tc>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29.20</w:t>
                  </w:r>
                </w:p>
              </w:tc>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3.650</w:t>
                  </w:r>
                </w:p>
              </w:tc>
              <w:tc>
                <w:tcPr>
                  <w:tcW w:w="1250" w:type="pct"/>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shd w:val="clear" w:color="auto" w:fill="auto"/>
                  <w:vAlign w:val="center"/>
                </w:tcPr>
                <w:p>
                  <w:pPr>
                    <w:pageBreakBefore w:val="0"/>
                    <w:widowControl/>
                    <w:kinsoku/>
                    <w:wordWrap/>
                    <w:topLinePunct w:val="0"/>
                    <w:bidi w:val="0"/>
                    <w:ind w:left="0" w:leftChars="0" w:right="0" w:rightChars="0"/>
                    <w:textAlignment w:val="center"/>
                    <w:rPr>
                      <w:color w:val="auto"/>
                      <w:kern w:val="0"/>
                      <w:highlight w:val="none"/>
                    </w:rPr>
                  </w:pPr>
                  <w:r>
                    <w:rPr>
                      <w:color w:val="auto"/>
                      <w:kern w:val="0"/>
                      <w:highlight w:val="none"/>
                    </w:rPr>
                    <w:t>注：TP、TN总量指标按一级B标排放浓度自动补全。</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rFonts w:hint="eastAsia"/>
                <w:b/>
                <w:bCs/>
                <w:color w:val="auto"/>
                <w:sz w:val="24"/>
                <w:szCs w:val="32"/>
                <w:highlight w:val="none"/>
                <w:lang w:val="en-US" w:eastAsia="zh-CN" w:bidi="ar"/>
              </w:rPr>
              <w:t>二</w:t>
            </w:r>
            <w:r>
              <w:rPr>
                <w:b/>
                <w:bCs/>
                <w:color w:val="auto"/>
                <w:sz w:val="24"/>
                <w:szCs w:val="32"/>
                <w:highlight w:val="none"/>
                <w:lang w:bidi="ar"/>
              </w:rPr>
              <w:t>、本项目污染物排放总量</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1、一期工程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本项目现有一期工程污水处理量为1.0万m</w:t>
            </w:r>
            <w:r>
              <w:rPr>
                <w:color w:val="auto"/>
                <w:sz w:val="24"/>
                <w:szCs w:val="32"/>
                <w:highlight w:val="none"/>
                <w:vertAlign w:val="superscript"/>
                <w:lang w:bidi="ar"/>
              </w:rPr>
              <w:t>3</w:t>
            </w:r>
            <w:r>
              <w:rPr>
                <w:color w:val="auto"/>
                <w:sz w:val="24"/>
                <w:szCs w:val="32"/>
                <w:highlight w:val="none"/>
                <w:lang w:bidi="ar"/>
              </w:rPr>
              <w:t>/d，外排废水由一级B标提升至一级A标。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化学需氧量（COD）=10000m</w:t>
            </w:r>
            <w:r>
              <w:rPr>
                <w:color w:val="auto"/>
                <w:sz w:val="24"/>
                <w:szCs w:val="32"/>
                <w:highlight w:val="none"/>
                <w:vertAlign w:val="superscript"/>
                <w:lang w:bidi="ar"/>
              </w:rPr>
              <w:t>3</w:t>
            </w:r>
            <w:r>
              <w:rPr>
                <w:color w:val="auto"/>
                <w:sz w:val="24"/>
                <w:szCs w:val="32"/>
                <w:highlight w:val="none"/>
                <w:lang w:bidi="ar"/>
              </w:rPr>
              <w:t>/d×50mg/L×365d/a×10</w:t>
            </w:r>
            <w:r>
              <w:rPr>
                <w:color w:val="auto"/>
                <w:sz w:val="24"/>
                <w:szCs w:val="32"/>
                <w:highlight w:val="none"/>
                <w:vertAlign w:val="superscript"/>
                <w:lang w:bidi="ar"/>
              </w:rPr>
              <w:t>-6</w:t>
            </w:r>
            <w:r>
              <w:rPr>
                <w:color w:val="auto"/>
                <w:sz w:val="24"/>
                <w:szCs w:val="32"/>
                <w:highlight w:val="none"/>
                <w:lang w:bidi="ar"/>
              </w:rPr>
              <w:t>=182.50t/a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氨氮（NH</w:t>
            </w:r>
            <w:r>
              <w:rPr>
                <w:color w:val="auto"/>
                <w:sz w:val="24"/>
                <w:szCs w:val="32"/>
                <w:highlight w:val="none"/>
                <w:vertAlign w:val="subscript"/>
                <w:lang w:bidi="ar"/>
              </w:rPr>
              <w:t>3</w:t>
            </w:r>
            <w:r>
              <w:rPr>
                <w:color w:val="auto"/>
                <w:sz w:val="24"/>
                <w:szCs w:val="32"/>
                <w:highlight w:val="none"/>
                <w:lang w:bidi="ar"/>
              </w:rPr>
              <w:t>-N）=10000m</w:t>
            </w:r>
            <w:r>
              <w:rPr>
                <w:color w:val="auto"/>
                <w:sz w:val="24"/>
                <w:szCs w:val="32"/>
                <w:highlight w:val="none"/>
                <w:vertAlign w:val="superscript"/>
                <w:lang w:bidi="ar"/>
              </w:rPr>
              <w:t>3</w:t>
            </w:r>
            <w:r>
              <w:rPr>
                <w:color w:val="auto"/>
                <w:sz w:val="24"/>
                <w:szCs w:val="32"/>
                <w:highlight w:val="none"/>
                <w:lang w:bidi="ar"/>
              </w:rPr>
              <w:t>/d×5mg/L×365d/a×10</w:t>
            </w:r>
            <w:r>
              <w:rPr>
                <w:color w:val="auto"/>
                <w:sz w:val="24"/>
                <w:szCs w:val="32"/>
                <w:highlight w:val="none"/>
                <w:vertAlign w:val="superscript"/>
                <w:lang w:bidi="ar"/>
              </w:rPr>
              <w:t>-6</w:t>
            </w:r>
            <w:r>
              <w:rPr>
                <w:color w:val="auto"/>
                <w:sz w:val="24"/>
                <w:szCs w:val="32"/>
                <w:highlight w:val="none"/>
                <w:lang w:bidi="ar"/>
              </w:rPr>
              <w:t>=18.25t/a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总磷（TP）=10000m</w:t>
            </w:r>
            <w:r>
              <w:rPr>
                <w:color w:val="auto"/>
                <w:sz w:val="24"/>
                <w:szCs w:val="32"/>
                <w:highlight w:val="none"/>
                <w:vertAlign w:val="superscript"/>
                <w:lang w:bidi="ar"/>
              </w:rPr>
              <w:t>3</w:t>
            </w:r>
            <w:r>
              <w:rPr>
                <w:color w:val="auto"/>
                <w:sz w:val="24"/>
                <w:szCs w:val="32"/>
                <w:highlight w:val="none"/>
                <w:lang w:bidi="ar"/>
              </w:rPr>
              <w:t>/d×0.5mg/L×365d/a×10</w:t>
            </w:r>
            <w:r>
              <w:rPr>
                <w:color w:val="auto"/>
                <w:sz w:val="24"/>
                <w:szCs w:val="32"/>
                <w:highlight w:val="none"/>
                <w:vertAlign w:val="superscript"/>
                <w:lang w:bidi="ar"/>
              </w:rPr>
              <w:t>-6</w:t>
            </w:r>
            <w:r>
              <w:rPr>
                <w:color w:val="auto"/>
                <w:sz w:val="24"/>
                <w:szCs w:val="32"/>
                <w:highlight w:val="none"/>
                <w:lang w:bidi="ar"/>
              </w:rPr>
              <w:t>=1.825t/a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总氮（TN）=10000m</w:t>
            </w:r>
            <w:r>
              <w:rPr>
                <w:color w:val="auto"/>
                <w:sz w:val="24"/>
                <w:szCs w:val="32"/>
                <w:highlight w:val="none"/>
                <w:vertAlign w:val="superscript"/>
                <w:lang w:bidi="ar"/>
              </w:rPr>
              <w:t>3</w:t>
            </w:r>
            <w:r>
              <w:rPr>
                <w:color w:val="auto"/>
                <w:sz w:val="24"/>
                <w:szCs w:val="32"/>
                <w:highlight w:val="none"/>
                <w:lang w:bidi="ar"/>
              </w:rPr>
              <w:t>/d×15mg/L×365d/a×10</w:t>
            </w:r>
            <w:r>
              <w:rPr>
                <w:color w:val="auto"/>
                <w:sz w:val="24"/>
                <w:szCs w:val="32"/>
                <w:highlight w:val="none"/>
                <w:vertAlign w:val="superscript"/>
                <w:lang w:bidi="ar"/>
              </w:rPr>
              <w:t>-6</w:t>
            </w:r>
            <w:r>
              <w:rPr>
                <w:color w:val="auto"/>
                <w:sz w:val="24"/>
                <w:szCs w:val="32"/>
                <w:highlight w:val="none"/>
                <w:lang w:bidi="ar"/>
              </w:rPr>
              <w:t>=54.75t/a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现有一期工程由一级B标提升至一级A标，COD削减量36.50t/a、NH</w:t>
            </w:r>
            <w:r>
              <w:rPr>
                <w:color w:val="auto"/>
                <w:sz w:val="24"/>
                <w:szCs w:val="32"/>
                <w:highlight w:val="none"/>
                <w:vertAlign w:val="subscript"/>
                <w:lang w:bidi="ar"/>
              </w:rPr>
              <w:t>3</w:t>
            </w:r>
            <w:r>
              <w:rPr>
                <w:color w:val="auto"/>
                <w:sz w:val="24"/>
                <w:szCs w:val="32"/>
                <w:highlight w:val="none"/>
                <w:lang w:bidi="ar"/>
              </w:rPr>
              <w:t>-N削减量10.95t/a、TP削减量1.825t/a、TN削减量18.25t/a。</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2、二期工程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本项目（二期工程）污水处理量为1.0万m</w:t>
            </w:r>
            <w:r>
              <w:rPr>
                <w:color w:val="auto"/>
                <w:sz w:val="24"/>
                <w:szCs w:val="32"/>
                <w:highlight w:val="none"/>
                <w:vertAlign w:val="superscript"/>
                <w:lang w:bidi="ar"/>
              </w:rPr>
              <w:t>3</w:t>
            </w:r>
            <w:r>
              <w:rPr>
                <w:color w:val="auto"/>
                <w:sz w:val="24"/>
                <w:szCs w:val="32"/>
                <w:highlight w:val="none"/>
                <w:lang w:bidi="ar"/>
              </w:rPr>
              <w:t>/d，外排废水达《城镇污水处理厂污染物排放标准》（GB18918-2002）一级A标准（COD50mg/L、NH</w:t>
            </w:r>
            <w:r>
              <w:rPr>
                <w:color w:val="auto"/>
                <w:sz w:val="24"/>
                <w:szCs w:val="32"/>
                <w:highlight w:val="none"/>
                <w:vertAlign w:val="subscript"/>
                <w:lang w:bidi="ar"/>
              </w:rPr>
              <w:t>3</w:t>
            </w:r>
            <w:r>
              <w:rPr>
                <w:color w:val="auto"/>
                <w:sz w:val="24"/>
                <w:szCs w:val="32"/>
                <w:highlight w:val="none"/>
                <w:lang w:bidi="ar"/>
              </w:rPr>
              <w:t>-N5mg/L、TP0.5mg/L、TN15mg/L）。</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化学需氧量（COD）=10000m</w:t>
            </w:r>
            <w:r>
              <w:rPr>
                <w:color w:val="auto"/>
                <w:sz w:val="24"/>
                <w:szCs w:val="32"/>
                <w:highlight w:val="none"/>
                <w:vertAlign w:val="superscript"/>
                <w:lang w:bidi="ar"/>
              </w:rPr>
              <w:t>3</w:t>
            </w:r>
            <w:r>
              <w:rPr>
                <w:color w:val="auto"/>
                <w:sz w:val="24"/>
                <w:szCs w:val="32"/>
                <w:highlight w:val="none"/>
                <w:lang w:bidi="ar"/>
              </w:rPr>
              <w:t>/d×50mg/L×365d/a×10</w:t>
            </w:r>
            <w:r>
              <w:rPr>
                <w:color w:val="auto"/>
                <w:sz w:val="24"/>
                <w:szCs w:val="32"/>
                <w:highlight w:val="none"/>
                <w:vertAlign w:val="superscript"/>
                <w:lang w:bidi="ar"/>
              </w:rPr>
              <w:t>-6</w:t>
            </w:r>
            <w:r>
              <w:rPr>
                <w:color w:val="auto"/>
                <w:sz w:val="24"/>
                <w:szCs w:val="32"/>
                <w:highlight w:val="none"/>
                <w:lang w:bidi="ar"/>
              </w:rPr>
              <w:t>=182.50t/a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氨氮（NH</w:t>
            </w:r>
            <w:r>
              <w:rPr>
                <w:color w:val="auto"/>
                <w:sz w:val="24"/>
                <w:szCs w:val="32"/>
                <w:highlight w:val="none"/>
                <w:vertAlign w:val="subscript"/>
                <w:lang w:bidi="ar"/>
              </w:rPr>
              <w:t>3</w:t>
            </w:r>
            <w:r>
              <w:rPr>
                <w:color w:val="auto"/>
                <w:sz w:val="24"/>
                <w:szCs w:val="32"/>
                <w:highlight w:val="none"/>
                <w:lang w:bidi="ar"/>
              </w:rPr>
              <w:t>-N）=10000m</w:t>
            </w:r>
            <w:r>
              <w:rPr>
                <w:color w:val="auto"/>
                <w:sz w:val="24"/>
                <w:szCs w:val="32"/>
                <w:highlight w:val="none"/>
                <w:vertAlign w:val="superscript"/>
                <w:lang w:bidi="ar"/>
              </w:rPr>
              <w:t>3</w:t>
            </w:r>
            <w:r>
              <w:rPr>
                <w:color w:val="auto"/>
                <w:sz w:val="24"/>
                <w:szCs w:val="32"/>
                <w:highlight w:val="none"/>
                <w:lang w:bidi="ar"/>
              </w:rPr>
              <w:t>/d×5mg/L×365d/a×10</w:t>
            </w:r>
            <w:r>
              <w:rPr>
                <w:color w:val="auto"/>
                <w:sz w:val="24"/>
                <w:szCs w:val="32"/>
                <w:highlight w:val="none"/>
                <w:vertAlign w:val="superscript"/>
                <w:lang w:bidi="ar"/>
              </w:rPr>
              <w:t>-6</w:t>
            </w:r>
            <w:r>
              <w:rPr>
                <w:color w:val="auto"/>
                <w:sz w:val="24"/>
                <w:szCs w:val="32"/>
                <w:highlight w:val="none"/>
                <w:lang w:bidi="ar"/>
              </w:rPr>
              <w:t>=18.25t/a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总磷（TP）=10000m</w:t>
            </w:r>
            <w:r>
              <w:rPr>
                <w:color w:val="auto"/>
                <w:sz w:val="24"/>
                <w:szCs w:val="32"/>
                <w:highlight w:val="none"/>
                <w:vertAlign w:val="superscript"/>
                <w:lang w:bidi="ar"/>
              </w:rPr>
              <w:t>3</w:t>
            </w:r>
            <w:r>
              <w:rPr>
                <w:color w:val="auto"/>
                <w:sz w:val="24"/>
                <w:szCs w:val="32"/>
                <w:highlight w:val="none"/>
                <w:lang w:bidi="ar"/>
              </w:rPr>
              <w:t>/d×0.5mg/L×365d/a×10</w:t>
            </w:r>
            <w:r>
              <w:rPr>
                <w:color w:val="auto"/>
                <w:sz w:val="24"/>
                <w:szCs w:val="32"/>
                <w:highlight w:val="none"/>
                <w:vertAlign w:val="superscript"/>
                <w:lang w:bidi="ar"/>
              </w:rPr>
              <w:t>-6</w:t>
            </w:r>
            <w:r>
              <w:rPr>
                <w:color w:val="auto"/>
                <w:sz w:val="24"/>
                <w:szCs w:val="32"/>
                <w:highlight w:val="none"/>
                <w:lang w:bidi="ar"/>
              </w:rPr>
              <w:t>=1.825t/a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总氮（TN）=10000m</w:t>
            </w:r>
            <w:r>
              <w:rPr>
                <w:color w:val="auto"/>
                <w:sz w:val="24"/>
                <w:szCs w:val="32"/>
                <w:highlight w:val="none"/>
                <w:vertAlign w:val="superscript"/>
                <w:lang w:bidi="ar"/>
              </w:rPr>
              <w:t>3</w:t>
            </w:r>
            <w:r>
              <w:rPr>
                <w:color w:val="auto"/>
                <w:sz w:val="24"/>
                <w:szCs w:val="32"/>
                <w:highlight w:val="none"/>
                <w:lang w:bidi="ar"/>
              </w:rPr>
              <w:t>/d×15mg/L×365d/a×10</w:t>
            </w:r>
            <w:r>
              <w:rPr>
                <w:color w:val="auto"/>
                <w:sz w:val="24"/>
                <w:szCs w:val="32"/>
                <w:highlight w:val="none"/>
                <w:vertAlign w:val="superscript"/>
                <w:lang w:bidi="ar"/>
              </w:rPr>
              <w:t>-6</w:t>
            </w:r>
            <w:r>
              <w:rPr>
                <w:color w:val="auto"/>
                <w:sz w:val="24"/>
                <w:szCs w:val="32"/>
                <w:highlight w:val="none"/>
                <w:lang w:bidi="ar"/>
              </w:rPr>
              <w:t>=54.75t/a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3、扩建后污染物排放总量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项目扩建后污水设计处理能力为2.0万m</w:t>
            </w:r>
            <w:r>
              <w:rPr>
                <w:color w:val="auto"/>
                <w:sz w:val="24"/>
                <w:szCs w:val="32"/>
                <w:highlight w:val="none"/>
                <w:vertAlign w:val="superscript"/>
                <w:lang w:bidi="ar"/>
              </w:rPr>
              <w:t>3</w:t>
            </w:r>
            <w:r>
              <w:rPr>
                <w:color w:val="auto"/>
                <w:sz w:val="24"/>
                <w:szCs w:val="32"/>
                <w:highlight w:val="none"/>
                <w:lang w:bidi="ar"/>
              </w:rPr>
              <w:t>/d，项目尾水执行《城镇污水处理厂污染物排放标准》（GB18918-2002）一级A标准。排放标准如下：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化学需氧量=20000m</w:t>
            </w:r>
            <w:r>
              <w:rPr>
                <w:color w:val="auto"/>
                <w:sz w:val="24"/>
                <w:szCs w:val="32"/>
                <w:highlight w:val="none"/>
                <w:vertAlign w:val="superscript"/>
                <w:lang w:bidi="ar"/>
              </w:rPr>
              <w:t>3</w:t>
            </w:r>
            <w:r>
              <w:rPr>
                <w:color w:val="auto"/>
                <w:sz w:val="24"/>
                <w:szCs w:val="32"/>
                <w:highlight w:val="none"/>
                <w:lang w:bidi="ar"/>
              </w:rPr>
              <w:t>/d×50mg/L×365d/a×10</w:t>
            </w:r>
            <w:r>
              <w:rPr>
                <w:color w:val="auto"/>
                <w:sz w:val="24"/>
                <w:szCs w:val="32"/>
                <w:highlight w:val="none"/>
                <w:vertAlign w:val="superscript"/>
                <w:lang w:bidi="ar"/>
              </w:rPr>
              <w:t>-6</w:t>
            </w:r>
            <w:r>
              <w:rPr>
                <w:color w:val="auto"/>
                <w:sz w:val="24"/>
                <w:szCs w:val="32"/>
                <w:highlight w:val="none"/>
                <w:lang w:bidi="ar"/>
              </w:rPr>
              <w:t>=365.0t/a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氨氮=20000m</w:t>
            </w:r>
            <w:r>
              <w:rPr>
                <w:color w:val="auto"/>
                <w:sz w:val="24"/>
                <w:szCs w:val="32"/>
                <w:highlight w:val="none"/>
                <w:vertAlign w:val="superscript"/>
                <w:lang w:bidi="ar"/>
              </w:rPr>
              <w:t>3</w:t>
            </w:r>
            <w:r>
              <w:rPr>
                <w:color w:val="auto"/>
                <w:sz w:val="24"/>
                <w:szCs w:val="32"/>
                <w:highlight w:val="none"/>
                <w:lang w:bidi="ar"/>
              </w:rPr>
              <w:t>/d×5mg/L×365d/a×10</w:t>
            </w:r>
            <w:r>
              <w:rPr>
                <w:color w:val="auto"/>
                <w:sz w:val="24"/>
                <w:szCs w:val="32"/>
                <w:highlight w:val="none"/>
                <w:vertAlign w:val="superscript"/>
                <w:lang w:bidi="ar"/>
              </w:rPr>
              <w:t>-6</w:t>
            </w:r>
            <w:r>
              <w:rPr>
                <w:color w:val="auto"/>
                <w:sz w:val="24"/>
                <w:szCs w:val="32"/>
                <w:highlight w:val="none"/>
                <w:lang w:bidi="ar"/>
              </w:rPr>
              <w:t>=36.50t/a</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总磷=20000m</w:t>
            </w:r>
            <w:r>
              <w:rPr>
                <w:color w:val="auto"/>
                <w:sz w:val="24"/>
                <w:szCs w:val="32"/>
                <w:highlight w:val="none"/>
                <w:vertAlign w:val="superscript"/>
                <w:lang w:bidi="ar"/>
              </w:rPr>
              <w:t>3</w:t>
            </w:r>
            <w:r>
              <w:rPr>
                <w:color w:val="auto"/>
                <w:sz w:val="24"/>
                <w:szCs w:val="32"/>
                <w:highlight w:val="none"/>
                <w:lang w:bidi="ar"/>
              </w:rPr>
              <w:t>/d×0.5mg/L×365d/a×10</w:t>
            </w:r>
            <w:r>
              <w:rPr>
                <w:color w:val="auto"/>
                <w:sz w:val="24"/>
                <w:szCs w:val="32"/>
                <w:highlight w:val="none"/>
                <w:vertAlign w:val="superscript"/>
                <w:lang w:bidi="ar"/>
              </w:rPr>
              <w:t>-6</w:t>
            </w:r>
            <w:r>
              <w:rPr>
                <w:color w:val="auto"/>
                <w:sz w:val="24"/>
                <w:szCs w:val="32"/>
                <w:highlight w:val="none"/>
                <w:lang w:bidi="ar"/>
              </w:rPr>
              <w:t>=3.650t/a</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32"/>
                <w:highlight w:val="none"/>
                <w:lang w:bidi="ar"/>
              </w:rPr>
              <w:t>总氮=20000m</w:t>
            </w:r>
            <w:r>
              <w:rPr>
                <w:color w:val="auto"/>
                <w:sz w:val="24"/>
                <w:szCs w:val="32"/>
                <w:highlight w:val="none"/>
                <w:vertAlign w:val="superscript"/>
                <w:lang w:bidi="ar"/>
              </w:rPr>
              <w:t>3</w:t>
            </w:r>
            <w:r>
              <w:rPr>
                <w:color w:val="auto"/>
                <w:sz w:val="24"/>
                <w:szCs w:val="32"/>
                <w:highlight w:val="none"/>
                <w:lang w:bidi="ar"/>
              </w:rPr>
              <w:t>/d×15mg/L×365d/a×10</w:t>
            </w:r>
            <w:r>
              <w:rPr>
                <w:color w:val="auto"/>
                <w:sz w:val="24"/>
                <w:szCs w:val="32"/>
                <w:highlight w:val="none"/>
                <w:vertAlign w:val="superscript"/>
                <w:lang w:bidi="ar"/>
              </w:rPr>
              <w:t>-6</w:t>
            </w:r>
            <w:r>
              <w:rPr>
                <w:color w:val="auto"/>
                <w:sz w:val="24"/>
                <w:szCs w:val="32"/>
                <w:highlight w:val="none"/>
                <w:lang w:bidi="ar"/>
              </w:rPr>
              <w:t>=109.50t/a</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lang w:bidi="ar"/>
              </w:rPr>
              <w:t>综上所述，本项目扩建完成后全厂总量控制指标见下表：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表3-2</w:t>
            </w:r>
            <w:r>
              <w:rPr>
                <w:rFonts w:hint="eastAsia" w:eastAsia="黑体"/>
                <w:color w:val="auto"/>
                <w:highlight w:val="none"/>
                <w:lang w:val="en-US" w:eastAsia="zh-CN"/>
              </w:rPr>
              <w:t>4</w:t>
            </w:r>
            <w:r>
              <w:rPr>
                <w:rFonts w:hint="eastAsia" w:eastAsia="黑体"/>
                <w:color w:val="auto"/>
                <w:highlight w:val="none"/>
              </w:rPr>
              <w:t xml:space="preserve"> </w:t>
            </w:r>
            <w:r>
              <w:rPr>
                <w:rFonts w:eastAsia="黑体"/>
                <w:color w:val="auto"/>
                <w:highlight w:val="none"/>
              </w:rPr>
              <w:t>全厂总量控制指标</w:t>
            </w:r>
            <w:r>
              <w:rPr>
                <w:rFonts w:hint="eastAsia" w:eastAsia="黑体"/>
                <w:color w:val="auto"/>
                <w:highlight w:val="none"/>
                <w:lang w:val="en-US" w:eastAsia="zh-CN"/>
              </w:rPr>
              <w:t xml:space="preserve">  </w:t>
            </w:r>
            <w:r>
              <w:rPr>
                <w:rFonts w:eastAsia="黑体"/>
                <w:color w:val="auto"/>
                <w:highlight w:val="none"/>
              </w:rPr>
              <w:t>单位：t/a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40"/>
              <w:gridCol w:w="914"/>
              <w:gridCol w:w="1140"/>
              <w:gridCol w:w="1478"/>
              <w:gridCol w:w="1847"/>
              <w:gridCol w:w="1199"/>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类型</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污染物</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现有项目</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本项目排放</w:t>
                  </w:r>
                </w:p>
              </w:tc>
              <w:tc>
                <w:tcPr>
                  <w:tcW w:w="100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提标改造削减量</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合计</w:t>
                  </w:r>
                </w:p>
              </w:tc>
              <w:tc>
                <w:tcPr>
                  <w:tcW w:w="63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b/>
                      <w:bCs/>
                      <w:color w:val="auto"/>
                      <w:highlight w:val="none"/>
                      <w:lang w:bidi="ar"/>
                    </w:rPr>
                  </w:pPr>
                  <w:r>
                    <w:rPr>
                      <w:b/>
                      <w:bCs/>
                      <w:color w:val="auto"/>
                      <w:highlight w:val="none"/>
                      <w:lang w:bidi="ar"/>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废水</w:t>
                  </w:r>
                </w:p>
              </w:tc>
              <w:tc>
                <w:tcPr>
                  <w:tcW w:w="402"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污水处理厂排口</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COD</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219.00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182.50</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36.50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365.00</w:t>
                  </w:r>
                </w:p>
              </w:tc>
              <w:tc>
                <w:tcPr>
                  <w:tcW w:w="634" w:type="pct"/>
                  <w:vMerge w:val="restart"/>
                  <w:tcBorders>
                    <w:top w:val="single" w:color="auto" w:sz="4" w:space="0"/>
                    <w:left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c>
                <w:tcPr>
                  <w:tcW w:w="402"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NH</w:t>
                  </w:r>
                  <w:r>
                    <w:rPr>
                      <w:color w:val="auto"/>
                      <w:highlight w:val="none"/>
                      <w:vertAlign w:val="subscript"/>
                      <w:lang w:bidi="ar"/>
                    </w:rPr>
                    <w:t>3</w:t>
                  </w:r>
                  <w:r>
                    <w:rPr>
                      <w:color w:val="auto"/>
                      <w:highlight w:val="none"/>
                      <w:lang w:bidi="ar"/>
                    </w:rPr>
                    <w:t>-N</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29.20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18.25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10.95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36.50</w:t>
                  </w:r>
                </w:p>
              </w:tc>
              <w:tc>
                <w:tcPr>
                  <w:tcW w:w="634"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c>
                <w:tcPr>
                  <w:tcW w:w="402"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TP</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3.650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1.825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1.825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3.650</w:t>
                  </w:r>
                </w:p>
              </w:tc>
              <w:tc>
                <w:tcPr>
                  <w:tcW w:w="634" w:type="pct"/>
                  <w:vMerge w:val="continue"/>
                  <w:tcBorders>
                    <w:left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c>
                <w:tcPr>
                  <w:tcW w:w="402"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highlight w:val="none"/>
                      <w:lang w:bidi="ar"/>
                    </w:rPr>
                    <w:t>TN</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73.00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54.75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18.25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topLinePunct w:val="0"/>
                    <w:bidi w:val="0"/>
                    <w:ind w:left="0" w:leftChars="0" w:right="0" w:rightChars="0"/>
                    <w:jc w:val="center"/>
                    <w:textAlignment w:val="center"/>
                    <w:rPr>
                      <w:color w:val="auto"/>
                      <w:highlight w:val="none"/>
                      <w:lang w:bidi="ar"/>
                    </w:rPr>
                  </w:pPr>
                  <w:r>
                    <w:rPr>
                      <w:color w:val="auto"/>
                      <w:kern w:val="0"/>
                      <w:highlight w:val="none"/>
                      <w:lang w:bidi="ar"/>
                    </w:rPr>
                    <w:t>109.50</w:t>
                  </w:r>
                </w:p>
              </w:tc>
              <w:tc>
                <w:tcPr>
                  <w:tcW w:w="634" w:type="pct"/>
                  <w:vMerge w:val="continue"/>
                  <w:tcBorders>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lang w:bidi="ar"/>
                    </w:rPr>
                  </w:pP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color w:val="auto"/>
                <w:sz w:val="24"/>
                <w:szCs w:val="32"/>
                <w:highlight w:val="none"/>
                <w:lang w:eastAsia="zh-CN" w:bidi="ar"/>
              </w:rPr>
            </w:pPr>
          </w:p>
          <w:p>
            <w:pPr>
              <w:pageBreakBefore w:val="0"/>
              <w:kinsoku/>
              <w:wordWrap/>
              <w:topLinePunct w:val="0"/>
              <w:bidi w:val="0"/>
              <w:spacing w:line="360" w:lineRule="auto"/>
              <w:ind w:left="0" w:leftChars="0" w:right="0" w:rightChars="0"/>
              <w:rPr>
                <w:rFonts w:hint="eastAsia" w:eastAsia="宋体"/>
                <w:color w:val="auto"/>
                <w:sz w:val="24"/>
                <w:szCs w:val="32"/>
                <w:highlight w:val="none"/>
                <w:lang w:eastAsia="zh-CN" w:bidi="ar"/>
              </w:rPr>
            </w:pPr>
          </w:p>
        </w:tc>
      </w:tr>
    </w:tbl>
    <w:p>
      <w:pPr>
        <w:pStyle w:val="34"/>
        <w:pageBreakBefore w:val="0"/>
        <w:kinsoku/>
        <w:wordWrap/>
        <w:topLinePunct w:val="0"/>
        <w:bidi w:val="0"/>
        <w:ind w:left="0" w:leftChars="0" w:right="0" w:rightChars="0"/>
        <w:jc w:val="center"/>
        <w:rPr>
          <w:rFonts w:eastAsia="黑体"/>
          <w:b w:val="0"/>
          <w:color w:val="auto"/>
          <w:sz w:val="30"/>
          <w:szCs w:val="30"/>
          <w:highlight w:val="none"/>
        </w:rPr>
        <w:sectPr>
          <w:pgSz w:w="11906" w:h="16838"/>
          <w:pgMar w:top="1440" w:right="1134" w:bottom="1440" w:left="1134" w:header="851" w:footer="992" w:gutter="0"/>
          <w:cols w:space="0" w:num="1"/>
          <w:docGrid w:type="lines" w:linePitch="312" w:charSpace="0"/>
        </w:sectPr>
      </w:pPr>
    </w:p>
    <w:p>
      <w:pPr>
        <w:pStyle w:val="34"/>
        <w:pageBreakBefore w:val="0"/>
        <w:kinsoku/>
        <w:wordWrap/>
        <w:topLinePunct w:val="0"/>
        <w:bidi w:val="0"/>
        <w:ind w:left="0" w:leftChars="0" w:right="0" w:rightChars="0"/>
        <w:jc w:val="center"/>
        <w:rPr>
          <w:rFonts w:eastAsia="黑体"/>
          <w:b w:val="0"/>
          <w:color w:val="auto"/>
          <w:sz w:val="30"/>
          <w:szCs w:val="30"/>
          <w:highlight w:val="none"/>
        </w:rPr>
      </w:pPr>
      <w:r>
        <w:rPr>
          <w:rFonts w:eastAsia="黑体"/>
          <w:b w:val="0"/>
          <w:color w:val="auto"/>
          <w:sz w:val="30"/>
          <w:szCs w:val="30"/>
          <w:highlight w:val="none"/>
        </w:rPr>
        <w:t>四、主要环境影响和保护措施</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6"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施工期环境保护措施</w:t>
            </w:r>
          </w:p>
        </w:tc>
        <w:tc>
          <w:tcPr>
            <w:tcW w:w="4763" w:type="pct"/>
          </w:tcPr>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一、废气</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本项目在施工期间对周围大气环境有影响的主要因素是：施工过程产生的扬尘、运输车辆的汽车尾气等。</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1、施工场地扬尘</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施工中由于</w:t>
            </w:r>
            <w:r>
              <w:rPr>
                <w:rFonts w:hint="eastAsia"/>
                <w:color w:val="auto"/>
                <w:sz w:val="24"/>
                <w:szCs w:val="24"/>
                <w:highlight w:val="none"/>
                <w:lang w:val="en-US" w:eastAsia="zh-CN" w:bidi="ar"/>
              </w:rPr>
              <w:t>构建筑物拆除、</w:t>
            </w:r>
            <w:r>
              <w:rPr>
                <w:color w:val="auto"/>
                <w:sz w:val="24"/>
                <w:szCs w:val="32"/>
                <w:highlight w:val="none"/>
                <w:lang w:bidi="ar"/>
              </w:rPr>
              <w:t>挖方、填方，水泥、沙石等的装卸、运输过程中有大量尘埃散逸到周围环境空气中。物料堆放期间由于风吹等都会引起扬尘污染，尤其是在风速较大和汽车行驶速度较快的情况下，扬尘的污染尤其严重。根据类比，施工扬尘产生浓度约为5mg/m</w:t>
            </w:r>
            <w:r>
              <w:rPr>
                <w:color w:val="auto"/>
                <w:sz w:val="24"/>
                <w:szCs w:val="32"/>
                <w:highlight w:val="none"/>
                <w:vertAlign w:val="superscript"/>
                <w:lang w:bidi="ar"/>
              </w:rPr>
              <w:t>3</w:t>
            </w:r>
            <w:r>
              <w:rPr>
                <w:color w:val="auto"/>
                <w:sz w:val="24"/>
                <w:szCs w:val="32"/>
                <w:highlight w:val="none"/>
                <w:lang w:bidi="ar"/>
              </w:rPr>
              <w:t>。</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城市市容和环境卫生管理条例》（国务院令第101号）、《建筑工程绿色施工规范》（GB/T50905-2014）、《建设工程施工现场环境与卫生标准》（JGJ146-2013）、《城市扬尘污染防治技术规范》（HJ/T393-2007）、《四川省住房和城乡建设厅城市扬尘防治工作方案》（川建发〔2018〕8号）以及《四川省建筑工程扬尘污染防治技术导则（试行）》（2018）要求，</w:t>
            </w:r>
            <w:r>
              <w:rPr>
                <w:b/>
                <w:bCs/>
                <w:color w:val="auto"/>
                <w:sz w:val="24"/>
                <w:szCs w:val="32"/>
                <w:highlight w:val="none"/>
                <w:lang w:bidi="ar"/>
              </w:rPr>
              <w:t>建议采取如下措施：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A.在施工期间对车辆行驶的路面实施洒水抑尘，对车辆实施清洁、冲洗轮胎。施工期间路面每天洒水4—5次，可使扬尘减少70%左右，可有效地控制施工扬尘，可将TSP的污染距离缩小到20-50m范围。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B.在施工场地，对施工车辆实行限速行驶，选择合理的运输路线和时间，项目弃渣、建筑垃圾必须由专业渣土运输公司清运，运输车辆需用帆布覆盖，覆盖率要达到100%。</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C.施工单位应建立健全的工地保洁制度，设置清扫、洒水设备和各种防护设施；土堆、料堆要有遮盖或喷洒覆盖剂。</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D.严格执行国家环保总局《关于有效控制城市扬尘污染的通知》（国家环保总局环发〔2001〕56号文）的要求，在风速大于四级时应停止施工，并采取有效措施，控制扬尘飞散。</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E.施工过程中使用的建筑材料，在装卸、堆放、拌合过程中会产生大量粉尘外逸，为减轻对大气环境的污染，施工单位必须加强施工区域的管理。建筑材料（主要是黄砂、石子）的堆场应定点定位，并采取防尘抑尘措施，如在大风天气，对散料堆场采用水喷淋防尘，或用蓬布遮盖散料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F.加强运输管理，如散货车不得超高超载，以免车辆颠簸物料洒出；坚持文明装卸，避免袋装水泥散包；运输车辆卸完货后应清洗车厢；工作车辆及运输车辆在离开施工区时冲洗轮胎，检查装车质量；加强对机械、车辆的维修保养，禁止以柴油为燃料的施工机械超负荷工作，减少烟度和颗粒物排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G.加强对施工人员的环保教育，提高全体施工人员的环保意识，坚持文明施工、科学施工，减少施工期的大气污染。</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H.为有效减少建设工地扬尘污染，本环评要求项目施工方，在施工建设中做到规范管理，文明施工，确保建设工地不制尘。做到建设工地现场“六必须”“六不准”，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J.建立高效、务实的环境保护管理体系，加强工程的环境保护监理工作，合理安排施工进度及施工时间，避免雨天和大风天开挖施工作业。在开挖段施工时应做到随挖、随运、随铺、随压，不留或尽可能少留疏松地面，废弃土方要及时清运处理；尽量缩短施工期，并快速回填；开挖的土石方不允许在场内长时间堆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通过采取上述措施，施工场地内扬尘能满足《四川省施工场地扬尘排放标准》（DB51/2682-2020）要求，要求施工场地内土方开挖/土方回填阶段产生的总悬浮颗粒物（TSP）需小于600μg/m</w:t>
            </w:r>
            <w:r>
              <w:rPr>
                <w:b/>
                <w:bCs/>
                <w:color w:val="auto"/>
                <w:sz w:val="24"/>
                <w:szCs w:val="32"/>
                <w:highlight w:val="none"/>
                <w:vertAlign w:val="superscript"/>
                <w:lang w:bidi="ar"/>
              </w:rPr>
              <w:t>3</w:t>
            </w:r>
            <w:r>
              <w:rPr>
                <w:b/>
                <w:bCs/>
                <w:color w:val="auto"/>
                <w:sz w:val="24"/>
                <w:szCs w:val="32"/>
                <w:highlight w:val="none"/>
                <w:lang w:bidi="ar"/>
              </w:rPr>
              <w:t>，其他工程阶段产生的总悬浮颗粒物（TSP）需小于250μg/m</w:t>
            </w:r>
            <w:r>
              <w:rPr>
                <w:b/>
                <w:bCs/>
                <w:color w:val="auto"/>
                <w:sz w:val="24"/>
                <w:szCs w:val="32"/>
                <w:highlight w:val="none"/>
                <w:vertAlign w:val="superscript"/>
                <w:lang w:bidi="ar"/>
              </w:rPr>
              <w:t>3</w:t>
            </w:r>
            <w:r>
              <w:rPr>
                <w:b/>
                <w:bCs/>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在本项目施工期对扬尘严格采取上述防治措施后，其浓度可得到有效控制，能够实现达标排放，不会对区域环境空气产生明显不利影响。</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2、施工机械废气</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各种燃油施工机械和运输车辆在施工及运输过程中均排放一定数量废气，主要污染物以NOx、SO</w:t>
            </w:r>
            <w:r>
              <w:rPr>
                <w:color w:val="auto"/>
                <w:sz w:val="24"/>
                <w:szCs w:val="32"/>
                <w:highlight w:val="none"/>
                <w:vertAlign w:val="subscript"/>
                <w:lang w:bidi="ar"/>
              </w:rPr>
              <w:t>2</w:t>
            </w:r>
            <w:r>
              <w:rPr>
                <w:color w:val="auto"/>
                <w:sz w:val="24"/>
                <w:szCs w:val="32"/>
                <w:highlight w:val="none"/>
                <w:lang w:bidi="ar"/>
              </w:rPr>
              <w:t>和烃类为主。本工程燃油施工机具主要在基础施工过程中使用，尾气中污染物主要有NOx、CO和烃类。对汽车尾气，主要是通过车辆限速降低影响，禁止使用尾气超标车辆。在施工期内应多加注意施工设备的维护，使其能够正常的运行，提高设备燃料利用率。</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机械设备、车辆燃油废气防治措施如下：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①选用先进的施工机械，减少油耗和燃油废气污染；</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②尽量使用电气化设备，少使用燃油设备；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③做好设备的维修和养护工作，使机械设备处于良好的工作状态，减少油耗，同时降低污染。</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综上，施工期间只要按国家规定的施工期污染防治文件相关条款的要求，做到文明施工、清洁施工和科学施工，并按照本环评所提要求及建议采取必要的防治措施，施工期产生的大气污染物可得到有效控制，不会对项目所在区域大气环境产生明显的不良影响。施工结束后，施工期的大气环境影响也将随之消失。</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二、废水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本项目在施工期间会产生生活污水、施工废水。</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1、生活污水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施工高峰期施工人员预计约40人，均为当地民工，项目不设施工营地，施工人员均不在工地食宿，施工人员生活用水量按0.1m</w:t>
            </w:r>
            <w:r>
              <w:rPr>
                <w:color w:val="auto"/>
                <w:sz w:val="24"/>
                <w:szCs w:val="32"/>
                <w:highlight w:val="none"/>
                <w:vertAlign w:val="superscript"/>
                <w:lang w:bidi="ar"/>
              </w:rPr>
              <w:t>3</w:t>
            </w:r>
            <w:r>
              <w:rPr>
                <w:color w:val="auto"/>
                <w:sz w:val="24"/>
                <w:szCs w:val="32"/>
                <w:highlight w:val="none"/>
                <w:lang w:bidi="ar"/>
              </w:rPr>
              <w:t>/d，生活污水产生系数取0.85，则生活污水产生量为3.40m</w:t>
            </w:r>
            <w:r>
              <w:rPr>
                <w:color w:val="auto"/>
                <w:sz w:val="24"/>
                <w:szCs w:val="32"/>
                <w:highlight w:val="none"/>
                <w:vertAlign w:val="superscript"/>
                <w:lang w:bidi="ar"/>
              </w:rPr>
              <w:t>3</w:t>
            </w:r>
            <w:r>
              <w:rPr>
                <w:color w:val="auto"/>
                <w:sz w:val="24"/>
                <w:szCs w:val="32"/>
                <w:highlight w:val="none"/>
                <w:lang w:bidi="ar"/>
              </w:rPr>
              <w:t>/d，生活污水由污水管道收集后排入</w:t>
            </w:r>
            <w:r>
              <w:rPr>
                <w:color w:val="auto"/>
                <w:sz w:val="24"/>
                <w:szCs w:val="24"/>
                <w:highlight w:val="none"/>
                <w:lang w:bidi="ar"/>
              </w:rPr>
              <w:t>宣汉县南坝镇城市生活污水处理厂一期工程</w:t>
            </w:r>
            <w:r>
              <w:rPr>
                <w:color w:val="auto"/>
                <w:sz w:val="24"/>
                <w:szCs w:val="32"/>
                <w:highlight w:val="none"/>
                <w:lang w:bidi="ar"/>
              </w:rPr>
              <w:t>处理后达标排放。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2、施工废水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施工废水主要来自于施工机械冲刷、冲洗地面等，该类废水含大量泥砂，悬浮物浓度较高，pH值呈碱性，并带有少量的油污；另外雨季作业场地的地面径流水含有一定的泥土和高浓度的悬浮物。针对本项目施工废水特点治理措施如下：沉淀池的处理能力和容积可根据施工实际情况进行设计和建造，本环评建议修建一个施工废水简易沉淀池（容积为10m</w:t>
            </w:r>
            <w:r>
              <w:rPr>
                <w:color w:val="auto"/>
                <w:sz w:val="24"/>
                <w:szCs w:val="32"/>
                <w:highlight w:val="none"/>
                <w:vertAlign w:val="superscript"/>
                <w:lang w:bidi="ar"/>
              </w:rPr>
              <w:t>3</w:t>
            </w:r>
            <w:r>
              <w:rPr>
                <w:color w:val="auto"/>
                <w:sz w:val="24"/>
                <w:szCs w:val="32"/>
                <w:highlight w:val="none"/>
                <w:lang w:bidi="ar"/>
              </w:rPr>
              <w:t>）及配套排水沟，废水经沉淀后全部回用于建筑工地洒水和车辆冲洗等。同时，项目施工地点离前河较近，环评要求：严禁将施工弃渣、弃土、垃圾以及未经处理的废水、废液直接倾倒至前河。</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综上，施工废水经沉淀后回用，不外排；生活污水由污水管道收集后排入</w:t>
            </w:r>
            <w:r>
              <w:rPr>
                <w:b/>
                <w:bCs/>
                <w:color w:val="auto"/>
                <w:sz w:val="24"/>
                <w:szCs w:val="24"/>
                <w:highlight w:val="none"/>
                <w:lang w:bidi="ar"/>
              </w:rPr>
              <w:t>宣汉县南坝镇城市生活污水处理厂一期工程</w:t>
            </w:r>
            <w:r>
              <w:rPr>
                <w:b/>
                <w:bCs/>
                <w:color w:val="auto"/>
                <w:sz w:val="24"/>
                <w:szCs w:val="32"/>
                <w:highlight w:val="none"/>
                <w:lang w:bidi="ar"/>
              </w:rPr>
              <w:t>处理后达标排放。采取上述措施后，其对环境的影响是可接受的。</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三、噪声</w:t>
            </w:r>
          </w:p>
          <w:p>
            <w:pPr>
              <w:pageBreakBefore w:val="0"/>
              <w:kinsoku/>
              <w:wordWrap/>
              <w:topLinePunct w:val="0"/>
              <w:bidi w:val="0"/>
              <w:spacing w:line="360" w:lineRule="auto"/>
              <w:ind w:left="0" w:leftChars="0" w:right="0" w:rightChars="0" w:firstLine="480" w:firstLineChars="200"/>
              <w:rPr>
                <w:b/>
                <w:bCs/>
                <w:color w:val="auto"/>
                <w:sz w:val="24"/>
                <w:szCs w:val="32"/>
                <w:highlight w:val="none"/>
                <w:lang w:bidi="ar"/>
              </w:rPr>
            </w:pPr>
            <w:r>
              <w:rPr>
                <w:color w:val="auto"/>
                <w:sz w:val="24"/>
                <w:szCs w:val="32"/>
                <w:highlight w:val="none"/>
                <w:lang w:bidi="ar"/>
              </w:rPr>
              <w:t>施工期的噪声影响是短期的，项目建成后，施工期噪声的影响也就此结束。但是由于施工机械均为强噪声源，施工期间噪声影响范围较大，</w:t>
            </w:r>
            <w:r>
              <w:rPr>
                <w:b/>
                <w:bCs/>
                <w:color w:val="auto"/>
                <w:sz w:val="24"/>
                <w:szCs w:val="32"/>
                <w:highlight w:val="none"/>
                <w:lang w:bidi="ar"/>
              </w:rPr>
              <w:t>环评建议采取以下措施，严格管理：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根据《中华人民共和国环境噪声污染防治法》第二十九条规定：施工单位必须在工程开工15日以前向工程所在地县级以上地方人民政府环境保护行政主管部门申报工程项目名称、施工场所和期限、建筑施工机械可能产生的环境噪声值以及所采取的环境噪声污染防治措施情况。</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②严格执行《建筑施工场界环境噪声排放标准》（GB12523-2011）对施工阶段的场界限值的规定。</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施工车辆特别是重型运载车辆的运行线路和时间，应尽量避开噪声敏感区域和噪声敏感时段。进出车辆要合理调度，明确线路，使行驶道路保持平坦，减弱车辆的颠簸噪声和产生振动。加强施工区域交通管理，避免因交通堵塞增加车辆鸣号。</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④在保证施工进度的前提下，合理安排作业时间，限制夜间进行强噪声污染的施工作业。教育工人文明施工，尤其是夜间施工时，不要大声喧哗，尽量减小机具和材料的撞击，以降低人为噪声的影响。</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⑤如需在夜间使用机械、设备施工，必须提前十日向当地生态环境局提出申请，未经批准不得从事夜间施工作业。</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⑥限制打桩机、空压机、切割机、电锯、电刨等高噪声建筑机械在夜间工作，在高噪声设备附近，加设可移动的简易隔声屏。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⑦按照《关于严格限制夜间施工作业防治环境污染的通告》实施施工操作，杜绝野蛮装卸和车辆鸣号。</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总之，建设单位必须全面落实上述要求，并使施工各阶段的场界噪声符合《建筑施工场界环境噪声排放标准》（GB12523-2011）中的规定。</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四、固废</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本项目施工过程产生的固体废物包括土石方开挖工程产生的弃渣、施工过程中产生的建筑垃圾以及施工人员的生活垃圾等。</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1、开挖土石方</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根据建设单位提供的资料，污水厂厂区挖方量为3500m</w:t>
            </w:r>
            <w:r>
              <w:rPr>
                <w:color w:val="auto"/>
                <w:sz w:val="24"/>
                <w:szCs w:val="32"/>
                <w:highlight w:val="none"/>
                <w:vertAlign w:val="superscript"/>
                <w:lang w:bidi="ar"/>
              </w:rPr>
              <w:t>3</w:t>
            </w:r>
            <w:r>
              <w:rPr>
                <w:color w:val="auto"/>
                <w:sz w:val="24"/>
                <w:szCs w:val="32"/>
                <w:highlight w:val="none"/>
                <w:lang w:bidi="ar"/>
              </w:rPr>
              <w:t>，填方量2700m</w:t>
            </w:r>
            <w:r>
              <w:rPr>
                <w:color w:val="auto"/>
                <w:sz w:val="24"/>
                <w:szCs w:val="32"/>
                <w:highlight w:val="none"/>
                <w:vertAlign w:val="superscript"/>
                <w:lang w:bidi="ar"/>
              </w:rPr>
              <w:t>3</w:t>
            </w:r>
            <w:r>
              <w:rPr>
                <w:color w:val="auto"/>
                <w:sz w:val="24"/>
                <w:szCs w:val="32"/>
                <w:highlight w:val="none"/>
                <w:lang w:bidi="ar"/>
              </w:rPr>
              <w:t>，弃方量800m</w:t>
            </w:r>
            <w:r>
              <w:rPr>
                <w:color w:val="auto"/>
                <w:sz w:val="24"/>
                <w:szCs w:val="32"/>
                <w:highlight w:val="none"/>
                <w:vertAlign w:val="superscript"/>
                <w:lang w:bidi="ar"/>
              </w:rPr>
              <w:t>3</w:t>
            </w:r>
            <w:r>
              <w:rPr>
                <w:color w:val="auto"/>
                <w:sz w:val="24"/>
                <w:szCs w:val="32"/>
                <w:highlight w:val="none"/>
                <w:lang w:bidi="ar"/>
              </w:rPr>
              <w:t>，运送至政府指定地点堆放。针对土石方开挖措施：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采取措施：土方临时堆放于项目施工场地空地，必须远离河岸。在土方暂存处，须做好土方的暂存工作，设置围挡、周边修建排水沟，并采用防尘网对土方进行遮盖，防止雨天造成水土流失以及有风情况下扬尘污染，同时严禁将土方弃置</w:t>
            </w:r>
            <w:r>
              <w:rPr>
                <w:rFonts w:hint="eastAsia"/>
                <w:color w:val="auto"/>
                <w:sz w:val="24"/>
                <w:szCs w:val="32"/>
                <w:highlight w:val="none"/>
                <w:lang w:val="en-US" w:eastAsia="zh-CN" w:bidi="ar"/>
              </w:rPr>
              <w:t>前河</w:t>
            </w:r>
            <w:r>
              <w:rPr>
                <w:color w:val="auto"/>
                <w:sz w:val="24"/>
                <w:szCs w:val="32"/>
                <w:highlight w:val="none"/>
                <w:lang w:bidi="ar"/>
              </w:rPr>
              <w:t>等地表水体内。</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2、建筑垃圾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建筑垃圾主要为施工中</w:t>
            </w:r>
            <w:r>
              <w:rPr>
                <w:rFonts w:hint="eastAsia"/>
                <w:color w:val="auto"/>
                <w:sz w:val="24"/>
                <w:szCs w:val="32"/>
                <w:highlight w:val="none"/>
                <w:lang w:val="en-US" w:eastAsia="zh-CN" w:bidi="ar"/>
              </w:rPr>
              <w:t>拆除的构建筑物、</w:t>
            </w:r>
            <w:r>
              <w:rPr>
                <w:color w:val="auto"/>
                <w:sz w:val="24"/>
                <w:szCs w:val="32"/>
                <w:highlight w:val="none"/>
                <w:lang w:bidi="ar"/>
              </w:rPr>
              <w:t>混凝土块、废钢筋头、废砂石、废砂浆、碎砖瓦等杂物。经类比同类项目建筑垃圾产生量，本项目建筑垃圾产生量约为2.0t。针对建筑垃圾需采取以下措施：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A.根据《中华人民共和国固体废物污染环境防治法》相关规定，充分合理利用固体废弃物。建筑垃圾中的废钢筋、废金属、废木料等可以再次利用的固体废弃物进行分类收集，分类存放，分类回收并及时出售给废品回收公司处理。建筑垃圾中不能回收部分及时清运到指定的建筑垃圾场处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B.在施工现场应设置临时建筑废物堆放场并进行遮盖处理，作好地面的防渗漏处理。</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3、生活垃圾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项目高峰期施工人数约40人，生活垃圾产生量按0.5kg/d·人计，则生活垃圾产生量约20kg/d，经集中收集后运往附近垃圾收集点，统一清运处理，不会造成二次污染。</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通过以上治理措施后，本项目固体废弃物均得到有效的处理处置。</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五、施工期生态防治措施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本项目位于</w:t>
            </w:r>
            <w:r>
              <w:rPr>
                <w:color w:val="auto"/>
                <w:sz w:val="24"/>
                <w:szCs w:val="24"/>
                <w:highlight w:val="none"/>
                <w:lang w:bidi="ar"/>
              </w:rPr>
              <w:t>四川省达州市宣汉县南坝镇</w:t>
            </w:r>
            <w:r>
              <w:rPr>
                <w:color w:val="auto"/>
                <w:sz w:val="24"/>
                <w:szCs w:val="32"/>
                <w:highlight w:val="none"/>
                <w:lang w:bidi="ar"/>
              </w:rPr>
              <w:t>，项目二期用地属于已划拨的污水厂内闲置空地，占地范围内无大型野生动物及珍稀植物，无特殊文物保护单位。对生态环境的影响主要发生在工程施工期。由于项目所在地属于</w:t>
            </w:r>
            <w:r>
              <w:rPr>
                <w:color w:val="auto"/>
                <w:highlight w:val="none"/>
              </w:rPr>
              <w:fldChar w:fldCharType="begin"/>
            </w:r>
            <w:r>
              <w:rPr>
                <w:color w:val="auto"/>
                <w:highlight w:val="none"/>
              </w:rPr>
              <w:instrText xml:space="preserve"> HYPERLINK "https://baike.baidu.com/item/%E4%BA%9A%E7%83%AD%E5%B8%A6%E6%B9%BF%E6%B6%A6%E5%AD%A3%E9%A3%8E%E6%B0%94%E5%80%99/14707242?fromModule=lemma_inlink" \t "https://baike.baidu.com/item/%E5%8D%97%E5%9D%9D%E9%95%87/_blank" </w:instrText>
            </w:r>
            <w:r>
              <w:rPr>
                <w:color w:val="auto"/>
                <w:highlight w:val="none"/>
              </w:rPr>
              <w:fldChar w:fldCharType="separate"/>
            </w:r>
            <w:r>
              <w:rPr>
                <w:color w:val="auto"/>
                <w:sz w:val="24"/>
                <w:szCs w:val="32"/>
                <w:highlight w:val="none"/>
                <w:lang w:bidi="ar"/>
              </w:rPr>
              <w:t>亚热带湿润季风气候</w:t>
            </w:r>
            <w:r>
              <w:rPr>
                <w:color w:val="auto"/>
                <w:sz w:val="24"/>
                <w:szCs w:val="32"/>
                <w:highlight w:val="none"/>
                <w:lang w:bidi="ar"/>
              </w:rPr>
              <w:fldChar w:fldCharType="end"/>
            </w:r>
            <w:r>
              <w:rPr>
                <w:color w:val="auto"/>
                <w:sz w:val="24"/>
                <w:szCs w:val="32"/>
                <w:highlight w:val="none"/>
                <w:lang w:bidi="ar"/>
              </w:rPr>
              <w:t>，其特点是气候温和，雨量充沛，四季分明，热量丰富。在施工过程中，尤其是工程大面积开挖时应尽量避开雨季，以免开挖松散土得不到及时保护而产生新的水土流失。在项目的建设施工过程中应规范工程施工，加强水土保持监督管理。</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为防止项目建设对当地生态环境的影响，特提出如下措施：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①合理安排施工时间，尽量避开雨季和汛期；不能避免时，应做好雨季施工防护及排水工作，保证施工期间排水通畅，不出现积水浸泡工作面的现象；</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②污水厂设备基础开挖期间地表裸露，从而使占地内局部生态结构发生一定变化，减少裸露的地面被雨水冲刷后将造成水土流失，进而降低土壤的肥力，影响局部水文条件和陆生生态系统的稳定性；</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③施工临时占用地，如管材堆放可能会改变原地貌、景观、毁坏地表植被，在施工结束后尽可能恢复原貌。避免造成水土流失，进而降低土壤的肥力，影响局部生态系统的稳定性；</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④施工时，施工机械和施工人员要按照规划的施工平面位置进行操作，不得乱占土地，施工机械、土石及其它建筑材料不能乱停乱放，防止加剧水土流失；</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⑤</w:t>
            </w:r>
            <w:r>
              <w:rPr>
                <w:color w:val="auto"/>
                <w:sz w:val="24"/>
                <w:szCs w:val="32"/>
                <w:highlight w:val="none"/>
                <w:lang w:bidi="ar"/>
              </w:rPr>
              <w:tab/>
            </w:r>
            <w:r>
              <w:rPr>
                <w:color w:val="auto"/>
                <w:sz w:val="24"/>
                <w:szCs w:val="32"/>
                <w:highlight w:val="none"/>
                <w:lang w:bidi="ar"/>
              </w:rPr>
              <w:t>施工期加强对水土保持监督、监理、监测工作管理和实施；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⑥</w:t>
            </w:r>
            <w:r>
              <w:rPr>
                <w:color w:val="auto"/>
                <w:sz w:val="24"/>
                <w:szCs w:val="32"/>
                <w:highlight w:val="none"/>
                <w:lang w:bidi="ar"/>
              </w:rPr>
              <w:tab/>
            </w:r>
            <w:r>
              <w:rPr>
                <w:color w:val="auto"/>
                <w:sz w:val="24"/>
                <w:szCs w:val="32"/>
                <w:highlight w:val="none"/>
                <w:lang w:bidi="ar"/>
              </w:rPr>
              <w:t>加强土石方临时堆放点水保措施，在临时堆放点周围设置简易的排水沟，疏导雨水排放，保护好前河。</w:t>
            </w:r>
          </w:p>
          <w:p>
            <w:pPr>
              <w:pageBreakBefore w:val="0"/>
              <w:kinsoku/>
              <w:wordWrap/>
              <w:topLinePunct w:val="0"/>
              <w:bidi w:val="0"/>
              <w:spacing w:line="360" w:lineRule="auto"/>
              <w:ind w:left="0" w:leftChars="0" w:right="0" w:rightChars="0" w:firstLine="482" w:firstLineChars="200"/>
              <w:rPr>
                <w:color w:val="auto"/>
                <w:highlight w:val="none"/>
              </w:rPr>
            </w:pPr>
            <w:r>
              <w:rPr>
                <w:b/>
                <w:bCs/>
                <w:color w:val="auto"/>
                <w:sz w:val="24"/>
                <w:szCs w:val="32"/>
                <w:highlight w:val="none"/>
                <w:lang w:bidi="ar"/>
              </w:rPr>
              <w:t>综上所述，施工期间提出相应的治理措施是可行的，项目施工期虽然对环境存在一定影响，只要按相关规定，进行文明施工，就可以将项目施工期对外环境的影响减少至最小。施工结束后，以上影响随之消除。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4" w:hRule="atLeast"/>
          <w:jc w:val="center"/>
        </w:trPr>
        <w:tc>
          <w:tcPr>
            <w:tcW w:w="236" w:type="pct"/>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运营期环境影响和保护措施</w:t>
            </w:r>
          </w:p>
        </w:tc>
        <w:tc>
          <w:tcPr>
            <w:tcW w:w="4763" w:type="pct"/>
          </w:tcPr>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一、废气环境影响和保护措施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本项目运营期主要大气污染物为污水及污泥处理过程在产生的恶臭气体、柴油发电机废气、食堂油烟。</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1、废气污染物源强核算</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（1）恶臭气体</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污水处理厂污水中有机物和无机物在微生物降解时会产生恶臭，根据采用类似工艺的污水厂分析，确定本项目恶臭的位置主要为预处理区（粗格栅及提升泵房、细格栅及旋流沉砂池）；生化处理区（厌氧池、氧化沟、MBBR池）；污泥处理区（贮泥池、脱泥机房）等3个单元，其成份主要是生化分解和反应过程中产生的氨（胺）等含氮化合物及硫化氢、甲烷等混合物，产污单位相对集中，为降低臭气对周围环境的影响，要求建设单位对主要恶臭源进行密闭、加盖等收集后送生物除臭系统进行集中处置，少量未被收集部分属无组织排放源，其产量受水温、pH值、构筑物设计参数等多种因素的影响。</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参考《城镇污水处理厂臭气处理技术规程》（CJIT243-2016），本项目臭气排放情况如下：</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预处理区（粗格栅及提升泵房、细格栅及旋流沉砂池）臭气排放情况：</w:t>
            </w:r>
            <w:r>
              <w:rPr>
                <w:color w:val="auto"/>
                <w:sz w:val="24"/>
                <w:szCs w:val="32"/>
                <w:highlight w:val="none"/>
                <w:lang w:bidi="ar"/>
              </w:rPr>
              <w:t>根据《污水泵站的恶臭评价与对策》（环境工程2012年第30卷增刊P70-72）和《城镇污水处理厂臭气处理技术规程》（CJIT243-2016）等相关文献，推算得到污水预处理区源强：H</w:t>
            </w:r>
            <w:r>
              <w:rPr>
                <w:color w:val="auto"/>
                <w:sz w:val="24"/>
                <w:szCs w:val="32"/>
                <w:highlight w:val="none"/>
                <w:vertAlign w:val="subscript"/>
                <w:lang w:bidi="ar"/>
              </w:rPr>
              <w:t>2</w:t>
            </w:r>
            <w:r>
              <w:rPr>
                <w:color w:val="auto"/>
                <w:sz w:val="24"/>
                <w:szCs w:val="32"/>
                <w:highlight w:val="none"/>
                <w:lang w:bidi="ar"/>
              </w:rPr>
              <w:t>S为0.00051mg/s/m</w:t>
            </w:r>
            <w:r>
              <w:rPr>
                <w:color w:val="auto"/>
                <w:sz w:val="24"/>
                <w:szCs w:val="32"/>
                <w:highlight w:val="none"/>
                <w:vertAlign w:val="superscript"/>
                <w:lang w:bidi="ar"/>
              </w:rPr>
              <w:t>2</w:t>
            </w:r>
            <w:r>
              <w:rPr>
                <w:color w:val="auto"/>
                <w:sz w:val="24"/>
                <w:szCs w:val="32"/>
                <w:highlight w:val="none"/>
                <w:lang w:bidi="ar"/>
              </w:rPr>
              <w:t>，NH</w:t>
            </w:r>
            <w:r>
              <w:rPr>
                <w:color w:val="auto"/>
                <w:sz w:val="24"/>
                <w:szCs w:val="32"/>
                <w:highlight w:val="none"/>
                <w:vertAlign w:val="subscript"/>
                <w:lang w:bidi="ar"/>
              </w:rPr>
              <w:t>3</w:t>
            </w:r>
            <w:r>
              <w:rPr>
                <w:color w:val="auto"/>
                <w:sz w:val="24"/>
                <w:szCs w:val="32"/>
                <w:highlight w:val="none"/>
                <w:lang w:bidi="ar"/>
              </w:rPr>
              <w:t>为0.05mg/s/m</w:t>
            </w:r>
            <w:r>
              <w:rPr>
                <w:color w:val="auto"/>
                <w:sz w:val="24"/>
                <w:szCs w:val="32"/>
                <w:highlight w:val="none"/>
                <w:vertAlign w:val="superscript"/>
                <w:lang w:bidi="ar"/>
              </w:rPr>
              <w:t>2</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highlight w:val="none"/>
              </w:rPr>
              <w:t>生化处理区（</w:t>
            </w:r>
            <w:r>
              <w:rPr>
                <w:b/>
                <w:bCs/>
                <w:color w:val="auto"/>
                <w:sz w:val="24"/>
                <w:szCs w:val="32"/>
                <w:highlight w:val="none"/>
                <w:lang w:bidi="ar"/>
              </w:rPr>
              <w:t>厌氧池、氧化沟、MBBR池</w:t>
            </w:r>
            <w:r>
              <w:rPr>
                <w:b/>
                <w:bCs/>
                <w:color w:val="auto"/>
                <w:sz w:val="24"/>
                <w:highlight w:val="none"/>
              </w:rPr>
              <w:t>）臭气排放情况：</w:t>
            </w:r>
            <w:r>
              <w:rPr>
                <w:color w:val="auto"/>
                <w:sz w:val="24"/>
                <w:highlight w:val="none"/>
              </w:rPr>
              <w:t>在不采取收集措施的情况下，根据《污水泵站的恶臭评价与对策》（环境工程2012年第30卷增刊P70-72）和《城镇污水处理厂臭气处理技术规程》（CJIT243-2016）等相关文献，推算出厌氧区源强：H</w:t>
            </w:r>
            <w:r>
              <w:rPr>
                <w:color w:val="auto"/>
                <w:sz w:val="24"/>
                <w:highlight w:val="none"/>
                <w:vertAlign w:val="subscript"/>
              </w:rPr>
              <w:t>2</w:t>
            </w:r>
            <w:r>
              <w:rPr>
                <w:color w:val="auto"/>
                <w:sz w:val="24"/>
                <w:highlight w:val="none"/>
              </w:rPr>
              <w:t>S为0.00026mg/s/m</w:t>
            </w:r>
            <w:r>
              <w:rPr>
                <w:color w:val="auto"/>
                <w:sz w:val="24"/>
                <w:highlight w:val="none"/>
                <w:vertAlign w:val="superscript"/>
              </w:rPr>
              <w:t>2</w:t>
            </w:r>
            <w:r>
              <w:rPr>
                <w:color w:val="auto"/>
                <w:sz w:val="24"/>
                <w:highlight w:val="none"/>
              </w:rPr>
              <w:t>，NH</w:t>
            </w:r>
            <w:r>
              <w:rPr>
                <w:color w:val="auto"/>
                <w:sz w:val="24"/>
                <w:highlight w:val="none"/>
                <w:vertAlign w:val="subscript"/>
              </w:rPr>
              <w:t>3</w:t>
            </w:r>
            <w:r>
              <w:rPr>
                <w:color w:val="auto"/>
                <w:sz w:val="24"/>
                <w:highlight w:val="none"/>
              </w:rPr>
              <w:t>为0.00087mg/s/m</w:t>
            </w:r>
            <w:r>
              <w:rPr>
                <w:color w:val="auto"/>
                <w:sz w:val="24"/>
                <w:highlight w:val="none"/>
                <w:vertAlign w:val="superscript"/>
              </w:rPr>
              <w:t>2</w:t>
            </w:r>
            <w:r>
              <w:rPr>
                <w:color w:val="auto"/>
                <w:sz w:val="24"/>
                <w:highlight w:val="none"/>
              </w:rPr>
              <w:t>；好氧区无组织源强：H</w:t>
            </w:r>
            <w:r>
              <w:rPr>
                <w:color w:val="auto"/>
                <w:sz w:val="24"/>
                <w:highlight w:val="none"/>
                <w:vertAlign w:val="subscript"/>
              </w:rPr>
              <w:t>2</w:t>
            </w:r>
            <w:r>
              <w:rPr>
                <w:color w:val="auto"/>
                <w:sz w:val="24"/>
                <w:highlight w:val="none"/>
              </w:rPr>
              <w:t>S为5.9×10</w:t>
            </w:r>
            <w:r>
              <w:rPr>
                <w:color w:val="auto"/>
                <w:sz w:val="24"/>
                <w:highlight w:val="none"/>
                <w:vertAlign w:val="superscript"/>
              </w:rPr>
              <w:t>-5</w:t>
            </w:r>
            <w:r>
              <w:rPr>
                <w:color w:val="auto"/>
                <w:sz w:val="24"/>
                <w:highlight w:val="none"/>
              </w:rPr>
              <w:t>mg/s/m</w:t>
            </w:r>
            <w:r>
              <w:rPr>
                <w:color w:val="auto"/>
                <w:sz w:val="24"/>
                <w:highlight w:val="none"/>
                <w:vertAlign w:val="superscript"/>
              </w:rPr>
              <w:t>2</w:t>
            </w:r>
            <w:r>
              <w:rPr>
                <w:color w:val="auto"/>
                <w:sz w:val="24"/>
                <w:highlight w:val="none"/>
              </w:rPr>
              <w:t>，NH</w:t>
            </w:r>
            <w:r>
              <w:rPr>
                <w:color w:val="auto"/>
                <w:sz w:val="24"/>
                <w:highlight w:val="none"/>
                <w:vertAlign w:val="subscript"/>
              </w:rPr>
              <w:t>3</w:t>
            </w:r>
            <w:r>
              <w:rPr>
                <w:color w:val="auto"/>
                <w:sz w:val="24"/>
                <w:highlight w:val="none"/>
              </w:rPr>
              <w:t>为2.0×10</w:t>
            </w:r>
            <w:r>
              <w:rPr>
                <w:color w:val="auto"/>
                <w:sz w:val="24"/>
                <w:highlight w:val="none"/>
                <w:vertAlign w:val="superscript"/>
              </w:rPr>
              <w:t>-5</w:t>
            </w:r>
            <w:r>
              <w:rPr>
                <w:color w:val="auto"/>
                <w:sz w:val="24"/>
                <w:highlight w:val="none"/>
              </w:rPr>
              <w:t>mg/s/m</w:t>
            </w:r>
            <w:r>
              <w:rPr>
                <w:color w:val="auto"/>
                <w:sz w:val="24"/>
                <w:highlight w:val="none"/>
                <w:vertAlign w:val="superscript"/>
              </w:rPr>
              <w:t>2</w:t>
            </w:r>
            <w:r>
              <w:rPr>
                <w:color w:val="auto"/>
                <w:sz w:val="24"/>
                <w:highlight w:val="none"/>
              </w:rPr>
              <w:t>。</w:t>
            </w:r>
          </w:p>
          <w:p>
            <w:pPr>
              <w:pageBreakBefore w:val="0"/>
              <w:kinsoku/>
              <w:wordWrap/>
              <w:topLinePunct w:val="0"/>
              <w:bidi w:val="0"/>
              <w:adjustRightInd w:val="0"/>
              <w:snapToGrid w:val="0"/>
              <w:spacing w:line="360" w:lineRule="auto"/>
              <w:ind w:left="0" w:leftChars="0" w:right="0" w:rightChars="0" w:firstLine="482" w:firstLineChars="200"/>
              <w:rPr>
                <w:color w:val="auto"/>
                <w:sz w:val="24"/>
                <w:szCs w:val="24"/>
                <w:highlight w:val="none"/>
              </w:rPr>
            </w:pPr>
            <w:r>
              <w:rPr>
                <w:b/>
                <w:bCs/>
                <w:color w:val="auto"/>
                <w:sz w:val="24"/>
                <w:szCs w:val="24"/>
                <w:highlight w:val="none"/>
              </w:rPr>
              <w:t>污泥处理区</w:t>
            </w:r>
            <w:r>
              <w:rPr>
                <w:b/>
                <w:bCs/>
                <w:color w:val="auto"/>
                <w:sz w:val="24"/>
                <w:highlight w:val="none"/>
              </w:rPr>
              <w:t>（</w:t>
            </w:r>
            <w:r>
              <w:rPr>
                <w:b/>
                <w:bCs/>
                <w:color w:val="auto"/>
                <w:sz w:val="24"/>
                <w:szCs w:val="32"/>
                <w:highlight w:val="none"/>
                <w:lang w:bidi="ar"/>
              </w:rPr>
              <w:t>贮泥池、脱泥机房</w:t>
            </w:r>
            <w:r>
              <w:rPr>
                <w:b/>
                <w:bCs/>
                <w:color w:val="auto"/>
                <w:sz w:val="24"/>
                <w:highlight w:val="none"/>
              </w:rPr>
              <w:t>）</w:t>
            </w:r>
            <w:r>
              <w:rPr>
                <w:b/>
                <w:bCs/>
                <w:color w:val="auto"/>
                <w:sz w:val="24"/>
                <w:szCs w:val="24"/>
                <w:highlight w:val="none"/>
              </w:rPr>
              <w:t>臭气排放情况：</w:t>
            </w:r>
            <w:r>
              <w:rPr>
                <w:color w:val="auto"/>
                <w:sz w:val="24"/>
                <w:szCs w:val="24"/>
                <w:highlight w:val="none"/>
              </w:rPr>
              <w:t>根据《城镇污水处理厂臭气处理技术规程》（CJIT243-2016）表3.2-2污水厂臭气污染物参考浓度，污泥处理区域NH</w:t>
            </w:r>
            <w:r>
              <w:rPr>
                <w:color w:val="auto"/>
                <w:sz w:val="24"/>
                <w:szCs w:val="24"/>
                <w:highlight w:val="none"/>
                <w:vertAlign w:val="subscript"/>
              </w:rPr>
              <w:t>3</w:t>
            </w:r>
            <w:r>
              <w:rPr>
                <w:color w:val="auto"/>
                <w:sz w:val="24"/>
                <w:szCs w:val="24"/>
                <w:highlight w:val="none"/>
              </w:rPr>
              <w:t>产生源强为污水预处理区域的2倍，H</w:t>
            </w:r>
            <w:r>
              <w:rPr>
                <w:color w:val="auto"/>
                <w:sz w:val="24"/>
                <w:szCs w:val="24"/>
                <w:highlight w:val="none"/>
                <w:vertAlign w:val="subscript"/>
              </w:rPr>
              <w:t>2</w:t>
            </w:r>
            <w:r>
              <w:rPr>
                <w:color w:val="auto"/>
                <w:sz w:val="24"/>
                <w:szCs w:val="24"/>
                <w:highlight w:val="none"/>
              </w:rPr>
              <w:t>S产生的源强为污水预处理区域的3～5倍，从而得到污泥处理区域源强：H</w:t>
            </w:r>
            <w:r>
              <w:rPr>
                <w:color w:val="auto"/>
                <w:sz w:val="24"/>
                <w:szCs w:val="24"/>
                <w:highlight w:val="none"/>
                <w:vertAlign w:val="subscript"/>
              </w:rPr>
              <w:t>2</w:t>
            </w:r>
            <w:r>
              <w:rPr>
                <w:color w:val="auto"/>
                <w:sz w:val="24"/>
                <w:szCs w:val="24"/>
                <w:highlight w:val="none"/>
              </w:rPr>
              <w:t>S为0.00153mg/s/m</w:t>
            </w:r>
            <w:r>
              <w:rPr>
                <w:color w:val="auto"/>
                <w:sz w:val="24"/>
                <w:szCs w:val="24"/>
                <w:highlight w:val="none"/>
                <w:vertAlign w:val="superscript"/>
              </w:rPr>
              <w:t>2</w:t>
            </w:r>
            <w:r>
              <w:rPr>
                <w:color w:val="auto"/>
                <w:sz w:val="24"/>
                <w:szCs w:val="24"/>
                <w:highlight w:val="none"/>
              </w:rPr>
              <w:t>，NH</w:t>
            </w:r>
            <w:r>
              <w:rPr>
                <w:color w:val="auto"/>
                <w:sz w:val="24"/>
                <w:szCs w:val="24"/>
                <w:highlight w:val="none"/>
                <w:vertAlign w:val="subscript"/>
              </w:rPr>
              <w:t>3</w:t>
            </w:r>
            <w:r>
              <w:rPr>
                <w:color w:val="auto"/>
                <w:sz w:val="24"/>
                <w:szCs w:val="24"/>
                <w:highlight w:val="none"/>
              </w:rPr>
              <w:t>为0.1mg/s/m</w:t>
            </w:r>
            <w:r>
              <w:rPr>
                <w:color w:val="auto"/>
                <w:sz w:val="24"/>
                <w:szCs w:val="24"/>
                <w:highlight w:val="none"/>
                <w:vertAlign w:val="superscript"/>
              </w:rPr>
              <w:t>2</w:t>
            </w:r>
            <w:r>
              <w:rPr>
                <w:color w:val="auto"/>
                <w:sz w:val="24"/>
                <w:szCs w:val="24"/>
                <w:highlight w:val="none"/>
              </w:rPr>
              <w:t>。</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污水处理设施各构筑物废气产生情况见下表。</w:t>
            </w:r>
          </w:p>
          <w:p>
            <w:pPr>
              <w:pageBreakBefore w:val="0"/>
              <w:kinsoku/>
              <w:wordWrap/>
              <w:topLinePunct w:val="0"/>
              <w:bidi w:val="0"/>
              <w:adjustRightInd w:val="0"/>
              <w:snapToGrid w:val="0"/>
              <w:spacing w:line="360" w:lineRule="auto"/>
              <w:ind w:left="0" w:leftChars="0" w:right="0" w:rightChars="0"/>
              <w:jc w:val="center"/>
              <w:rPr>
                <w:rFonts w:eastAsia="黑体"/>
                <w:color w:val="auto"/>
                <w:highlight w:val="none"/>
              </w:rPr>
            </w:pPr>
            <w:r>
              <w:rPr>
                <w:rFonts w:eastAsia="黑体"/>
                <w:color w:val="auto"/>
                <w:highlight w:val="none"/>
              </w:rPr>
              <w:t>表4-1</w:t>
            </w:r>
            <w:r>
              <w:rPr>
                <w:rFonts w:hint="eastAsia" w:eastAsia="黑体"/>
                <w:color w:val="auto"/>
                <w:highlight w:val="none"/>
              </w:rPr>
              <w:t xml:space="preserve"> </w:t>
            </w:r>
            <w:r>
              <w:rPr>
                <w:rFonts w:eastAsia="黑体"/>
                <w:color w:val="auto"/>
                <w:highlight w:val="none"/>
              </w:rPr>
              <w:t>本项目恶臭污染物产生情况</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01"/>
              <w:gridCol w:w="995"/>
              <w:gridCol w:w="1042"/>
              <w:gridCol w:w="867"/>
              <w:gridCol w:w="772"/>
              <w:gridCol w:w="1074"/>
              <w:gridCol w:w="897"/>
              <w:gridCol w:w="771"/>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gridSpan w:val="2"/>
                  <w:vMerge w:val="restar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污染源位置</w:t>
                  </w:r>
                </w:p>
              </w:tc>
              <w:tc>
                <w:tcPr>
                  <w:tcW w:w="543" w:type="pct"/>
                  <w:vMerge w:val="restar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面积（m</w:t>
                  </w:r>
                  <w:r>
                    <w:rPr>
                      <w:b/>
                      <w:bCs/>
                      <w:color w:val="auto"/>
                      <w:kern w:val="0"/>
                      <w:highlight w:val="none"/>
                      <w:vertAlign w:val="superscript"/>
                    </w:rPr>
                    <w:t>2</w:t>
                  </w:r>
                  <w:r>
                    <w:rPr>
                      <w:b/>
                      <w:bCs/>
                      <w:color w:val="auto"/>
                      <w:kern w:val="0"/>
                      <w:highlight w:val="none"/>
                    </w:rPr>
                    <w:t>）</w:t>
                  </w:r>
                </w:p>
              </w:tc>
              <w:tc>
                <w:tcPr>
                  <w:tcW w:w="569"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NH</w:t>
                  </w:r>
                  <w:r>
                    <w:rPr>
                      <w:b/>
                      <w:bCs/>
                      <w:color w:val="auto"/>
                      <w:highlight w:val="none"/>
                      <w:vertAlign w:val="subscript"/>
                    </w:rPr>
                    <w:t>3</w:t>
                  </w:r>
                  <w:r>
                    <w:rPr>
                      <w:b/>
                      <w:bCs/>
                      <w:color w:val="auto"/>
                      <w:kern w:val="0"/>
                      <w:highlight w:val="none"/>
                    </w:rPr>
                    <w:t>产污系数</w:t>
                  </w:r>
                </w:p>
              </w:tc>
              <w:tc>
                <w:tcPr>
                  <w:tcW w:w="894" w:type="pct"/>
                  <w:gridSpan w:val="2"/>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NH</w:t>
                  </w:r>
                  <w:r>
                    <w:rPr>
                      <w:b/>
                      <w:bCs/>
                      <w:color w:val="auto"/>
                      <w:highlight w:val="none"/>
                      <w:vertAlign w:val="subscript"/>
                    </w:rPr>
                    <w:t>3</w:t>
                  </w:r>
                  <w:r>
                    <w:rPr>
                      <w:b/>
                      <w:bCs/>
                      <w:color w:val="auto"/>
                      <w:kern w:val="0"/>
                      <w:highlight w:val="none"/>
                    </w:rPr>
                    <w:t>产生情况</w:t>
                  </w:r>
                </w:p>
              </w:tc>
              <w:tc>
                <w:tcPr>
                  <w:tcW w:w="587"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H</w:t>
                  </w:r>
                  <w:r>
                    <w:rPr>
                      <w:b/>
                      <w:bCs/>
                      <w:color w:val="auto"/>
                      <w:highlight w:val="none"/>
                      <w:vertAlign w:val="subscript"/>
                    </w:rPr>
                    <w:t>2</w:t>
                  </w:r>
                  <w:r>
                    <w:rPr>
                      <w:b/>
                      <w:bCs/>
                      <w:color w:val="auto"/>
                      <w:highlight w:val="none"/>
                    </w:rPr>
                    <w:t>S</w:t>
                  </w:r>
                  <w:r>
                    <w:rPr>
                      <w:b/>
                      <w:bCs/>
                      <w:color w:val="auto"/>
                      <w:kern w:val="0"/>
                      <w:highlight w:val="none"/>
                    </w:rPr>
                    <w:t>产污系数</w:t>
                  </w:r>
                </w:p>
              </w:tc>
              <w:tc>
                <w:tcPr>
                  <w:tcW w:w="911" w:type="pct"/>
                  <w:gridSpan w:val="2"/>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H</w:t>
                  </w:r>
                  <w:r>
                    <w:rPr>
                      <w:b/>
                      <w:bCs/>
                      <w:color w:val="auto"/>
                      <w:highlight w:val="none"/>
                      <w:vertAlign w:val="subscript"/>
                    </w:rPr>
                    <w:t>2</w:t>
                  </w:r>
                  <w:r>
                    <w:rPr>
                      <w:b/>
                      <w:bCs/>
                      <w:color w:val="auto"/>
                      <w:highlight w:val="none"/>
                    </w:rPr>
                    <w:t>S</w:t>
                  </w:r>
                  <w:r>
                    <w:rPr>
                      <w:b/>
                      <w:bCs/>
                      <w:color w:val="auto"/>
                      <w:kern w:val="0"/>
                      <w:highlight w:val="none"/>
                    </w:rPr>
                    <w:t>产生情况</w:t>
                  </w:r>
                </w:p>
              </w:tc>
              <w:tc>
                <w:tcPr>
                  <w:tcW w:w="380" w:type="pct"/>
                  <w:vMerge w:val="restar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gridSpan w:val="2"/>
                  <w:vMerge w:val="continue"/>
                  <w:vAlign w:val="center"/>
                </w:tcPr>
                <w:p>
                  <w:pPr>
                    <w:pageBreakBefore w:val="0"/>
                    <w:widowControl/>
                    <w:kinsoku/>
                    <w:wordWrap/>
                    <w:topLinePunct w:val="0"/>
                    <w:bidi w:val="0"/>
                    <w:ind w:left="0" w:leftChars="0" w:right="0" w:rightChars="0"/>
                    <w:jc w:val="center"/>
                    <w:rPr>
                      <w:b/>
                      <w:bCs/>
                      <w:color w:val="auto"/>
                      <w:kern w:val="0"/>
                      <w:highlight w:val="none"/>
                    </w:rPr>
                  </w:pPr>
                </w:p>
              </w:tc>
              <w:tc>
                <w:tcPr>
                  <w:tcW w:w="543" w:type="pct"/>
                  <w:vMerge w:val="continue"/>
                  <w:vAlign w:val="center"/>
                </w:tcPr>
                <w:p>
                  <w:pPr>
                    <w:pageBreakBefore w:val="0"/>
                    <w:widowControl/>
                    <w:kinsoku/>
                    <w:wordWrap/>
                    <w:topLinePunct w:val="0"/>
                    <w:bidi w:val="0"/>
                    <w:ind w:left="0" w:leftChars="0" w:right="0" w:rightChars="0"/>
                    <w:jc w:val="center"/>
                    <w:rPr>
                      <w:b/>
                      <w:bCs/>
                      <w:color w:val="auto"/>
                      <w:kern w:val="0"/>
                      <w:highlight w:val="none"/>
                    </w:rPr>
                  </w:pPr>
                </w:p>
              </w:tc>
              <w:tc>
                <w:tcPr>
                  <w:tcW w:w="569"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mg/s/m</w:t>
                  </w:r>
                  <w:r>
                    <w:rPr>
                      <w:b/>
                      <w:bCs/>
                      <w:color w:val="auto"/>
                      <w:highlight w:val="none"/>
                      <w:vertAlign w:val="superscript"/>
                    </w:rPr>
                    <w:t>2</w:t>
                  </w:r>
                </w:p>
              </w:tc>
              <w:tc>
                <w:tcPr>
                  <w:tcW w:w="473"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kg/h</w:t>
                  </w:r>
                </w:p>
              </w:tc>
              <w:tc>
                <w:tcPr>
                  <w:tcW w:w="420" w:type="pct"/>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t/a</w:t>
                  </w:r>
                </w:p>
              </w:tc>
              <w:tc>
                <w:tcPr>
                  <w:tcW w:w="587" w:type="pct"/>
                  <w:noWrap/>
                  <w:vAlign w:val="center"/>
                </w:tcPr>
                <w:p>
                  <w:pPr>
                    <w:pageBreakBefore w:val="0"/>
                    <w:widowControl/>
                    <w:kinsoku/>
                    <w:wordWrap/>
                    <w:topLinePunct w:val="0"/>
                    <w:bidi w:val="0"/>
                    <w:ind w:left="0" w:leftChars="0" w:right="0" w:rightChars="0"/>
                    <w:jc w:val="center"/>
                    <w:rPr>
                      <w:b/>
                      <w:color w:val="auto"/>
                      <w:kern w:val="0"/>
                      <w:highlight w:val="none"/>
                    </w:rPr>
                  </w:pPr>
                  <w:r>
                    <w:rPr>
                      <w:b/>
                      <w:bCs/>
                      <w:color w:val="auto"/>
                      <w:highlight w:val="none"/>
                    </w:rPr>
                    <w:t>mg/s/m</w:t>
                  </w:r>
                  <w:r>
                    <w:rPr>
                      <w:b/>
                      <w:bCs/>
                      <w:color w:val="auto"/>
                      <w:highlight w:val="none"/>
                      <w:vertAlign w:val="superscript"/>
                    </w:rPr>
                    <w:t>2</w:t>
                  </w:r>
                </w:p>
              </w:tc>
              <w:tc>
                <w:tcPr>
                  <w:tcW w:w="490"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kg/h</w:t>
                  </w:r>
                </w:p>
              </w:tc>
              <w:tc>
                <w:tcPr>
                  <w:tcW w:w="420" w:type="pct"/>
                  <w:noWrap/>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t/a</w:t>
                  </w:r>
                </w:p>
              </w:tc>
              <w:tc>
                <w:tcPr>
                  <w:tcW w:w="380" w:type="pct"/>
                  <w:vMerge w:val="continue"/>
                  <w:noWrap/>
                  <w:vAlign w:val="center"/>
                </w:tcPr>
                <w:p>
                  <w:pPr>
                    <w:pageBreakBefore w:val="0"/>
                    <w:widowControl/>
                    <w:kinsoku/>
                    <w:wordWrap/>
                    <w:topLinePunct w:val="0"/>
                    <w:bidi w:val="0"/>
                    <w:ind w:left="0" w:leftChars="0" w:right="0" w:rightChars="0"/>
                    <w:jc w:val="center"/>
                    <w:rPr>
                      <w:b/>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预处理工段</w:t>
                  </w: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粗格栅及提升泵房</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97.19</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0.05</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0.0175</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0.153</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0.00051</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w:t>
                  </w:r>
                </w:p>
              </w:tc>
              <w:tc>
                <w:tcPr>
                  <w:tcW w:w="380" w:type="pct"/>
                  <w:vMerge w:val="restart"/>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b/>
                      <w:color w:val="auto"/>
                      <w:kern w:val="0"/>
                      <w:highlight w:val="none"/>
                    </w:rPr>
                    <w:t>一期已建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细格栅及旋流沉砂池</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60.65</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0.05</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0.0109</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0.096</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0.00051</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380"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生化单元</w:t>
                  </w: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厌氧池</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120</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0.00087</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0.0004</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0.003</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0.00026</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380"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氧化沟</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864</w:t>
                  </w:r>
                </w:p>
              </w:tc>
              <w:tc>
                <w:tcPr>
                  <w:tcW w:w="975" w:type="dxa"/>
                  <w:noWrap/>
                  <w:vAlign w:val="center"/>
                </w:tcPr>
                <w:p>
                  <w:pPr>
                    <w:pageBreakBefore w:val="0"/>
                    <w:widowControl/>
                    <w:kinsoku/>
                    <w:wordWrap/>
                    <w:topLinePunct w:val="0"/>
                    <w:bidi w:val="0"/>
                    <w:ind w:left="0" w:leftChars="0" w:right="0" w:rightChars="0"/>
                    <w:jc w:val="center"/>
                    <w:textAlignment w:val="center"/>
                    <w:rPr>
                      <w:rFonts w:eastAsiaTheme="minorEastAsia"/>
                      <w:color w:val="auto"/>
                      <w:kern w:val="0"/>
                      <w:highlight w:val="none"/>
                      <w:lang w:bidi="ar"/>
                    </w:rPr>
                  </w:pPr>
                  <w:r>
                    <w:rPr>
                      <w:color w:val="auto"/>
                      <w:kern w:val="0"/>
                      <w:highlight w:val="none"/>
                      <w:lang w:bidi="ar"/>
                    </w:rPr>
                    <w:t>0.00002</w:t>
                  </w:r>
                </w:p>
              </w:tc>
              <w:tc>
                <w:tcPr>
                  <w:tcW w:w="810" w:type="dxa"/>
                  <w:noWrap/>
                  <w:vAlign w:val="center"/>
                </w:tcPr>
                <w:p>
                  <w:pPr>
                    <w:pageBreakBefore w:val="0"/>
                    <w:widowControl/>
                    <w:kinsoku/>
                    <w:wordWrap/>
                    <w:topLinePunct w:val="0"/>
                    <w:bidi w:val="0"/>
                    <w:ind w:left="0" w:leftChars="0" w:right="0" w:rightChars="0"/>
                    <w:jc w:val="center"/>
                    <w:textAlignment w:val="center"/>
                    <w:rPr>
                      <w:rFonts w:eastAsiaTheme="minorEastAsia"/>
                      <w:color w:val="auto"/>
                      <w:kern w:val="0"/>
                      <w:highlight w:val="none"/>
                      <w:lang w:bidi="ar"/>
                    </w:rPr>
                  </w:pPr>
                  <w:r>
                    <w:rPr>
                      <w:color w:val="auto"/>
                      <w:kern w:val="0"/>
                      <w:highlight w:val="none"/>
                      <w:lang w:bidi="ar"/>
                    </w:rPr>
                    <w:t>0.0001</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0.000059</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w:t>
                  </w:r>
                </w:p>
              </w:tc>
              <w:tc>
                <w:tcPr>
                  <w:tcW w:w="380"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MBBR池</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899.2</w:t>
                  </w:r>
                </w:p>
              </w:tc>
              <w:tc>
                <w:tcPr>
                  <w:tcW w:w="975" w:type="dxa"/>
                  <w:noWrap/>
                  <w:vAlign w:val="center"/>
                </w:tcPr>
                <w:p>
                  <w:pPr>
                    <w:pageBreakBefore w:val="0"/>
                    <w:widowControl/>
                    <w:kinsoku/>
                    <w:wordWrap/>
                    <w:topLinePunct w:val="0"/>
                    <w:bidi w:val="0"/>
                    <w:ind w:left="0" w:leftChars="0" w:right="0" w:rightChars="0"/>
                    <w:jc w:val="center"/>
                    <w:textAlignment w:val="center"/>
                    <w:rPr>
                      <w:rFonts w:eastAsiaTheme="minorEastAsia"/>
                      <w:color w:val="auto"/>
                      <w:kern w:val="0"/>
                      <w:highlight w:val="none"/>
                      <w:lang w:bidi="ar"/>
                    </w:rPr>
                  </w:pPr>
                  <w:r>
                    <w:rPr>
                      <w:color w:val="auto"/>
                      <w:kern w:val="0"/>
                      <w:highlight w:val="none"/>
                      <w:lang w:bidi="ar"/>
                    </w:rPr>
                    <w:t>0.00002</w:t>
                  </w:r>
                </w:p>
              </w:tc>
              <w:tc>
                <w:tcPr>
                  <w:tcW w:w="810" w:type="dxa"/>
                  <w:noWrap/>
                  <w:vAlign w:val="center"/>
                </w:tcPr>
                <w:p>
                  <w:pPr>
                    <w:pageBreakBefore w:val="0"/>
                    <w:widowControl/>
                    <w:kinsoku/>
                    <w:wordWrap/>
                    <w:topLinePunct w:val="0"/>
                    <w:bidi w:val="0"/>
                    <w:ind w:left="0" w:leftChars="0" w:right="0" w:rightChars="0"/>
                    <w:jc w:val="center"/>
                    <w:textAlignment w:val="center"/>
                    <w:rPr>
                      <w:rFonts w:eastAsiaTheme="minorEastAsia"/>
                      <w:color w:val="auto"/>
                      <w:kern w:val="0"/>
                      <w:highlight w:val="none"/>
                      <w:lang w:bidi="ar"/>
                    </w:rPr>
                  </w:pPr>
                  <w:r>
                    <w:rPr>
                      <w:color w:val="auto"/>
                      <w:kern w:val="0"/>
                      <w:highlight w:val="none"/>
                      <w:lang w:bidi="ar"/>
                    </w:rPr>
                    <w:t>0.0001</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0.000059</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w:t>
                  </w:r>
                </w:p>
              </w:tc>
              <w:tc>
                <w:tcPr>
                  <w:tcW w:w="380" w:type="pct"/>
                  <w:vMerge w:val="restart"/>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b/>
                      <w:bCs/>
                      <w:color w:val="auto"/>
                      <w:kern w:val="0"/>
                      <w:highlight w:val="none"/>
                      <w:lang w:bidi="ar"/>
                    </w:rPr>
                    <w:t>二期新建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污泥处理区</w:t>
                  </w: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贮泥池</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18.9</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0.0068</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0.060</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0.00153</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380" w:type="pct"/>
                  <w:vMerge w:val="continue"/>
                  <w:noWrap/>
                  <w:vAlign w:val="center"/>
                </w:tcPr>
                <w:p>
                  <w:pPr>
                    <w:pageBreakBefore w:val="0"/>
                    <w:widowControl/>
                    <w:kinsoku/>
                    <w:wordWrap/>
                    <w:topLinePunct w:val="0"/>
                    <w:bidi w:val="0"/>
                    <w:ind w:left="0" w:leftChars="0" w:right="0" w:rightChars="0"/>
                    <w:jc w:val="center"/>
                    <w:textAlignment w:val="center"/>
                    <w:rPr>
                      <w:b/>
                      <w:bCs/>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脱水机房污泥</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525</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0.1890</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1.656</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0.00153</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0.0029</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0.025</w:t>
                  </w:r>
                </w:p>
              </w:tc>
              <w:tc>
                <w:tcPr>
                  <w:tcW w:w="380" w:type="pct"/>
                  <w:vMerge w:val="continue"/>
                  <w:noWrap/>
                  <w:vAlign w:val="center"/>
                </w:tcPr>
                <w:p>
                  <w:pPr>
                    <w:pageBreakBefore w:val="0"/>
                    <w:widowControl/>
                    <w:kinsoku/>
                    <w:wordWrap/>
                    <w:topLinePunct w:val="0"/>
                    <w:bidi w:val="0"/>
                    <w:ind w:left="0" w:leftChars="0" w:right="0" w:rightChars="0"/>
                    <w:jc w:val="center"/>
                    <w:textAlignment w:val="center"/>
                    <w:rPr>
                      <w:b/>
                      <w:bCs/>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污泥处理区</w:t>
                  </w: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贮泥池</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15.75</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0.0057</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0.050</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0.00153</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380" w:type="pct"/>
                  <w:vMerge w:val="restart"/>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b/>
                      <w:bCs/>
                      <w:color w:val="auto"/>
                      <w:kern w:val="0"/>
                      <w:highlight w:val="none"/>
                      <w:lang w:bidi="ar"/>
                    </w:rPr>
                    <w:t>一期拆除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709"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脱水机房污泥</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133.92</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0.0482</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0.422</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0.00153</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0.0007</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0.006</w:t>
                  </w:r>
                </w:p>
              </w:tc>
              <w:tc>
                <w:tcPr>
                  <w:tcW w:w="380"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gridSpan w:val="2"/>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一期合计</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1291.51</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0.0828</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0.725</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0.0014</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0.013</w:t>
                  </w:r>
                </w:p>
              </w:tc>
              <w:tc>
                <w:tcPr>
                  <w:tcW w:w="651" w:type="dxa"/>
                  <w:noWrap/>
                  <w:vAlign w:val="center"/>
                </w:tcPr>
                <w:p>
                  <w:pPr>
                    <w:pageBreakBefore w:val="0"/>
                    <w:kinsoku/>
                    <w:wordWrap/>
                    <w:topLinePunct w:val="0"/>
                    <w:bidi w:val="0"/>
                    <w:ind w:left="0" w:leftChars="0" w:right="0" w:rightChars="0"/>
                    <w:jc w:val="center"/>
                    <w:rPr>
                      <w:color w:val="auto"/>
                      <w:kern w:val="0"/>
                      <w:highlight w:val="none"/>
                      <w:lang w:bidi="ar"/>
                    </w:rPr>
                  </w:pPr>
                  <w:r>
                    <w:rPr>
                      <w:color w:val="auto"/>
                      <w:kern w:val="0"/>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gridSpan w:val="2"/>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二期合计</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1443.10</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0.1959</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1.717</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0.0032</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0.028</w:t>
                  </w:r>
                </w:p>
              </w:tc>
              <w:tc>
                <w:tcPr>
                  <w:tcW w:w="651"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gridSpan w:val="2"/>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削减</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149.67</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0.0539</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0.472</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0.0008</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0.007</w:t>
                  </w:r>
                </w:p>
              </w:tc>
              <w:tc>
                <w:tcPr>
                  <w:tcW w:w="651" w:type="dxa"/>
                  <w:noWrap/>
                  <w:vAlign w:val="center"/>
                </w:tcPr>
                <w:p>
                  <w:pPr>
                    <w:pageBreakBefore w:val="0"/>
                    <w:kinsoku/>
                    <w:wordWrap/>
                    <w:topLinePunct w:val="0"/>
                    <w:bidi w:val="0"/>
                    <w:ind w:left="0" w:leftChars="0" w:right="0" w:rightChars="0"/>
                    <w:jc w:val="center"/>
                    <w:rPr>
                      <w:color w:val="auto"/>
                      <w:kern w:val="0"/>
                      <w:highlight w:val="none"/>
                      <w:lang w:bidi="ar"/>
                    </w:rPr>
                  </w:pPr>
                  <w:r>
                    <w:rPr>
                      <w:color w:val="auto"/>
                      <w:kern w:val="0"/>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pct"/>
                  <w:gridSpan w:val="2"/>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全厂合计</w:t>
                  </w:r>
                </w:p>
              </w:tc>
              <w:tc>
                <w:tcPr>
                  <w:tcW w:w="93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2584.94</w:t>
                  </w:r>
                </w:p>
              </w:tc>
              <w:tc>
                <w:tcPr>
                  <w:tcW w:w="97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1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0.2248</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1.970</w:t>
                  </w:r>
                </w:p>
              </w:tc>
              <w:tc>
                <w:tcPr>
                  <w:tcW w:w="1005"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c>
                <w:tcPr>
                  <w:tcW w:w="84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0.0038</w:t>
                  </w:r>
                </w:p>
              </w:tc>
              <w:tc>
                <w:tcPr>
                  <w:tcW w:w="720"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0.034</w:t>
                  </w:r>
                </w:p>
              </w:tc>
              <w:tc>
                <w:tcPr>
                  <w:tcW w:w="651" w:type="dxa"/>
                  <w:noWrap/>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（2）柴油发电机废气</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本项目设置柴油发电机组作为双电源之一，当供电系统停电时，柴油发电机组15s内自动启动，以保证污水厂正常运行。柴油发电机运行时，柴油燃烧将产生CO、烟尘、NOx等污染物。</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（3）食堂油烟</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设置有职工餐厅，食堂现有就餐人数20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6.198kg/a（0.017kg/d）。</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2、治理设施、排放形式、排放口基本信息</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（1）恶臭</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为防止污水处理厂运营期间，恶臭对周边环境造成不利影响，结合项目布局和构建筑物的设置情况，环评要求采取以下措施进行恶臭治理。具体如下：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①污水处理厂运行过程中要加强管理，控制污泥发酵。及时对厂区产生的剩余污泥进行机械脱水，尽量减少污泥在储存池内的贮泥时间；并</w:t>
            </w:r>
            <w:r>
              <w:rPr>
                <w:rFonts w:hint="eastAsia"/>
                <w:color w:val="auto"/>
                <w:sz w:val="24"/>
                <w:szCs w:val="32"/>
                <w:highlight w:val="none"/>
                <w:lang w:eastAsia="zh-CN" w:bidi="ar"/>
              </w:rPr>
              <w:t>及时对脱水泥饼进行转运</w:t>
            </w:r>
            <w:r>
              <w:rPr>
                <w:color w:val="auto"/>
                <w:sz w:val="24"/>
                <w:szCs w:val="32"/>
                <w:highlight w:val="none"/>
                <w:lang w:bidi="ar"/>
              </w:rPr>
              <w:t>，同时应避开高峰期运输，尽量减少臭气对运输路线附近大气环境的影响。</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②在各构建筑物停产维修时，池底积泥会暴露出来散发恶臭，应及时采取清淤除泥的措施来防止臭气的影响。</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③厂界及厂内加强卫生防疫工作，定期进行消毒及杀灭蚊、蝇。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④加强项目厂界绿化，厂区四周设置绿化隔离带，绿化植物的选择也应考虑抗污力强，净化空气好的植物，降低或减轻恶臭味在空气中的浓度而达到防护的目的。</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⑤定期喷洒生物除臭剂，外购的除臭剂采用清水稀释，稀释倍数100倍，用量为0.5kg/m</w:t>
            </w:r>
            <w:r>
              <w:rPr>
                <w:color w:val="auto"/>
                <w:sz w:val="24"/>
                <w:szCs w:val="32"/>
                <w:highlight w:val="none"/>
                <w:vertAlign w:val="superscript"/>
                <w:lang w:bidi="ar"/>
              </w:rPr>
              <w:t>2</w:t>
            </w:r>
            <w:r>
              <w:rPr>
                <w:color w:val="auto"/>
                <w:sz w:val="24"/>
                <w:szCs w:val="32"/>
                <w:highlight w:val="none"/>
                <w:lang w:bidi="ar"/>
              </w:rPr>
              <w:t>，每天喷水1～2次。可显著降低污水中COD和氨氮的含量，增强污水的净化速度和能力，从而有效去除H</w:t>
            </w:r>
            <w:r>
              <w:rPr>
                <w:color w:val="auto"/>
                <w:sz w:val="24"/>
                <w:szCs w:val="32"/>
                <w:highlight w:val="none"/>
                <w:vertAlign w:val="subscript"/>
                <w:lang w:bidi="ar"/>
              </w:rPr>
              <w:t>2</w:t>
            </w:r>
            <w:r>
              <w:rPr>
                <w:color w:val="auto"/>
                <w:sz w:val="24"/>
                <w:szCs w:val="32"/>
                <w:highlight w:val="none"/>
                <w:lang w:bidi="ar"/>
              </w:rPr>
              <w:t>S、NH</w:t>
            </w:r>
            <w:r>
              <w:rPr>
                <w:color w:val="auto"/>
                <w:sz w:val="24"/>
                <w:szCs w:val="32"/>
                <w:highlight w:val="none"/>
                <w:vertAlign w:val="subscript"/>
                <w:lang w:bidi="ar"/>
              </w:rPr>
              <w:t>3</w:t>
            </w:r>
            <w:r>
              <w:rPr>
                <w:color w:val="auto"/>
                <w:sz w:val="24"/>
                <w:szCs w:val="32"/>
                <w:highlight w:val="none"/>
                <w:lang w:bidi="ar"/>
              </w:rPr>
              <w:t>。</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⑥</w:t>
            </w:r>
            <w:r>
              <w:rPr>
                <w:rFonts w:hint="eastAsia"/>
                <w:color w:val="auto"/>
                <w:sz w:val="24"/>
                <w:szCs w:val="32"/>
                <w:highlight w:val="none"/>
                <w:lang w:val="en-US" w:eastAsia="zh-CN" w:bidi="ar"/>
              </w:rPr>
              <w:t>一期</w:t>
            </w:r>
            <w:r>
              <w:rPr>
                <w:color w:val="auto"/>
                <w:sz w:val="24"/>
                <w:szCs w:val="32"/>
                <w:highlight w:val="none"/>
                <w:lang w:bidi="ar"/>
              </w:rPr>
              <w:t>以</w:t>
            </w:r>
            <w:r>
              <w:rPr>
                <w:rFonts w:hint="eastAsia"/>
                <w:color w:val="auto"/>
                <w:sz w:val="24"/>
                <w:szCs w:val="32"/>
                <w:highlight w:val="none"/>
                <w:lang w:eastAsia="zh-CN" w:bidi="ar"/>
              </w:rPr>
              <w:t>恶臭单元（粗细格栅、污泥脱水间、贮泥池）边界外设置100m卫生防护距离，</w:t>
            </w:r>
            <w:r>
              <w:rPr>
                <w:color w:val="auto"/>
                <w:sz w:val="24"/>
                <w:szCs w:val="32"/>
                <w:highlight w:val="none"/>
                <w:lang w:bidi="ar"/>
              </w:rPr>
              <w:t>本次</w:t>
            </w:r>
            <w:r>
              <w:rPr>
                <w:rFonts w:hint="eastAsia"/>
                <w:color w:val="auto"/>
                <w:sz w:val="24"/>
                <w:szCs w:val="32"/>
                <w:highlight w:val="none"/>
                <w:lang w:val="en-US" w:eastAsia="zh-CN" w:bidi="ar"/>
              </w:rPr>
              <w:t>二期</w:t>
            </w:r>
            <w:r>
              <w:rPr>
                <w:color w:val="auto"/>
                <w:sz w:val="24"/>
                <w:szCs w:val="32"/>
                <w:highlight w:val="none"/>
                <w:lang w:bidi="ar"/>
              </w:rPr>
              <w:t>以生化处理区（厌氧池、氧化沟、MBBR池）、</w:t>
            </w:r>
            <w:r>
              <w:rPr>
                <w:rFonts w:hint="eastAsia"/>
                <w:color w:val="auto"/>
                <w:sz w:val="24"/>
                <w:szCs w:val="32"/>
                <w:highlight w:val="none"/>
                <w:lang w:val="en-US" w:eastAsia="zh-CN" w:bidi="ar"/>
              </w:rPr>
              <w:t>新建的</w:t>
            </w:r>
            <w:r>
              <w:rPr>
                <w:color w:val="auto"/>
                <w:sz w:val="24"/>
                <w:szCs w:val="32"/>
                <w:highlight w:val="none"/>
                <w:lang w:bidi="ar"/>
              </w:rPr>
              <w:t>污泥处理区（贮泥池、脱泥机房）构筑物边界为起点，外延50m的范围划定卫生防护距离。</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项目恶臭在采取以上措施后，类比同类型企业，污水处理厂恶臭处理效率按60%计，H</w:t>
            </w:r>
            <w:r>
              <w:rPr>
                <w:color w:val="auto"/>
                <w:sz w:val="24"/>
                <w:szCs w:val="32"/>
                <w:highlight w:val="none"/>
                <w:vertAlign w:val="subscript"/>
                <w:lang w:bidi="ar"/>
              </w:rPr>
              <w:t>2</w:t>
            </w:r>
            <w:r>
              <w:rPr>
                <w:color w:val="auto"/>
                <w:sz w:val="24"/>
                <w:szCs w:val="32"/>
                <w:highlight w:val="none"/>
                <w:lang w:bidi="ar"/>
              </w:rPr>
              <w:t>S、NH</w:t>
            </w:r>
            <w:r>
              <w:rPr>
                <w:color w:val="auto"/>
                <w:sz w:val="24"/>
                <w:szCs w:val="32"/>
                <w:highlight w:val="none"/>
                <w:vertAlign w:val="subscript"/>
                <w:lang w:bidi="ar"/>
              </w:rPr>
              <w:t>3</w:t>
            </w:r>
            <w:r>
              <w:rPr>
                <w:color w:val="auto"/>
                <w:sz w:val="24"/>
                <w:szCs w:val="32"/>
                <w:highlight w:val="none"/>
                <w:lang w:bidi="ar"/>
              </w:rPr>
              <w:t>排放量情况见下表：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表4-2</w:t>
            </w:r>
            <w:r>
              <w:rPr>
                <w:rFonts w:hint="eastAsia" w:eastAsia="黑体"/>
                <w:color w:val="auto"/>
                <w:highlight w:val="none"/>
              </w:rPr>
              <w:t xml:space="preserve"> </w:t>
            </w:r>
            <w:r>
              <w:rPr>
                <w:rFonts w:eastAsia="黑体"/>
                <w:color w:val="auto"/>
                <w:highlight w:val="none"/>
              </w:rPr>
              <w:t>本项目恶臭污染物产生、治理措施及排放情况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76"/>
              <w:gridCol w:w="832"/>
              <w:gridCol w:w="832"/>
              <w:gridCol w:w="832"/>
              <w:gridCol w:w="835"/>
              <w:gridCol w:w="872"/>
              <w:gridCol w:w="850"/>
              <w:gridCol w:w="852"/>
              <w:gridCol w:w="850"/>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5" w:type="pct"/>
                  <w:gridSpan w:val="2"/>
                  <w:vMerge w:val="restar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污染源位置</w:t>
                  </w:r>
                </w:p>
              </w:tc>
              <w:tc>
                <w:tcPr>
                  <w:tcW w:w="906" w:type="pct"/>
                  <w:gridSpan w:val="2"/>
                  <w:noWrap/>
                  <w:vAlign w:val="center"/>
                </w:tcPr>
                <w:p>
                  <w:pPr>
                    <w:pageBreakBefore w:val="0"/>
                    <w:widowControl/>
                    <w:kinsoku/>
                    <w:wordWrap/>
                    <w:topLinePunct w:val="0"/>
                    <w:bidi w:val="0"/>
                    <w:ind w:left="0" w:leftChars="0" w:right="0" w:rightChars="0"/>
                    <w:jc w:val="center"/>
                    <w:rPr>
                      <w:b/>
                      <w:color w:val="auto"/>
                      <w:kern w:val="0"/>
                      <w:highlight w:val="none"/>
                    </w:rPr>
                  </w:pPr>
                  <w:r>
                    <w:rPr>
                      <w:b/>
                      <w:bCs/>
                      <w:color w:val="auto"/>
                      <w:highlight w:val="none"/>
                    </w:rPr>
                    <w:t>NH</w:t>
                  </w:r>
                  <w:r>
                    <w:rPr>
                      <w:b/>
                      <w:bCs/>
                      <w:color w:val="auto"/>
                      <w:highlight w:val="none"/>
                      <w:vertAlign w:val="subscript"/>
                    </w:rPr>
                    <w:t>3</w:t>
                  </w:r>
                  <w:r>
                    <w:rPr>
                      <w:b/>
                      <w:bCs/>
                      <w:color w:val="auto"/>
                      <w:kern w:val="0"/>
                      <w:highlight w:val="none"/>
                    </w:rPr>
                    <w:t>产生情况</w:t>
                  </w:r>
                </w:p>
              </w:tc>
              <w:tc>
                <w:tcPr>
                  <w:tcW w:w="908" w:type="pct"/>
                  <w:gridSpan w:val="2"/>
                  <w:noWrap/>
                  <w:vAlign w:val="center"/>
                </w:tcPr>
                <w:p>
                  <w:pPr>
                    <w:pageBreakBefore w:val="0"/>
                    <w:widowControl/>
                    <w:kinsoku/>
                    <w:wordWrap/>
                    <w:topLinePunct w:val="0"/>
                    <w:bidi w:val="0"/>
                    <w:ind w:left="0" w:leftChars="0" w:right="0" w:rightChars="0"/>
                    <w:jc w:val="center"/>
                    <w:rPr>
                      <w:b/>
                      <w:color w:val="auto"/>
                      <w:kern w:val="0"/>
                      <w:highlight w:val="none"/>
                    </w:rPr>
                  </w:pPr>
                  <w:r>
                    <w:rPr>
                      <w:b/>
                      <w:bCs/>
                      <w:color w:val="auto"/>
                      <w:highlight w:val="none"/>
                    </w:rPr>
                    <w:t>H</w:t>
                  </w:r>
                  <w:r>
                    <w:rPr>
                      <w:b/>
                      <w:bCs/>
                      <w:color w:val="auto"/>
                      <w:highlight w:val="none"/>
                      <w:vertAlign w:val="subscript"/>
                    </w:rPr>
                    <w:t>2</w:t>
                  </w:r>
                  <w:r>
                    <w:rPr>
                      <w:b/>
                      <w:bCs/>
                      <w:color w:val="auto"/>
                      <w:highlight w:val="none"/>
                    </w:rPr>
                    <w:t>S</w:t>
                  </w:r>
                  <w:r>
                    <w:rPr>
                      <w:b/>
                      <w:bCs/>
                      <w:color w:val="auto"/>
                      <w:kern w:val="0"/>
                      <w:highlight w:val="none"/>
                    </w:rPr>
                    <w:t>产生情况</w:t>
                  </w:r>
                </w:p>
              </w:tc>
              <w:tc>
                <w:tcPr>
                  <w:tcW w:w="476" w:type="pct"/>
                  <w:vMerge w:val="restar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治理</w:t>
                  </w:r>
                </w:p>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措施</w:t>
                  </w:r>
                </w:p>
              </w:tc>
              <w:tc>
                <w:tcPr>
                  <w:tcW w:w="929" w:type="pct"/>
                  <w:gridSpan w:val="2"/>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NH</w:t>
                  </w:r>
                  <w:r>
                    <w:rPr>
                      <w:b/>
                      <w:bCs/>
                      <w:color w:val="auto"/>
                      <w:highlight w:val="none"/>
                      <w:vertAlign w:val="subscript"/>
                    </w:rPr>
                    <w:t>3</w:t>
                  </w:r>
                  <w:r>
                    <w:rPr>
                      <w:b/>
                      <w:bCs/>
                      <w:color w:val="auto"/>
                      <w:kern w:val="0"/>
                      <w:highlight w:val="none"/>
                    </w:rPr>
                    <w:t>排放情况</w:t>
                  </w:r>
                </w:p>
              </w:tc>
              <w:tc>
                <w:tcPr>
                  <w:tcW w:w="932" w:type="pct"/>
                  <w:gridSpan w:val="2"/>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highlight w:val="none"/>
                    </w:rPr>
                    <w:t>H</w:t>
                  </w:r>
                  <w:r>
                    <w:rPr>
                      <w:b/>
                      <w:bCs/>
                      <w:color w:val="auto"/>
                      <w:highlight w:val="none"/>
                      <w:vertAlign w:val="subscript"/>
                    </w:rPr>
                    <w:t>2</w:t>
                  </w:r>
                  <w:r>
                    <w:rPr>
                      <w:b/>
                      <w:bCs/>
                      <w:color w:val="auto"/>
                      <w:highlight w:val="none"/>
                    </w:rPr>
                    <w:t>S</w:t>
                  </w:r>
                  <w:r>
                    <w:rPr>
                      <w:b/>
                      <w:bCs/>
                      <w:color w:val="auto"/>
                      <w:kern w:val="0"/>
                      <w:highlight w:val="none"/>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5" w:type="pct"/>
                  <w:gridSpan w:val="2"/>
                  <w:vMerge w:val="continue"/>
                  <w:vAlign w:val="center"/>
                </w:tcPr>
                <w:p>
                  <w:pPr>
                    <w:pageBreakBefore w:val="0"/>
                    <w:widowControl/>
                    <w:kinsoku/>
                    <w:wordWrap/>
                    <w:topLinePunct w:val="0"/>
                    <w:bidi w:val="0"/>
                    <w:ind w:left="0" w:leftChars="0" w:right="0" w:rightChars="0"/>
                    <w:jc w:val="center"/>
                    <w:rPr>
                      <w:b/>
                      <w:bCs/>
                      <w:color w:val="auto"/>
                      <w:kern w:val="0"/>
                      <w:highlight w:val="none"/>
                    </w:rPr>
                  </w:pPr>
                </w:p>
              </w:tc>
              <w:tc>
                <w:tcPr>
                  <w:tcW w:w="453" w:type="pct"/>
                  <w:vAlign w:val="center"/>
                </w:tcPr>
                <w:p>
                  <w:pPr>
                    <w:pageBreakBefore w:val="0"/>
                    <w:widowControl/>
                    <w:kinsoku/>
                    <w:wordWrap/>
                    <w:topLinePunct w:val="0"/>
                    <w:bidi w:val="0"/>
                    <w:ind w:left="0" w:leftChars="0" w:right="0" w:rightChars="0"/>
                    <w:jc w:val="center"/>
                    <w:rPr>
                      <w:b/>
                      <w:color w:val="auto"/>
                      <w:kern w:val="0"/>
                      <w:highlight w:val="none"/>
                    </w:rPr>
                  </w:pPr>
                  <w:r>
                    <w:rPr>
                      <w:b/>
                      <w:bCs/>
                      <w:color w:val="auto"/>
                      <w:kern w:val="0"/>
                      <w:highlight w:val="none"/>
                    </w:rPr>
                    <w:t>kg/h</w:t>
                  </w:r>
                </w:p>
              </w:tc>
              <w:tc>
                <w:tcPr>
                  <w:tcW w:w="453" w:type="pct"/>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t/a</w:t>
                  </w:r>
                </w:p>
              </w:tc>
              <w:tc>
                <w:tcPr>
                  <w:tcW w:w="453" w:type="pct"/>
                  <w:vAlign w:val="center"/>
                </w:tcPr>
                <w:p>
                  <w:pPr>
                    <w:pageBreakBefore w:val="0"/>
                    <w:widowControl/>
                    <w:kinsoku/>
                    <w:wordWrap/>
                    <w:topLinePunct w:val="0"/>
                    <w:bidi w:val="0"/>
                    <w:ind w:left="0" w:leftChars="0" w:right="0" w:rightChars="0"/>
                    <w:jc w:val="center"/>
                    <w:rPr>
                      <w:b/>
                      <w:color w:val="auto"/>
                      <w:kern w:val="0"/>
                      <w:highlight w:val="none"/>
                    </w:rPr>
                  </w:pPr>
                  <w:r>
                    <w:rPr>
                      <w:b/>
                      <w:bCs/>
                      <w:color w:val="auto"/>
                      <w:kern w:val="0"/>
                      <w:highlight w:val="none"/>
                    </w:rPr>
                    <w:t>kg/h</w:t>
                  </w:r>
                </w:p>
              </w:tc>
              <w:tc>
                <w:tcPr>
                  <w:tcW w:w="455" w:type="pct"/>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t/a</w:t>
                  </w:r>
                </w:p>
              </w:tc>
              <w:tc>
                <w:tcPr>
                  <w:tcW w:w="476" w:type="pct"/>
                  <w:vMerge w:val="continue"/>
                  <w:vAlign w:val="center"/>
                </w:tcPr>
                <w:p>
                  <w:pPr>
                    <w:pageBreakBefore w:val="0"/>
                    <w:widowControl/>
                    <w:kinsoku/>
                    <w:wordWrap/>
                    <w:topLinePunct w:val="0"/>
                    <w:bidi w:val="0"/>
                    <w:ind w:left="0" w:leftChars="0" w:right="0" w:rightChars="0"/>
                    <w:jc w:val="center"/>
                    <w:rPr>
                      <w:b/>
                      <w:bCs/>
                      <w:color w:val="auto"/>
                      <w:kern w:val="0"/>
                      <w:highlight w:val="none"/>
                    </w:rPr>
                  </w:pPr>
                </w:p>
              </w:tc>
              <w:tc>
                <w:tcPr>
                  <w:tcW w:w="464"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kg/h</w:t>
                  </w:r>
                </w:p>
              </w:tc>
              <w:tc>
                <w:tcPr>
                  <w:tcW w:w="465" w:type="pct"/>
                  <w:noWrap/>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t/a</w:t>
                  </w:r>
                </w:p>
              </w:tc>
              <w:tc>
                <w:tcPr>
                  <w:tcW w:w="464"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kg/h</w:t>
                  </w:r>
                </w:p>
              </w:tc>
              <w:tc>
                <w:tcPr>
                  <w:tcW w:w="468" w:type="pct"/>
                  <w:noWrap/>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预处理工段</w:t>
                  </w: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粗格栅及提升泵房</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0.0175</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0.153</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w:t>
                  </w:r>
                </w:p>
              </w:tc>
              <w:tc>
                <w:tcPr>
                  <w:tcW w:w="476" w:type="pct"/>
                  <w:vMerge w:val="restar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加强管理，及时转运污泥；设置绿化带；定期喷洒生物除臭剂；以恶臭单元为边界划定50m</w:t>
                  </w:r>
                  <w:r>
                    <w:rPr>
                      <w:rFonts w:hint="eastAsia"/>
                      <w:color w:val="auto"/>
                      <w:highlight w:val="none"/>
                      <w:lang w:val="en-US" w:eastAsia="zh-CN"/>
                    </w:rPr>
                    <w:t>/100m</w:t>
                  </w:r>
                  <w:r>
                    <w:rPr>
                      <w:color w:val="auto"/>
                      <w:highlight w:val="none"/>
                    </w:rPr>
                    <w:t>卫生防护距离</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0.00700</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0.06130</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0.00007</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细格栅及旋流沉砂池</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0.0109</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0.096</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476" w:type="pct"/>
                  <w:vMerge w:val="continue"/>
                  <w:noWrap/>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0.00437</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0.03825</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0.00004</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生化单元</w:t>
                  </w: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厌氧池</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0.0004</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0.003</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476" w:type="pct"/>
                  <w:vMerge w:val="continue"/>
                  <w:noWrap/>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0.00015</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0.00132</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0.00004</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氧化沟</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w:t>
                  </w:r>
                </w:p>
              </w:tc>
              <w:tc>
                <w:tcPr>
                  <w:tcW w:w="476"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0.00002</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0.00022</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0.00007</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8"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MBBR池</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w:t>
                  </w:r>
                </w:p>
              </w:tc>
              <w:tc>
                <w:tcPr>
                  <w:tcW w:w="476"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0.00003</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0.00023</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0.00008</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污泥处理区</w:t>
                  </w: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贮泥池</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0.0068</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0.060</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0.0001</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w:t>
                  </w:r>
                </w:p>
              </w:tc>
              <w:tc>
                <w:tcPr>
                  <w:tcW w:w="476"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0.00272</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0.02384</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0.00004</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adjustRightInd w:val="0"/>
                    <w:ind w:left="0" w:leftChars="0" w:right="0" w:rightChars="0"/>
                    <w:jc w:val="center"/>
                    <w:rPr>
                      <w:color w:val="auto"/>
                      <w:highlight w:val="none"/>
                    </w:rPr>
                  </w:pPr>
                </w:p>
              </w:tc>
              <w:tc>
                <w:tcPr>
                  <w:tcW w:w="476"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脱水机房污泥</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0.1890</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1.656</w:t>
                  </w:r>
                </w:p>
              </w:tc>
              <w:tc>
                <w:tcPr>
                  <w:tcW w:w="453"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0.0029</w:t>
                  </w:r>
                </w:p>
              </w:tc>
              <w:tc>
                <w:tcPr>
                  <w:tcW w:w="45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0.025</w:t>
                  </w:r>
                </w:p>
              </w:tc>
              <w:tc>
                <w:tcPr>
                  <w:tcW w:w="476" w:type="pct"/>
                  <w:vMerge w:val="continue"/>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0.07560</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0.66226</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0.00116</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5" w:type="pct"/>
                  <w:gridSpan w:val="2"/>
                  <w:vAlign w:val="center"/>
                </w:tcPr>
                <w:p>
                  <w:pPr>
                    <w:pageBreakBefore w:val="0"/>
                    <w:widowControl/>
                    <w:kinsoku/>
                    <w:wordWrap/>
                    <w:topLinePunct w:val="0"/>
                    <w:bidi w:val="0"/>
                    <w:ind w:left="0" w:leftChars="0" w:right="0" w:rightChars="0"/>
                    <w:jc w:val="center"/>
                    <w:rPr>
                      <w:color w:val="auto"/>
                      <w:kern w:val="0"/>
                      <w:highlight w:val="none"/>
                    </w:rPr>
                  </w:pPr>
                  <w:r>
                    <w:rPr>
                      <w:color w:val="auto"/>
                      <w:kern w:val="0"/>
                      <w:highlight w:val="none"/>
                    </w:rPr>
                    <w:t>合计</w:t>
                  </w:r>
                </w:p>
              </w:tc>
              <w:tc>
                <w:tcPr>
                  <w:tcW w:w="453"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0.2248</w:t>
                  </w:r>
                </w:p>
              </w:tc>
              <w:tc>
                <w:tcPr>
                  <w:tcW w:w="453"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1.9700</w:t>
                  </w:r>
                </w:p>
              </w:tc>
              <w:tc>
                <w:tcPr>
                  <w:tcW w:w="453"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0.0038</w:t>
                  </w:r>
                </w:p>
              </w:tc>
              <w:tc>
                <w:tcPr>
                  <w:tcW w:w="455"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0.0340</w:t>
                  </w:r>
                </w:p>
              </w:tc>
              <w:tc>
                <w:tcPr>
                  <w:tcW w:w="476" w:type="pct"/>
                  <w:vMerge w:val="continue"/>
                  <w:vAlign w:val="center"/>
                </w:tcPr>
                <w:p>
                  <w:pPr>
                    <w:pageBreakBefore w:val="0"/>
                    <w:widowControl/>
                    <w:kinsoku/>
                    <w:wordWrap/>
                    <w:topLinePunct w:val="0"/>
                    <w:bidi w:val="0"/>
                    <w:ind w:left="0" w:leftChars="0" w:right="0" w:rightChars="0"/>
                    <w:jc w:val="center"/>
                    <w:rPr>
                      <w:color w:val="auto"/>
                      <w:kern w:val="0"/>
                      <w:highlight w:val="none"/>
                    </w:rPr>
                  </w:pPr>
                </w:p>
              </w:tc>
              <w:tc>
                <w:tcPr>
                  <w:tcW w:w="464" w:type="pct"/>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0.0899</w:t>
                  </w:r>
                </w:p>
              </w:tc>
              <w:tc>
                <w:tcPr>
                  <w:tcW w:w="465" w:type="pct"/>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0.7874</w:t>
                  </w:r>
                </w:p>
              </w:tc>
              <w:tc>
                <w:tcPr>
                  <w:tcW w:w="464" w:type="pct"/>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0.0015</w:t>
                  </w:r>
                </w:p>
              </w:tc>
              <w:tc>
                <w:tcPr>
                  <w:tcW w:w="468" w:type="pct"/>
                  <w:noWrap/>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0.0132</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（2）柴油发电机废气</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项目发电机采用0#柴油作为燃料。</w:t>
            </w:r>
            <w:r>
              <w:rPr>
                <w:color w:val="auto"/>
                <w:sz w:val="24"/>
                <w:szCs w:val="24"/>
                <w:highlight w:val="none"/>
                <w:lang w:bidi="ar"/>
              </w:rPr>
              <w:t>同时</w:t>
            </w:r>
            <w:r>
              <w:rPr>
                <w:color w:val="auto"/>
                <w:sz w:val="24"/>
                <w:szCs w:val="32"/>
                <w:highlight w:val="none"/>
                <w:lang w:bidi="ar"/>
              </w:rPr>
              <w:t>，</w:t>
            </w:r>
            <w:r>
              <w:rPr>
                <w:color w:val="auto"/>
                <w:sz w:val="24"/>
                <w:szCs w:val="24"/>
                <w:highlight w:val="none"/>
                <w:lang w:bidi="ar"/>
              </w:rPr>
              <w:t>项目扩建后需对柴油发电机组进行更换，环评要求建设单位更换的柴油发电机组应</w:t>
            </w:r>
            <w:r>
              <w:rPr>
                <w:color w:val="auto"/>
                <w:sz w:val="24"/>
                <w:szCs w:val="32"/>
                <w:highlight w:val="none"/>
                <w:lang w:bidi="ar"/>
              </w:rPr>
              <w:t>自带烟气净化装置，处理后的废气引至配电房楼顶排放</w:t>
            </w:r>
            <w:r>
              <w:rPr>
                <w:color w:val="auto"/>
                <w:sz w:val="24"/>
                <w:szCs w:val="24"/>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（3）食堂油烟</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项目厨房设置1个灶头，灶台基准排风量按1000mg/m</w:t>
            </w:r>
            <w:r>
              <w:rPr>
                <w:color w:val="auto"/>
                <w:sz w:val="24"/>
                <w:szCs w:val="32"/>
                <w:highlight w:val="none"/>
                <w:vertAlign w:val="superscript"/>
                <w:lang w:bidi="ar"/>
              </w:rPr>
              <w:t>3</w:t>
            </w:r>
            <w:r>
              <w:rPr>
                <w:color w:val="auto"/>
                <w:sz w:val="24"/>
                <w:szCs w:val="32"/>
                <w:highlight w:val="none"/>
                <w:lang w:bidi="ar"/>
              </w:rPr>
              <w:t>计，每天加工4h。按照《饮食业油烟排放标准（试行）》（GB18438-2001）中对“小型”标准的规定：油烟最高允许排放浓度为2.0mg/m</w:t>
            </w:r>
            <w:r>
              <w:rPr>
                <w:color w:val="auto"/>
                <w:sz w:val="24"/>
                <w:szCs w:val="32"/>
                <w:highlight w:val="none"/>
                <w:vertAlign w:val="superscript"/>
                <w:lang w:bidi="ar"/>
              </w:rPr>
              <w:t>3</w:t>
            </w:r>
            <w:r>
              <w:rPr>
                <w:color w:val="auto"/>
                <w:sz w:val="24"/>
                <w:szCs w:val="32"/>
                <w:highlight w:val="none"/>
                <w:lang w:bidi="ar"/>
              </w:rPr>
              <w:t>，净化措施最低去除效率为60%。因此，环评要求建设单位设置一台处理效率在60%以上的油烟净化器对食堂油烟进行处理，处理后</w:t>
            </w:r>
            <w:r>
              <w:rPr>
                <w:color w:val="auto"/>
                <w:sz w:val="24"/>
                <w:szCs w:val="24"/>
                <w:highlight w:val="none"/>
                <w:lang w:bidi="ar"/>
              </w:rPr>
              <w:t>引至综合大楼楼顶排放，</w:t>
            </w:r>
            <w:r>
              <w:rPr>
                <w:color w:val="auto"/>
                <w:sz w:val="24"/>
                <w:szCs w:val="32"/>
                <w:highlight w:val="none"/>
                <w:lang w:bidi="ar"/>
              </w:rPr>
              <w:t>油烟排放浓度为1.698mg/m</w:t>
            </w:r>
            <w:r>
              <w:rPr>
                <w:color w:val="auto"/>
                <w:sz w:val="24"/>
                <w:szCs w:val="32"/>
                <w:highlight w:val="none"/>
                <w:vertAlign w:val="superscript"/>
                <w:lang w:bidi="ar"/>
              </w:rPr>
              <w:t>3</w:t>
            </w:r>
            <w:r>
              <w:rPr>
                <w:color w:val="auto"/>
                <w:sz w:val="24"/>
                <w:szCs w:val="32"/>
                <w:highlight w:val="none"/>
                <w:lang w:bidi="ar"/>
              </w:rPr>
              <w:t>，排放量为2.479kg/a（0.002t/a）。食堂油烟经处理后油烟排放浓度满足《饮食业油烟排放标准（试行）》（GB18483-2001）中“最高允许排放浓度为2.0mg/m³”的规定。</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3、废气排放口基本情况</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本项目恶臭（NH</w:t>
            </w:r>
            <w:r>
              <w:rPr>
                <w:color w:val="auto"/>
                <w:sz w:val="24"/>
                <w:szCs w:val="32"/>
                <w:highlight w:val="none"/>
                <w:vertAlign w:val="subscript"/>
                <w:lang w:bidi="ar"/>
              </w:rPr>
              <w:t>3</w:t>
            </w:r>
            <w:r>
              <w:rPr>
                <w:color w:val="auto"/>
                <w:sz w:val="24"/>
                <w:szCs w:val="32"/>
                <w:highlight w:val="none"/>
                <w:lang w:bidi="ar"/>
              </w:rPr>
              <w:t>、H</w:t>
            </w:r>
            <w:r>
              <w:rPr>
                <w:color w:val="auto"/>
                <w:sz w:val="24"/>
                <w:szCs w:val="32"/>
                <w:highlight w:val="none"/>
                <w:vertAlign w:val="subscript"/>
                <w:lang w:bidi="ar"/>
              </w:rPr>
              <w:t>2</w:t>
            </w:r>
            <w:r>
              <w:rPr>
                <w:color w:val="auto"/>
                <w:sz w:val="24"/>
                <w:szCs w:val="32"/>
                <w:highlight w:val="none"/>
                <w:lang w:bidi="ar"/>
              </w:rPr>
              <w:t>S）均以无组织形式排放，因此，本项目不设废气排污口。</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4、卫生防护距离计算</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项目一期以厂内恶臭单元（粗细格栅、污泥脱水间、贮泥池）边界外设置100m卫生防护距离。</w:t>
            </w:r>
            <w:r>
              <w:rPr>
                <w:b/>
                <w:bCs/>
                <w:color w:val="auto"/>
                <w:sz w:val="24"/>
                <w:szCs w:val="24"/>
                <w:highlight w:val="none"/>
                <w:lang w:bidi="ar"/>
              </w:rPr>
              <w:t>项目原划定的100m卫生防护距离范围内存在8户居民</w:t>
            </w:r>
            <w:r>
              <w:rPr>
                <w:rFonts w:hint="eastAsia"/>
                <w:b/>
                <w:bCs/>
                <w:color w:val="auto"/>
                <w:sz w:val="24"/>
                <w:szCs w:val="24"/>
                <w:highlight w:val="none"/>
                <w:lang w:eastAsia="zh-CN" w:bidi="ar"/>
              </w:rPr>
              <w:t>，</w:t>
            </w:r>
            <w:r>
              <w:rPr>
                <w:b/>
                <w:bCs/>
                <w:color w:val="auto"/>
                <w:sz w:val="24"/>
                <w:szCs w:val="24"/>
                <w:highlight w:val="none"/>
                <w:lang w:bidi="ar"/>
              </w:rPr>
              <w:t>结合城镇建设总体规划，由政府承诺进行搬迁安置。</w:t>
            </w:r>
            <w:r>
              <w:rPr>
                <w:rFonts w:hint="eastAsia"/>
                <w:b/>
                <w:bCs/>
                <w:color w:val="auto"/>
                <w:sz w:val="24"/>
                <w:szCs w:val="24"/>
                <w:highlight w:val="none"/>
                <w:lang w:val="en-US" w:eastAsia="zh-CN" w:bidi="ar"/>
              </w:rPr>
              <w:t>同时，本环评要求，项目验收之前需完成卫生防护距离内居民的全部搬迁。</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大气有害物质无组织排放卫生防护距离推导技术导则》（GB/T39499-2020）报告，当目标企业无组织排放存在多种有毒有害污染物时，基于单个污染物的等标排气量计算结果，优先选择等标排气量最大的污染物为企业无组织排放的主要特征大气有害物质。当前两种污染物的等标排放量相差在10%以内时，需要同时选择这两种特征大气有害物质分别计算卫生防护距离初值。</w:t>
            </w:r>
            <w:r>
              <w:rPr>
                <w:rFonts w:hint="eastAsia"/>
                <w:color w:val="auto"/>
                <w:sz w:val="24"/>
                <w:szCs w:val="32"/>
                <w:highlight w:val="none"/>
                <w:lang w:val="en-US" w:eastAsia="zh-CN" w:bidi="ar"/>
              </w:rPr>
              <w:t>本次</w:t>
            </w:r>
            <w:r>
              <w:rPr>
                <w:color w:val="auto"/>
                <w:sz w:val="24"/>
                <w:szCs w:val="32"/>
                <w:highlight w:val="none"/>
                <w:lang w:bidi="ar"/>
              </w:rPr>
              <w:t>以二期的生化处理区（厌氧池、氧化沟</w:t>
            </w:r>
            <w:r>
              <w:rPr>
                <w:rFonts w:hint="eastAsia"/>
                <w:color w:val="auto"/>
                <w:sz w:val="24"/>
                <w:szCs w:val="32"/>
                <w:highlight w:val="none"/>
                <w:lang w:eastAsia="zh-CN" w:bidi="ar"/>
              </w:rPr>
              <w:t>、</w:t>
            </w:r>
            <w:r>
              <w:rPr>
                <w:color w:val="auto"/>
                <w:sz w:val="24"/>
                <w:szCs w:val="32"/>
                <w:highlight w:val="none"/>
                <w:lang w:bidi="ar"/>
              </w:rPr>
              <w:t>MBBR池）</w:t>
            </w:r>
            <w:r>
              <w:rPr>
                <w:rFonts w:hint="eastAsia"/>
                <w:color w:val="auto"/>
                <w:sz w:val="24"/>
                <w:szCs w:val="32"/>
                <w:highlight w:val="none"/>
                <w:lang w:val="en-US" w:eastAsia="zh-CN" w:bidi="ar"/>
              </w:rPr>
              <w:t>和新建的</w:t>
            </w:r>
            <w:r>
              <w:rPr>
                <w:color w:val="auto"/>
                <w:sz w:val="24"/>
                <w:szCs w:val="32"/>
                <w:highlight w:val="none"/>
                <w:lang w:bidi="ar"/>
              </w:rPr>
              <w:t>污泥处理区（贮泥池、脱泥机房）构筑物边界为起点对卫生防护距离进行计算。</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（1）等标排放量计算</w:t>
            </w:r>
          </w:p>
          <w:p>
            <w:pPr>
              <w:pageBreakBefore w:val="0"/>
              <w:kinsoku/>
              <w:wordWrap/>
              <w:topLinePunct w:val="0"/>
              <w:bidi w:val="0"/>
              <w:adjustRightInd w:val="0"/>
              <w:snapToGrid w:val="0"/>
              <w:spacing w:line="360" w:lineRule="auto"/>
              <w:ind w:left="0" w:leftChars="0" w:right="0" w:rightChars="0"/>
              <w:jc w:val="center"/>
              <w:rPr>
                <w:color w:val="auto"/>
                <w:sz w:val="24"/>
                <w:szCs w:val="24"/>
                <w:highlight w:val="none"/>
              </w:rPr>
            </w:pPr>
            <w:r>
              <w:rPr>
                <w:color w:val="auto"/>
                <w:sz w:val="24"/>
                <w:szCs w:val="24"/>
                <w:highlight w:val="none"/>
              </w:rPr>
              <w:t>Pi=Qi/Coi×10</w:t>
            </w:r>
            <w:r>
              <w:rPr>
                <w:color w:val="auto"/>
                <w:sz w:val="24"/>
                <w:szCs w:val="24"/>
                <w:highlight w:val="none"/>
                <w:vertAlign w:val="superscript"/>
              </w:rPr>
              <w:t>9</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式中，Pi——评价等级判别参数，即通常所谓的等标排放量，m</w:t>
            </w:r>
            <w:r>
              <w:rPr>
                <w:color w:val="auto"/>
                <w:sz w:val="24"/>
                <w:szCs w:val="24"/>
                <w:highlight w:val="none"/>
                <w:vertAlign w:val="superscript"/>
              </w:rPr>
              <w:t>3</w:t>
            </w:r>
            <w:r>
              <w:rPr>
                <w:color w:val="auto"/>
                <w:sz w:val="24"/>
                <w:szCs w:val="24"/>
                <w:highlight w:val="none"/>
              </w:rPr>
              <w:t>/h；</w:t>
            </w:r>
          </w:p>
          <w:p>
            <w:pPr>
              <w:pageBreakBefore w:val="0"/>
              <w:kinsoku/>
              <w:wordWrap/>
              <w:topLinePunct w:val="0"/>
              <w:bidi w:val="0"/>
              <w:adjustRightInd w:val="0"/>
              <w:snapToGrid w:val="0"/>
              <w:spacing w:line="360" w:lineRule="auto"/>
              <w:ind w:left="0" w:leftChars="0" w:right="0" w:rightChars="0" w:firstLine="1200" w:firstLineChars="500"/>
              <w:rPr>
                <w:color w:val="auto"/>
                <w:sz w:val="24"/>
                <w:szCs w:val="24"/>
                <w:highlight w:val="none"/>
              </w:rPr>
            </w:pPr>
            <w:r>
              <w:rPr>
                <w:color w:val="auto"/>
                <w:sz w:val="24"/>
                <w:szCs w:val="24"/>
                <w:highlight w:val="none"/>
              </w:rPr>
              <w:t>Qi——单位时间的排放量，t/h；</w:t>
            </w:r>
          </w:p>
          <w:p>
            <w:pPr>
              <w:pageBreakBefore w:val="0"/>
              <w:kinsoku/>
              <w:wordWrap/>
              <w:topLinePunct w:val="0"/>
              <w:bidi w:val="0"/>
              <w:adjustRightInd w:val="0"/>
              <w:snapToGrid w:val="0"/>
              <w:spacing w:line="360" w:lineRule="auto"/>
              <w:ind w:left="0" w:leftChars="0" w:right="0" w:rightChars="0" w:firstLine="1200" w:firstLineChars="500"/>
              <w:rPr>
                <w:color w:val="auto"/>
                <w:sz w:val="24"/>
                <w:szCs w:val="24"/>
                <w:highlight w:val="none"/>
              </w:rPr>
            </w:pPr>
            <w:r>
              <w:rPr>
                <w:color w:val="auto"/>
                <w:sz w:val="24"/>
                <w:szCs w:val="24"/>
                <w:highlight w:val="none"/>
              </w:rPr>
              <w:t>Coi——环境空气质量标准，mg/m</w:t>
            </w:r>
            <w:r>
              <w:rPr>
                <w:color w:val="auto"/>
                <w:sz w:val="24"/>
                <w:szCs w:val="24"/>
                <w:highlight w:val="none"/>
                <w:vertAlign w:val="superscript"/>
              </w:rPr>
              <w:t>3</w:t>
            </w:r>
            <w:r>
              <w:rPr>
                <w:color w:val="auto"/>
                <w:sz w:val="24"/>
                <w:szCs w:val="24"/>
                <w:highlight w:val="none"/>
              </w:rPr>
              <w:t>。</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本项目产生污染物为硫化氢和氨气，主要特征大气有害物质见下表。</w:t>
            </w:r>
          </w:p>
          <w:p>
            <w:pPr>
              <w:pageBreakBefore w:val="0"/>
              <w:kinsoku/>
              <w:wordWrap/>
              <w:topLinePunct w:val="0"/>
              <w:bidi w:val="0"/>
              <w:adjustRightInd w:val="0"/>
              <w:snapToGrid w:val="0"/>
              <w:spacing w:line="360" w:lineRule="auto"/>
              <w:ind w:left="0" w:leftChars="0" w:right="0" w:rightChars="0"/>
              <w:jc w:val="center"/>
              <w:rPr>
                <w:rFonts w:eastAsia="黑体"/>
                <w:color w:val="auto"/>
                <w:highlight w:val="none"/>
              </w:rPr>
            </w:pPr>
            <w:r>
              <w:rPr>
                <w:rFonts w:eastAsia="黑体"/>
                <w:color w:val="auto"/>
                <w:highlight w:val="none"/>
              </w:rPr>
              <w:t>表4-3</w:t>
            </w:r>
            <w:r>
              <w:rPr>
                <w:rFonts w:hint="eastAsia" w:eastAsia="黑体"/>
                <w:color w:val="auto"/>
                <w:highlight w:val="none"/>
              </w:rPr>
              <w:t xml:space="preserve"> </w:t>
            </w:r>
            <w:r>
              <w:rPr>
                <w:rFonts w:eastAsia="黑体"/>
                <w:color w:val="auto"/>
                <w:highlight w:val="none"/>
              </w:rPr>
              <w:t>主要特征大气有害物质选取</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3783"/>
              <w:gridCol w:w="1199"/>
              <w:gridCol w:w="1218"/>
              <w:gridCol w:w="1347"/>
              <w:gridCol w:w="161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jc w:val="center"/>
              </w:trPr>
              <w:tc>
                <w:tcPr>
                  <w:tcW w:w="2064" w:type="pct"/>
                  <w:tcBorders>
                    <w:bottom w:val="single" w:color="auto" w:sz="4" w:space="0"/>
                    <w:right w:val="single" w:color="auto" w:sz="4" w:space="0"/>
                  </w:tcBorders>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面源名称</w:t>
                  </w:r>
                </w:p>
              </w:tc>
              <w:tc>
                <w:tcPr>
                  <w:tcW w:w="654" w:type="pct"/>
                  <w:tcBorders>
                    <w:left w:val="single" w:color="auto" w:sz="4" w:space="0"/>
                    <w:bottom w:val="single" w:color="auto" w:sz="4" w:space="0"/>
                    <w:right w:val="single" w:color="auto" w:sz="4" w:space="0"/>
                  </w:tcBorders>
                  <w:noWrap/>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污染因子</w:t>
                  </w:r>
                </w:p>
              </w:tc>
              <w:tc>
                <w:tcPr>
                  <w:tcW w:w="665" w:type="pct"/>
                  <w:tcBorders>
                    <w:left w:val="single" w:color="auto" w:sz="4" w:space="0"/>
                    <w:bottom w:val="single" w:color="auto" w:sz="4" w:space="0"/>
                    <w:right w:val="single" w:color="auto" w:sz="4" w:space="0"/>
                  </w:tcBorders>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标准值（ug/m</w:t>
                  </w:r>
                  <w:r>
                    <w:rPr>
                      <w:b/>
                      <w:bCs/>
                      <w:color w:val="auto"/>
                      <w:kern w:val="0"/>
                      <w:highlight w:val="none"/>
                      <w:vertAlign w:val="superscript"/>
                    </w:rPr>
                    <w:t>3</w:t>
                  </w:r>
                  <w:r>
                    <w:rPr>
                      <w:b/>
                      <w:bCs/>
                      <w:color w:val="auto"/>
                      <w:kern w:val="0"/>
                      <w:highlight w:val="none"/>
                    </w:rPr>
                    <w:t>）</w:t>
                  </w:r>
                </w:p>
              </w:tc>
              <w:tc>
                <w:tcPr>
                  <w:tcW w:w="735" w:type="pct"/>
                  <w:tcBorders>
                    <w:left w:val="nil"/>
                    <w:bottom w:val="single" w:color="auto" w:sz="4" w:space="0"/>
                    <w:right w:val="single" w:color="auto" w:sz="4" w:space="0"/>
                  </w:tcBorders>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无组织排放量（kg/h）</w:t>
                  </w:r>
                </w:p>
              </w:tc>
              <w:tc>
                <w:tcPr>
                  <w:tcW w:w="879" w:type="pct"/>
                  <w:tcBorders>
                    <w:left w:val="nil"/>
                    <w:bottom w:val="single" w:color="auto" w:sz="4" w:space="0"/>
                  </w:tcBorders>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等标排放量Qc/Cm（</w:t>
                  </w:r>
                  <w:r>
                    <w:rPr>
                      <w:b/>
                      <w:bCs/>
                      <w:color w:val="auto"/>
                      <w:highlight w:val="none"/>
                    </w:rPr>
                    <w:t>m</w:t>
                  </w:r>
                  <w:r>
                    <w:rPr>
                      <w:b/>
                      <w:bCs/>
                      <w:color w:val="auto"/>
                      <w:highlight w:val="none"/>
                      <w:vertAlign w:val="superscript"/>
                    </w:rPr>
                    <w:t>3</w:t>
                  </w:r>
                  <w:r>
                    <w:rPr>
                      <w:b/>
                      <w:bCs/>
                      <w:color w:val="auto"/>
                      <w:highlight w:val="none"/>
                    </w:rPr>
                    <w:t>/h</w:t>
                  </w:r>
                  <w:r>
                    <w:rPr>
                      <w:b/>
                      <w:bCs/>
                      <w:color w:val="auto"/>
                      <w:kern w:val="0"/>
                      <w:highlight w:val="none"/>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jc w:val="center"/>
              </w:trPr>
              <w:tc>
                <w:tcPr>
                  <w:tcW w:w="2064" w:type="pct"/>
                  <w:vMerge w:val="restart"/>
                  <w:tcBorders>
                    <w:top w:val="single" w:color="auto" w:sz="4" w:space="0"/>
                    <w:right w:val="single" w:color="auto" w:sz="4" w:space="0"/>
                  </w:tcBorders>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生化处理区（厌氧池、氧化沟</w:t>
                  </w:r>
                  <w:r>
                    <w:rPr>
                      <w:rFonts w:hint="eastAsia"/>
                      <w:color w:val="auto"/>
                      <w:highlight w:val="none"/>
                      <w:lang w:eastAsia="zh-CN"/>
                    </w:rPr>
                    <w:t>、</w:t>
                  </w:r>
                  <w:r>
                    <w:rPr>
                      <w:color w:val="auto"/>
                      <w:highlight w:val="none"/>
                    </w:rPr>
                    <w:t>MBBR池）、污泥处理区（贮泥池、脱泥机房）</w:t>
                  </w:r>
                </w:p>
              </w:tc>
              <w:tc>
                <w:tcPr>
                  <w:tcW w:w="654" w:type="pct"/>
                  <w:tcBorders>
                    <w:top w:val="nil"/>
                    <w:left w:val="nil"/>
                    <w:bottom w:val="single" w:color="auto" w:sz="4" w:space="0"/>
                    <w:right w:val="single" w:color="auto" w:sz="4" w:space="0"/>
                  </w:tcBorders>
                  <w:noWrap/>
                  <w:vAlign w:val="center"/>
                </w:tcPr>
                <w:p>
                  <w:pPr>
                    <w:pageBreakBefore w:val="0"/>
                    <w:kinsoku/>
                    <w:wordWrap/>
                    <w:topLinePunct w:val="0"/>
                    <w:bidi w:val="0"/>
                    <w:ind w:left="0" w:leftChars="0" w:right="0" w:rightChars="0"/>
                    <w:jc w:val="center"/>
                    <w:rPr>
                      <w:color w:val="auto"/>
                      <w:highlight w:val="none"/>
                    </w:rPr>
                  </w:pPr>
                  <w:r>
                    <w:rPr>
                      <w:color w:val="auto"/>
                      <w:highlight w:val="none"/>
                    </w:rPr>
                    <w:t>NH</w:t>
                  </w:r>
                  <w:r>
                    <w:rPr>
                      <w:color w:val="auto"/>
                      <w:highlight w:val="none"/>
                      <w:vertAlign w:val="subscript"/>
                    </w:rPr>
                    <w:t>3</w:t>
                  </w:r>
                </w:p>
              </w:tc>
              <w:tc>
                <w:tcPr>
                  <w:tcW w:w="665" w:type="pct"/>
                  <w:tcBorders>
                    <w:top w:val="nil"/>
                    <w:left w:val="nil"/>
                    <w:bottom w:val="single" w:color="auto" w:sz="4" w:space="0"/>
                    <w:right w:val="single" w:color="auto" w:sz="4" w:space="0"/>
                  </w:tcBorders>
                  <w:noWrap/>
                  <w:vAlign w:val="center"/>
                </w:tcPr>
                <w:p>
                  <w:pPr>
                    <w:pageBreakBefore w:val="0"/>
                    <w:kinsoku/>
                    <w:wordWrap/>
                    <w:topLinePunct w:val="0"/>
                    <w:bidi w:val="0"/>
                    <w:ind w:left="0" w:leftChars="0" w:right="0" w:rightChars="0"/>
                    <w:jc w:val="center"/>
                    <w:rPr>
                      <w:color w:val="auto"/>
                      <w:highlight w:val="none"/>
                    </w:rPr>
                  </w:pPr>
                  <w:r>
                    <w:rPr>
                      <w:color w:val="auto"/>
                      <w:highlight w:val="none"/>
                    </w:rPr>
                    <w:t>200</w:t>
                  </w:r>
                </w:p>
              </w:tc>
              <w:tc>
                <w:tcPr>
                  <w:tcW w:w="125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topLinePunct w:val="0"/>
                    <w:bidi w:val="0"/>
                    <w:ind w:left="0" w:leftChars="0" w:right="0" w:rightChars="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0.07852</w:t>
                  </w:r>
                </w:p>
              </w:tc>
              <w:tc>
                <w:tcPr>
                  <w:tcW w:w="1506" w:type="dxa"/>
                  <w:tcBorders>
                    <w:top w:val="single" w:color="auto" w:sz="4" w:space="0"/>
                    <w:left w:val="single" w:color="auto" w:sz="4" w:space="0"/>
                    <w:bottom w:val="single" w:color="auto" w:sz="4" w:space="0"/>
                  </w:tcBorders>
                  <w:noWrap/>
                  <w:vAlign w:val="center"/>
                </w:tcPr>
                <w:p>
                  <w:pPr>
                    <w:pageBreakBefore w:val="0"/>
                    <w:widowControl/>
                    <w:kinsoku/>
                    <w:wordWrap/>
                    <w:topLinePunct w:val="0"/>
                    <w:bidi w:val="0"/>
                    <w:ind w:left="0" w:leftChars="0" w:right="0" w:rightChars="0"/>
                    <w:jc w:val="center"/>
                    <w:textAlignment w:val="center"/>
                    <w:rPr>
                      <w:rFonts w:hint="default" w:eastAsia="宋体"/>
                      <w:color w:val="auto"/>
                      <w:highlight w:val="none"/>
                      <w:lang w:val="en-US" w:eastAsia="zh-CN"/>
                    </w:rPr>
                  </w:pPr>
                  <w:r>
                    <w:rPr>
                      <w:rFonts w:hint="eastAsia"/>
                      <w:color w:val="auto"/>
                      <w:highlight w:val="none"/>
                      <w:lang w:val="en-US" w:eastAsia="zh-CN"/>
                    </w:rPr>
                    <w:t>392600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7" w:hRule="atLeast"/>
                <w:jc w:val="center"/>
              </w:trPr>
              <w:tc>
                <w:tcPr>
                  <w:tcW w:w="2064" w:type="pct"/>
                  <w:vMerge w:val="continue"/>
                  <w:tcBorders>
                    <w:bottom w:val="single" w:color="auto" w:sz="4" w:space="0"/>
                    <w:right w:val="single" w:color="auto" w:sz="4" w:space="0"/>
                  </w:tcBorders>
                  <w:vAlign w:val="center"/>
                </w:tcPr>
                <w:p>
                  <w:pPr>
                    <w:pageBreakBefore w:val="0"/>
                    <w:kinsoku/>
                    <w:wordWrap/>
                    <w:topLinePunct w:val="0"/>
                    <w:bidi w:val="0"/>
                    <w:adjustRightInd w:val="0"/>
                    <w:ind w:left="0" w:leftChars="0" w:right="0" w:rightChars="0"/>
                    <w:jc w:val="center"/>
                    <w:rPr>
                      <w:color w:val="auto"/>
                      <w:highlight w:val="none"/>
                    </w:rPr>
                  </w:pPr>
                </w:p>
              </w:tc>
              <w:tc>
                <w:tcPr>
                  <w:tcW w:w="654" w:type="pct"/>
                  <w:tcBorders>
                    <w:top w:val="nil"/>
                    <w:left w:val="nil"/>
                    <w:bottom w:val="single" w:color="auto" w:sz="4" w:space="0"/>
                    <w:right w:val="single" w:color="auto" w:sz="4" w:space="0"/>
                  </w:tcBorders>
                  <w:noWrap/>
                  <w:vAlign w:val="center"/>
                </w:tcPr>
                <w:p>
                  <w:pPr>
                    <w:pageBreakBefore w:val="0"/>
                    <w:kinsoku/>
                    <w:wordWrap/>
                    <w:topLinePunct w:val="0"/>
                    <w:bidi w:val="0"/>
                    <w:ind w:left="0" w:leftChars="0" w:right="0" w:rightChars="0"/>
                    <w:jc w:val="center"/>
                    <w:rPr>
                      <w:color w:val="auto"/>
                      <w:highlight w:val="none"/>
                    </w:rPr>
                  </w:pPr>
                  <w:r>
                    <w:rPr>
                      <w:color w:val="auto"/>
                      <w:highlight w:val="none"/>
                    </w:rPr>
                    <w:t>H</w:t>
                  </w:r>
                  <w:r>
                    <w:rPr>
                      <w:color w:val="auto"/>
                      <w:highlight w:val="none"/>
                      <w:vertAlign w:val="subscript"/>
                    </w:rPr>
                    <w:t>2</w:t>
                  </w:r>
                  <w:r>
                    <w:rPr>
                      <w:color w:val="auto"/>
                      <w:highlight w:val="none"/>
                    </w:rPr>
                    <w:t>S</w:t>
                  </w:r>
                </w:p>
              </w:tc>
              <w:tc>
                <w:tcPr>
                  <w:tcW w:w="665" w:type="pct"/>
                  <w:tcBorders>
                    <w:top w:val="nil"/>
                    <w:left w:val="nil"/>
                    <w:bottom w:val="single" w:color="auto" w:sz="4" w:space="0"/>
                    <w:right w:val="single" w:color="auto" w:sz="4" w:space="0"/>
                  </w:tcBorders>
                  <w:noWrap/>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134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topLinePunct w:val="0"/>
                    <w:bidi w:val="0"/>
                    <w:ind w:left="0" w:leftChars="0" w:right="0" w:rightChars="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0.00139</w:t>
                  </w:r>
                </w:p>
              </w:tc>
              <w:tc>
                <w:tcPr>
                  <w:tcW w:w="879" w:type="pct"/>
                  <w:tcBorders>
                    <w:top w:val="single" w:color="auto" w:sz="4" w:space="0"/>
                    <w:left w:val="single" w:color="auto" w:sz="4" w:space="0"/>
                    <w:bottom w:val="single" w:color="auto" w:sz="4" w:space="0"/>
                  </w:tcBorders>
                  <w:noWrap/>
                  <w:vAlign w:val="center"/>
                </w:tcPr>
                <w:p>
                  <w:pPr>
                    <w:pageBreakBefore w:val="0"/>
                    <w:widowControl/>
                    <w:kinsoku/>
                    <w:wordWrap/>
                    <w:topLinePunct w:val="0"/>
                    <w:bidi w:val="0"/>
                    <w:ind w:left="0" w:leftChars="0" w:right="0" w:rightChars="0"/>
                    <w:jc w:val="center"/>
                    <w:textAlignment w:val="center"/>
                    <w:rPr>
                      <w:color w:val="auto"/>
                      <w:highlight w:val="none"/>
                    </w:rPr>
                  </w:pPr>
                  <w:r>
                    <w:rPr>
                      <w:rFonts w:hint="eastAsia"/>
                      <w:color w:val="auto"/>
                      <w:highlight w:val="none"/>
                      <w:lang w:val="en-US" w:eastAsia="zh-CN"/>
                    </w:rPr>
                    <w:t>1390</w:t>
                  </w:r>
                  <w:r>
                    <w:rPr>
                      <w:color w:val="auto"/>
                      <w:highlight w:val="none"/>
                    </w:rPr>
                    <w:t>00</w:t>
                  </w:r>
                </w:p>
              </w:tc>
            </w:tr>
          </w:tbl>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当目标企业无组织排放存在多种有毒有害污染物时，基于单个污染物的等标排气量计算结果，优先选择等标排气量最大的污染物为企业无组织排放的主要特征大气有害物质。经计算，氨和硫化氢等标排放量相差大于10%，因此选择NH</w:t>
            </w:r>
            <w:r>
              <w:rPr>
                <w:color w:val="auto"/>
                <w:sz w:val="24"/>
                <w:szCs w:val="32"/>
                <w:highlight w:val="none"/>
                <w:vertAlign w:val="subscript"/>
                <w:lang w:bidi="ar"/>
              </w:rPr>
              <w:t>3</w:t>
            </w:r>
            <w:r>
              <w:rPr>
                <w:color w:val="auto"/>
                <w:sz w:val="24"/>
                <w:szCs w:val="32"/>
                <w:highlight w:val="none"/>
                <w:lang w:bidi="ar"/>
              </w:rPr>
              <w:t>为无组织排放的主要特征大气有害物质计算卫生防护距离初值。</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（2）卫生防护距离初值计算</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无组织排放将在近距离内造成一定的影响，为保护大气环境和人群健康，故环评拟设定卫生防护距离来界定。卫生防护距离的计算方法根据《大气有害物质无组织排放卫生防护距离推导技术导则》（GB/T39499-2020）中卫生防护距离初值计算公式进行计算：</w:t>
            </w:r>
          </w:p>
          <w:p>
            <w:pPr>
              <w:pageBreakBefore w:val="0"/>
              <w:kinsoku/>
              <w:wordWrap/>
              <w:topLinePunct w:val="0"/>
              <w:bidi w:val="0"/>
              <w:adjustRightInd w:val="0"/>
              <w:snapToGrid w:val="0"/>
              <w:spacing w:line="360" w:lineRule="auto"/>
              <w:ind w:left="0" w:leftChars="0" w:right="0" w:rightChars="0"/>
              <w:jc w:val="center"/>
              <w:rPr>
                <w:color w:val="auto"/>
                <w:sz w:val="24"/>
                <w:szCs w:val="24"/>
                <w:highlight w:val="none"/>
              </w:rPr>
            </w:pPr>
            <w:r>
              <w:rPr>
                <w:color w:val="auto"/>
                <w:highlight w:val="none"/>
              </w:rPr>
              <w:drawing>
                <wp:inline distT="0" distB="0" distL="114300" distR="114300">
                  <wp:extent cx="2514600" cy="678815"/>
                  <wp:effectExtent l="0" t="0" r="0" b="698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28"/>
                          <a:stretch>
                            <a:fillRect/>
                          </a:stretch>
                        </pic:blipFill>
                        <pic:spPr>
                          <a:xfrm>
                            <a:off x="0" y="0"/>
                            <a:ext cx="2514600" cy="678815"/>
                          </a:xfrm>
                          <a:prstGeom prst="rect">
                            <a:avLst/>
                          </a:prstGeom>
                          <a:noFill/>
                          <a:ln>
                            <a:noFill/>
                          </a:ln>
                        </pic:spPr>
                      </pic:pic>
                    </a:graphicData>
                  </a:graphic>
                </wp:inline>
              </w:drawing>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式中：Qc—污染物的单位时间无组织排放量，kg/h；</w:t>
            </w:r>
          </w:p>
          <w:p>
            <w:pPr>
              <w:pageBreakBefore w:val="0"/>
              <w:kinsoku/>
              <w:wordWrap/>
              <w:topLinePunct w:val="0"/>
              <w:bidi w:val="0"/>
              <w:adjustRightInd w:val="0"/>
              <w:snapToGrid w:val="0"/>
              <w:spacing w:line="360" w:lineRule="auto"/>
              <w:ind w:left="0" w:leftChars="0" w:right="0" w:rightChars="0" w:firstLine="1200" w:firstLineChars="500"/>
              <w:rPr>
                <w:color w:val="auto"/>
                <w:sz w:val="24"/>
                <w:szCs w:val="24"/>
                <w:highlight w:val="none"/>
              </w:rPr>
            </w:pPr>
            <w:r>
              <w:rPr>
                <w:color w:val="auto"/>
                <w:sz w:val="24"/>
                <w:szCs w:val="24"/>
                <w:highlight w:val="none"/>
              </w:rPr>
              <w:t>Cm—污染物的标准浓度限值，mg/m</w:t>
            </w:r>
            <w:r>
              <w:rPr>
                <w:color w:val="auto"/>
                <w:sz w:val="24"/>
                <w:szCs w:val="24"/>
                <w:highlight w:val="none"/>
                <w:vertAlign w:val="superscript"/>
              </w:rPr>
              <w:t>3</w:t>
            </w:r>
            <w:r>
              <w:rPr>
                <w:color w:val="auto"/>
                <w:sz w:val="24"/>
                <w:szCs w:val="24"/>
                <w:highlight w:val="none"/>
              </w:rPr>
              <w:t>；</w:t>
            </w:r>
          </w:p>
          <w:p>
            <w:pPr>
              <w:pageBreakBefore w:val="0"/>
              <w:kinsoku/>
              <w:wordWrap/>
              <w:topLinePunct w:val="0"/>
              <w:bidi w:val="0"/>
              <w:adjustRightInd w:val="0"/>
              <w:snapToGrid w:val="0"/>
              <w:spacing w:line="360" w:lineRule="auto"/>
              <w:ind w:left="0" w:leftChars="0" w:right="0" w:rightChars="0" w:firstLine="1200" w:firstLineChars="500"/>
              <w:rPr>
                <w:color w:val="auto"/>
                <w:sz w:val="24"/>
                <w:szCs w:val="24"/>
                <w:highlight w:val="none"/>
              </w:rPr>
            </w:pPr>
            <w:r>
              <w:rPr>
                <w:color w:val="auto"/>
                <w:sz w:val="24"/>
                <w:szCs w:val="24"/>
                <w:highlight w:val="none"/>
              </w:rPr>
              <w:t>L—卫生防护距离，m；</w:t>
            </w:r>
          </w:p>
          <w:p>
            <w:pPr>
              <w:pageBreakBefore w:val="0"/>
              <w:kinsoku/>
              <w:wordWrap/>
              <w:topLinePunct w:val="0"/>
              <w:bidi w:val="0"/>
              <w:adjustRightInd w:val="0"/>
              <w:snapToGrid w:val="0"/>
              <w:spacing w:line="360" w:lineRule="auto"/>
              <w:ind w:left="0" w:leftChars="0" w:right="0" w:rightChars="0" w:firstLine="1200" w:firstLineChars="500"/>
              <w:rPr>
                <w:color w:val="auto"/>
                <w:sz w:val="24"/>
                <w:szCs w:val="24"/>
                <w:highlight w:val="none"/>
              </w:rPr>
            </w:pPr>
            <w:r>
              <w:rPr>
                <w:color w:val="auto"/>
                <w:sz w:val="24"/>
                <w:szCs w:val="24"/>
                <w:highlight w:val="none"/>
              </w:rPr>
              <w:t>r—生产单元等效半径；</w:t>
            </w:r>
          </w:p>
          <w:p>
            <w:pPr>
              <w:pageBreakBefore w:val="0"/>
              <w:kinsoku/>
              <w:wordWrap/>
              <w:topLinePunct w:val="0"/>
              <w:bidi w:val="0"/>
              <w:adjustRightInd w:val="0"/>
              <w:snapToGrid w:val="0"/>
              <w:spacing w:line="360" w:lineRule="auto"/>
              <w:ind w:left="0" w:leftChars="0" w:right="0" w:rightChars="0" w:firstLine="1200" w:firstLineChars="500"/>
              <w:rPr>
                <w:color w:val="auto"/>
                <w:sz w:val="24"/>
                <w:szCs w:val="24"/>
                <w:highlight w:val="none"/>
              </w:rPr>
            </w:pPr>
            <w:r>
              <w:rPr>
                <w:color w:val="auto"/>
                <w:sz w:val="24"/>
                <w:szCs w:val="24"/>
                <w:highlight w:val="none"/>
              </w:rPr>
              <w:t>A、B、C、D—计算系数，据本地条件A=400，B=0.01，C=1.85，D=0.78。</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表4-4</w:t>
            </w:r>
            <w:r>
              <w:rPr>
                <w:rFonts w:hint="eastAsia" w:eastAsia="黑体"/>
                <w:color w:val="auto"/>
                <w:highlight w:val="none"/>
              </w:rPr>
              <w:t xml:space="preserve"> </w:t>
            </w:r>
            <w:r>
              <w:rPr>
                <w:rFonts w:eastAsia="黑体"/>
                <w:color w:val="auto"/>
                <w:highlight w:val="none"/>
              </w:rPr>
              <w:t>卫生防护距离情况</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1049"/>
              <w:gridCol w:w="821"/>
              <w:gridCol w:w="1423"/>
              <w:gridCol w:w="1607"/>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0"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排放单元</w:t>
                  </w:r>
                </w:p>
              </w:tc>
              <w:tc>
                <w:tcPr>
                  <w:tcW w:w="572" w:type="pct"/>
                  <w:noWrap/>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面源面积（m</w:t>
                  </w:r>
                  <w:r>
                    <w:rPr>
                      <w:b/>
                      <w:bCs/>
                      <w:color w:val="auto"/>
                      <w:kern w:val="0"/>
                      <w:highlight w:val="none"/>
                      <w:vertAlign w:val="superscript"/>
                    </w:rPr>
                    <w:t>2</w:t>
                  </w:r>
                  <w:r>
                    <w:rPr>
                      <w:b/>
                      <w:bCs/>
                      <w:color w:val="auto"/>
                      <w:kern w:val="0"/>
                      <w:highlight w:val="none"/>
                    </w:rPr>
                    <w:t>）</w:t>
                  </w:r>
                </w:p>
              </w:tc>
              <w:tc>
                <w:tcPr>
                  <w:tcW w:w="449"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污染物</w:t>
                  </w:r>
                </w:p>
              </w:tc>
              <w:tc>
                <w:tcPr>
                  <w:tcW w:w="776"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无组织排放量（kg/h）</w:t>
                  </w:r>
                </w:p>
              </w:tc>
              <w:tc>
                <w:tcPr>
                  <w:tcW w:w="876"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卫生防护距离计算值（m）</w:t>
                  </w:r>
                </w:p>
              </w:tc>
              <w:tc>
                <w:tcPr>
                  <w:tcW w:w="772" w:type="pct"/>
                  <w:vAlign w:val="center"/>
                </w:tcPr>
                <w:p>
                  <w:pPr>
                    <w:pageBreakBefore w:val="0"/>
                    <w:widowControl/>
                    <w:kinsoku/>
                    <w:wordWrap/>
                    <w:topLinePunct w:val="0"/>
                    <w:bidi w:val="0"/>
                    <w:ind w:left="0" w:leftChars="0" w:right="0" w:rightChars="0"/>
                    <w:jc w:val="center"/>
                    <w:rPr>
                      <w:b/>
                      <w:bCs/>
                      <w:color w:val="auto"/>
                      <w:kern w:val="0"/>
                      <w:highlight w:val="none"/>
                    </w:rPr>
                  </w:pPr>
                  <w:r>
                    <w:rPr>
                      <w:b/>
                      <w:bCs/>
                      <w:color w:val="auto"/>
                      <w:kern w:val="0"/>
                      <w:highlight w:val="none"/>
                    </w:rPr>
                    <w:t>卫生防护划定距离（m）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0" w:type="pct"/>
                  <w:vAlign w:val="center"/>
                </w:tcPr>
                <w:p>
                  <w:pPr>
                    <w:pageBreakBefore w:val="0"/>
                    <w:kinsoku/>
                    <w:wordWrap/>
                    <w:topLinePunct w:val="0"/>
                    <w:bidi w:val="0"/>
                    <w:adjustRightInd w:val="0"/>
                    <w:ind w:left="0" w:leftChars="0" w:right="0" w:rightChars="0"/>
                    <w:jc w:val="center"/>
                    <w:rPr>
                      <w:color w:val="auto"/>
                      <w:highlight w:val="none"/>
                    </w:rPr>
                  </w:pPr>
                  <w:r>
                    <w:rPr>
                      <w:color w:val="auto"/>
                      <w:highlight w:val="none"/>
                    </w:rPr>
                    <w:t>生化处理区、污泥处理区</w:t>
                  </w:r>
                </w:p>
              </w:tc>
              <w:tc>
                <w:tcPr>
                  <w:tcW w:w="572" w:type="pct"/>
                  <w:noWrap/>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2584.94</w:t>
                  </w:r>
                </w:p>
              </w:tc>
              <w:tc>
                <w:tcPr>
                  <w:tcW w:w="449" w:type="pct"/>
                  <w:noWrap/>
                  <w:vAlign w:val="center"/>
                </w:tcPr>
                <w:p>
                  <w:pPr>
                    <w:pageBreakBefore w:val="0"/>
                    <w:kinsoku/>
                    <w:wordWrap/>
                    <w:topLinePunct w:val="0"/>
                    <w:bidi w:val="0"/>
                    <w:ind w:left="0" w:leftChars="0" w:right="0" w:rightChars="0"/>
                    <w:jc w:val="center"/>
                    <w:rPr>
                      <w:color w:val="auto"/>
                      <w:highlight w:val="none"/>
                    </w:rPr>
                  </w:pPr>
                  <w:r>
                    <w:rPr>
                      <w:color w:val="auto"/>
                      <w:highlight w:val="none"/>
                    </w:rPr>
                    <w:t>NH</w:t>
                  </w:r>
                  <w:r>
                    <w:rPr>
                      <w:color w:val="auto"/>
                      <w:highlight w:val="none"/>
                      <w:vertAlign w:val="subscript"/>
                    </w:rPr>
                    <w:t>3</w:t>
                  </w:r>
                </w:p>
              </w:tc>
              <w:tc>
                <w:tcPr>
                  <w:tcW w:w="1330" w:type="dxa"/>
                  <w:noWrap/>
                  <w:vAlign w:val="center"/>
                </w:tcPr>
                <w:p>
                  <w:pPr>
                    <w:pageBreakBefore w:val="0"/>
                    <w:widowControl/>
                    <w:kinsoku/>
                    <w:wordWrap/>
                    <w:topLinePunct w:val="0"/>
                    <w:bidi w:val="0"/>
                    <w:ind w:left="0" w:leftChars="0" w:right="0" w:rightChars="0"/>
                    <w:jc w:val="center"/>
                    <w:textAlignment w:val="center"/>
                    <w:rPr>
                      <w:color w:val="auto"/>
                      <w:highlight w:val="none"/>
                    </w:rPr>
                  </w:pPr>
                  <w:r>
                    <w:rPr>
                      <w:rFonts w:hint="default"/>
                      <w:color w:val="auto"/>
                      <w:highlight w:val="none"/>
                      <w:lang w:val="en-US" w:eastAsia="zh-CN"/>
                    </w:rPr>
                    <w:t>0.07852</w:t>
                  </w:r>
                </w:p>
              </w:tc>
              <w:tc>
                <w:tcPr>
                  <w:tcW w:w="1501" w:type="dxa"/>
                  <w:noWrap/>
                  <w:vAlign w:val="center"/>
                </w:tcPr>
                <w:p>
                  <w:pPr>
                    <w:pageBreakBefore w:val="0"/>
                    <w:widowControl/>
                    <w:kinsoku/>
                    <w:wordWrap/>
                    <w:topLinePunct w:val="0"/>
                    <w:bidi w:val="0"/>
                    <w:ind w:left="0" w:leftChars="0" w:right="0" w:rightChars="0"/>
                    <w:jc w:val="center"/>
                    <w:textAlignment w:val="center"/>
                    <w:rPr>
                      <w:rFonts w:hint="default" w:eastAsia="宋体"/>
                      <w:color w:val="auto"/>
                      <w:highlight w:val="none"/>
                      <w:lang w:val="en-US" w:eastAsia="zh-CN"/>
                    </w:rPr>
                  </w:pPr>
                  <w:r>
                    <w:rPr>
                      <w:rFonts w:hint="eastAsia"/>
                      <w:color w:val="auto"/>
                      <w:highlight w:val="none"/>
                      <w:lang w:val="en-US" w:eastAsia="zh-CN"/>
                    </w:rPr>
                    <w:t>21.762</w:t>
                  </w:r>
                </w:p>
              </w:tc>
              <w:tc>
                <w:tcPr>
                  <w:tcW w:w="772" w:type="pct"/>
                  <w:noWrap/>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50</w:t>
                  </w:r>
                </w:p>
              </w:tc>
            </w:tr>
          </w:tbl>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根据上述计算结果，本次</w:t>
            </w:r>
            <w:r>
              <w:rPr>
                <w:rFonts w:hint="eastAsia"/>
                <w:color w:val="auto"/>
                <w:sz w:val="24"/>
                <w:szCs w:val="24"/>
                <w:highlight w:val="none"/>
                <w:lang w:val="en-US" w:eastAsia="zh-CN"/>
              </w:rPr>
              <w:t>二期</w:t>
            </w:r>
            <w:r>
              <w:rPr>
                <w:color w:val="auto"/>
                <w:sz w:val="24"/>
                <w:szCs w:val="24"/>
                <w:highlight w:val="none"/>
              </w:rPr>
              <w:t>以生化处理区（厌氧池、氧化沟、MBBR池）、污泥处理区（贮泥池、脱泥机房）构筑物边界为起点，外延50m的范围划定卫生防护距离。</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rFonts w:hint="eastAsia"/>
                <w:b w:val="0"/>
                <w:bCs w:val="0"/>
                <w:color w:val="auto"/>
                <w:sz w:val="24"/>
                <w:szCs w:val="24"/>
                <w:highlight w:val="none"/>
                <w:lang w:val="en-US" w:eastAsia="zh-CN"/>
              </w:rPr>
              <w:t>项目</w:t>
            </w:r>
            <w:r>
              <w:rPr>
                <w:rFonts w:hint="eastAsia"/>
                <w:color w:val="auto"/>
                <w:sz w:val="24"/>
                <w:szCs w:val="32"/>
                <w:highlight w:val="none"/>
                <w:lang w:val="en-US" w:eastAsia="zh-CN" w:bidi="ar"/>
              </w:rPr>
              <w:t>一期</w:t>
            </w:r>
            <w:r>
              <w:rPr>
                <w:color w:val="auto"/>
                <w:sz w:val="24"/>
                <w:szCs w:val="32"/>
                <w:highlight w:val="none"/>
                <w:lang w:bidi="ar"/>
              </w:rPr>
              <w:t>以</w:t>
            </w:r>
            <w:r>
              <w:rPr>
                <w:rFonts w:hint="eastAsia"/>
                <w:color w:val="auto"/>
                <w:sz w:val="24"/>
                <w:szCs w:val="32"/>
                <w:highlight w:val="none"/>
                <w:lang w:eastAsia="zh-CN" w:bidi="ar"/>
              </w:rPr>
              <w:t>恶臭单元（粗细格栅、污泥脱水间、贮泥池）边界外设置100m卫生防护距离，</w:t>
            </w:r>
            <w:r>
              <w:rPr>
                <w:color w:val="auto"/>
                <w:sz w:val="24"/>
                <w:szCs w:val="32"/>
                <w:highlight w:val="none"/>
                <w:lang w:bidi="ar"/>
              </w:rPr>
              <w:t>本次</w:t>
            </w:r>
            <w:r>
              <w:rPr>
                <w:rFonts w:hint="eastAsia"/>
                <w:color w:val="auto"/>
                <w:sz w:val="24"/>
                <w:szCs w:val="32"/>
                <w:highlight w:val="none"/>
                <w:lang w:val="en-US" w:eastAsia="zh-CN" w:bidi="ar"/>
              </w:rPr>
              <w:t>二期</w:t>
            </w:r>
            <w:r>
              <w:rPr>
                <w:color w:val="auto"/>
                <w:sz w:val="24"/>
                <w:szCs w:val="32"/>
                <w:highlight w:val="none"/>
                <w:lang w:bidi="ar"/>
              </w:rPr>
              <w:t>以生化处理区（厌氧池、氧化沟、MBBR池）、</w:t>
            </w:r>
            <w:r>
              <w:rPr>
                <w:rFonts w:hint="eastAsia"/>
                <w:color w:val="auto"/>
                <w:sz w:val="24"/>
                <w:szCs w:val="32"/>
                <w:highlight w:val="none"/>
                <w:lang w:val="en-US" w:eastAsia="zh-CN" w:bidi="ar"/>
              </w:rPr>
              <w:t>新建的</w:t>
            </w:r>
            <w:r>
              <w:rPr>
                <w:color w:val="auto"/>
                <w:sz w:val="24"/>
                <w:szCs w:val="32"/>
                <w:highlight w:val="none"/>
                <w:lang w:bidi="ar"/>
              </w:rPr>
              <w:t>污泥处理区（贮泥池、脱泥机房）构筑物边界为起点，外延50m的范围划定卫生防护距离。</w:t>
            </w:r>
            <w:r>
              <w:rPr>
                <w:b/>
                <w:bCs/>
                <w:color w:val="auto"/>
                <w:sz w:val="24"/>
                <w:szCs w:val="24"/>
                <w:highlight w:val="none"/>
              </w:rPr>
              <w:t>项目划定的卫生防护距离范围内有8户居民住户，</w:t>
            </w:r>
            <w:r>
              <w:rPr>
                <w:b/>
                <w:bCs/>
                <w:color w:val="auto"/>
                <w:sz w:val="24"/>
                <w:szCs w:val="24"/>
                <w:highlight w:val="none"/>
                <w:lang w:bidi="ar"/>
              </w:rPr>
              <w:t>结合城镇建设总体规划，由政府承诺进行搬迁安置。</w:t>
            </w:r>
            <w:r>
              <w:rPr>
                <w:rFonts w:hint="eastAsia"/>
                <w:b/>
                <w:bCs/>
                <w:color w:val="auto"/>
                <w:sz w:val="24"/>
                <w:szCs w:val="24"/>
                <w:highlight w:val="none"/>
                <w:lang w:val="en-US" w:eastAsia="zh-CN" w:bidi="ar"/>
              </w:rPr>
              <w:t>同时，本环评要求，项目验收之前需完成卫生防护距离内居民的全部搬迁。</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同时，项目卫生防护距离范围内禁止建设居民住宅区、医院、学校等环境敏感点，不得引进医药、食品加工等对外环境要求较高的企业及公共场所。本环评批复后必须送达当地相关部门备案，确保卫生防护要求得以保证。</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color w:val="auto"/>
                <w:sz w:val="24"/>
                <w:szCs w:val="24"/>
                <w:highlight w:val="none"/>
              </w:rPr>
              <w:t>5、</w:t>
            </w:r>
            <w:r>
              <w:rPr>
                <w:b/>
                <w:bCs/>
                <w:color w:val="auto"/>
                <w:sz w:val="24"/>
                <w:szCs w:val="24"/>
                <w:highlight w:val="none"/>
              </w:rPr>
              <w:t>废气污染物排放统计情况</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本项目废气污染物排放统计表如下：</w:t>
            </w:r>
          </w:p>
          <w:p>
            <w:pPr>
              <w:pageBreakBefore w:val="0"/>
              <w:kinsoku/>
              <w:wordWrap/>
              <w:topLinePunct w:val="0"/>
              <w:bidi w:val="0"/>
              <w:adjustRightInd w:val="0"/>
              <w:snapToGrid w:val="0"/>
              <w:spacing w:line="360" w:lineRule="auto"/>
              <w:ind w:right="0" w:rightChars="0"/>
              <w:jc w:val="center"/>
              <w:rPr>
                <w:rFonts w:eastAsia="黑体"/>
                <w:color w:val="auto"/>
                <w:highlight w:val="none"/>
              </w:rPr>
            </w:pPr>
            <w:r>
              <w:rPr>
                <w:rFonts w:eastAsia="黑体"/>
                <w:color w:val="auto"/>
                <w:highlight w:val="none"/>
              </w:rPr>
              <w:t>表4-5</w:t>
            </w:r>
            <w:r>
              <w:rPr>
                <w:rFonts w:hint="eastAsia" w:eastAsia="黑体"/>
                <w:color w:val="auto"/>
                <w:highlight w:val="none"/>
              </w:rPr>
              <w:t xml:space="preserve"> </w:t>
            </w:r>
            <w:r>
              <w:rPr>
                <w:rFonts w:eastAsia="黑体"/>
                <w:color w:val="auto"/>
                <w:highlight w:val="none"/>
              </w:rPr>
              <w:t>运营期废气污染物排放统计表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584"/>
              <w:gridCol w:w="2584"/>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污染物</w:t>
                  </w:r>
                </w:p>
              </w:tc>
              <w:tc>
                <w:tcPr>
                  <w:tcW w:w="1409"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有组织排放量（t/a）</w:t>
                  </w:r>
                </w:p>
              </w:tc>
              <w:tc>
                <w:tcPr>
                  <w:tcW w:w="1409"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无组织排放量（t/a）</w:t>
                  </w:r>
                </w:p>
              </w:tc>
              <w:tc>
                <w:tcPr>
                  <w:tcW w:w="111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合计（t/a）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NH</w:t>
                  </w:r>
                  <w:r>
                    <w:rPr>
                      <w:color w:val="auto"/>
                      <w:highlight w:val="none"/>
                      <w:vertAlign w:val="subscript"/>
                    </w:rPr>
                    <w:t>3</w:t>
                  </w:r>
                </w:p>
              </w:tc>
              <w:tc>
                <w:tcPr>
                  <w:tcW w:w="1409"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w:t>
                  </w:r>
                </w:p>
              </w:tc>
              <w:tc>
                <w:tcPr>
                  <w:tcW w:w="14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0.7874</w:t>
                  </w:r>
                </w:p>
              </w:tc>
              <w:tc>
                <w:tcPr>
                  <w:tcW w:w="111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t>
                  </w:r>
                  <w:r>
                    <w:rPr>
                      <w:color w:val="auto"/>
                      <w:highlight w:val="none"/>
                      <w:vertAlign w:val="subscript"/>
                    </w:rPr>
                    <w:t>2</w:t>
                  </w:r>
                  <w:r>
                    <w:rPr>
                      <w:color w:val="auto"/>
                      <w:highlight w:val="none"/>
                    </w:rPr>
                    <w:t>S</w:t>
                  </w:r>
                </w:p>
              </w:tc>
              <w:tc>
                <w:tcPr>
                  <w:tcW w:w="1409"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w:t>
                  </w:r>
                </w:p>
              </w:tc>
              <w:tc>
                <w:tcPr>
                  <w:tcW w:w="1409"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0.0132</w:t>
                  </w:r>
                </w:p>
              </w:tc>
              <w:tc>
                <w:tcPr>
                  <w:tcW w:w="1115" w:type="pct"/>
                  <w:vAlign w:val="center"/>
                </w:tcPr>
                <w:p>
                  <w:pPr>
                    <w:pageBreakBefore w:val="0"/>
                    <w:kinsoku/>
                    <w:wordWrap/>
                    <w:topLinePunct w:val="0"/>
                    <w:bidi w:val="0"/>
                    <w:ind w:left="0" w:leftChars="0" w:right="0" w:rightChars="0"/>
                    <w:jc w:val="center"/>
                    <w:rPr>
                      <w:color w:val="auto"/>
                      <w:highlight w:val="none"/>
                    </w:rPr>
                  </w:pPr>
                  <w:r>
                    <w:rPr>
                      <w:color w:val="auto"/>
                      <w:kern w:val="0"/>
                      <w:highlight w:val="none"/>
                      <w:lang w:bidi="ar"/>
                    </w:rPr>
                    <w:t>0.0132</w:t>
                  </w:r>
                </w:p>
              </w:tc>
            </w:tr>
          </w:tbl>
          <w:p>
            <w:pPr>
              <w:pageBreakBefore w:val="0"/>
              <w:kinsoku/>
              <w:wordWrap/>
              <w:topLinePunct w:val="0"/>
              <w:bidi w:val="0"/>
              <w:spacing w:line="360" w:lineRule="auto"/>
              <w:ind w:left="0" w:leftChars="0" w:right="0" w:rightChars="0" w:firstLine="482" w:firstLineChars="200"/>
              <w:rPr>
                <w:b/>
                <w:color w:val="auto"/>
                <w:sz w:val="24"/>
                <w:szCs w:val="24"/>
                <w:highlight w:val="none"/>
              </w:rPr>
            </w:pPr>
            <w:r>
              <w:rPr>
                <w:b/>
                <w:color w:val="auto"/>
                <w:sz w:val="24"/>
                <w:szCs w:val="24"/>
                <w:highlight w:val="none"/>
              </w:rPr>
              <w:t>6、大气监测计划</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本次环评根据《排污许可证申请与核发技术规范水处理（试行）》（HJ978-2018）、《排污单位自行监测技术指南水处理》（HJ1083-2020）提出项目生产运行阶段的污染源监测计划，详见下表。</w:t>
            </w:r>
          </w:p>
          <w:p>
            <w:pPr>
              <w:pageBreakBefore w:val="0"/>
              <w:tabs>
                <w:tab w:val="left" w:pos="2010"/>
              </w:tabs>
              <w:kinsoku/>
              <w:wordWrap/>
              <w:topLinePunct w:val="0"/>
              <w:bidi w:val="0"/>
              <w:adjustRightInd w:val="0"/>
              <w:snapToGrid w:val="0"/>
              <w:spacing w:line="360" w:lineRule="auto"/>
              <w:ind w:left="0" w:leftChars="0" w:right="0" w:rightChars="0"/>
              <w:jc w:val="center"/>
              <w:rPr>
                <w:rFonts w:eastAsia="黑体"/>
                <w:color w:val="auto"/>
                <w:highlight w:val="none"/>
              </w:rPr>
            </w:pPr>
            <w:r>
              <w:rPr>
                <w:rFonts w:eastAsia="黑体"/>
                <w:color w:val="auto"/>
                <w:highlight w:val="none"/>
              </w:rPr>
              <w:t>表4-6</w:t>
            </w:r>
            <w:r>
              <w:rPr>
                <w:rFonts w:hint="eastAsia" w:eastAsia="黑体"/>
                <w:color w:val="auto"/>
                <w:highlight w:val="none"/>
              </w:rPr>
              <w:t xml:space="preserve"> </w:t>
            </w:r>
            <w:r>
              <w:rPr>
                <w:rFonts w:eastAsia="黑体"/>
                <w:color w:val="auto"/>
                <w:highlight w:val="none"/>
              </w:rPr>
              <w:t>环境管理与监测计划一览表（污染源）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92"/>
              <w:gridCol w:w="1388"/>
              <w:gridCol w:w="1114"/>
              <w:gridCol w:w="1230"/>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项目</w:t>
                  </w:r>
                </w:p>
              </w:tc>
              <w:tc>
                <w:tcPr>
                  <w:tcW w:w="151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监测点位</w:t>
                  </w:r>
                </w:p>
              </w:tc>
              <w:tc>
                <w:tcPr>
                  <w:tcW w:w="1320"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监测项目</w:t>
                  </w:r>
                </w:p>
              </w:tc>
              <w:tc>
                <w:tcPr>
                  <w:tcW w:w="1060"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监测单位</w:t>
                  </w:r>
                </w:p>
              </w:tc>
              <w:tc>
                <w:tcPr>
                  <w:tcW w:w="1170"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监测频次</w:t>
                  </w:r>
                </w:p>
              </w:tc>
              <w:tc>
                <w:tcPr>
                  <w:tcW w:w="2977"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废气</w:t>
                  </w:r>
                </w:p>
              </w:tc>
              <w:tc>
                <w:tcPr>
                  <w:tcW w:w="151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厂界</w:t>
                  </w:r>
                </w:p>
              </w:tc>
              <w:tc>
                <w:tcPr>
                  <w:tcW w:w="132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臭气浓度、硫化氢、氨</w:t>
                  </w:r>
                </w:p>
              </w:tc>
              <w:tc>
                <w:tcPr>
                  <w:tcW w:w="1060"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委托有资质单位代为监测</w:t>
                  </w:r>
                </w:p>
              </w:tc>
              <w:tc>
                <w:tcPr>
                  <w:tcW w:w="11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2977"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《城镇污水处理厂污染物排放标准》（GB18918-2002）表4厂界（防护带边缘）废气排放最高允许浓度中二级标准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pageBreakBefore w:val="0"/>
                    <w:kinsoku/>
                    <w:wordWrap/>
                    <w:topLinePunct w:val="0"/>
                    <w:bidi w:val="0"/>
                    <w:ind w:left="0" w:leftChars="0" w:right="0" w:rightChars="0"/>
                    <w:jc w:val="center"/>
                    <w:rPr>
                      <w:color w:val="auto"/>
                      <w:highlight w:val="none"/>
                    </w:rPr>
                  </w:pPr>
                </w:p>
              </w:tc>
              <w:tc>
                <w:tcPr>
                  <w:tcW w:w="151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甲烷（厂区最高体积浓度）</w:t>
                  </w:r>
                </w:p>
              </w:tc>
              <w:tc>
                <w:tcPr>
                  <w:tcW w:w="132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甲烷</w:t>
                  </w:r>
                </w:p>
              </w:tc>
              <w:tc>
                <w:tcPr>
                  <w:tcW w:w="1060" w:type="dxa"/>
                  <w:vMerge w:val="continue"/>
                  <w:vAlign w:val="center"/>
                </w:tcPr>
                <w:p>
                  <w:pPr>
                    <w:pageBreakBefore w:val="0"/>
                    <w:kinsoku/>
                    <w:wordWrap/>
                    <w:topLinePunct w:val="0"/>
                    <w:bidi w:val="0"/>
                    <w:ind w:left="0" w:leftChars="0" w:right="0" w:rightChars="0"/>
                    <w:jc w:val="center"/>
                    <w:rPr>
                      <w:color w:val="auto"/>
                      <w:highlight w:val="none"/>
                    </w:rPr>
                  </w:pPr>
                </w:p>
              </w:tc>
              <w:tc>
                <w:tcPr>
                  <w:tcW w:w="11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1次/年</w:t>
                  </w:r>
                </w:p>
              </w:tc>
              <w:tc>
                <w:tcPr>
                  <w:tcW w:w="2977" w:type="dxa"/>
                  <w:vMerge w:val="continue"/>
                  <w:vAlign w:val="center"/>
                </w:tcPr>
                <w:p>
                  <w:pPr>
                    <w:pageBreakBefore w:val="0"/>
                    <w:kinsoku/>
                    <w:wordWrap/>
                    <w:topLinePunct w:val="0"/>
                    <w:bidi w:val="0"/>
                    <w:ind w:left="0" w:leftChars="0" w:right="0" w:rightChars="0"/>
                    <w:jc w:val="center"/>
                    <w:rPr>
                      <w:color w:val="auto"/>
                      <w:highlight w:val="none"/>
                    </w:rPr>
                  </w:pP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7、环境影响结论</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本项目区域为空气质量达标区，运营期为控制恶臭对大气环境影响，</w:t>
            </w:r>
            <w:r>
              <w:rPr>
                <w:b/>
                <w:bCs/>
                <w:color w:val="auto"/>
                <w:sz w:val="24"/>
                <w:szCs w:val="32"/>
                <w:highlight w:val="none"/>
                <w:lang w:bidi="ar"/>
              </w:rPr>
              <w:t>环评提出污水处理厂加强管理，控制污泥发酵；</w:t>
            </w:r>
            <w:r>
              <w:rPr>
                <w:rFonts w:hint="eastAsia"/>
                <w:b/>
                <w:bCs/>
                <w:color w:val="auto"/>
                <w:sz w:val="24"/>
                <w:szCs w:val="32"/>
                <w:highlight w:val="none"/>
                <w:lang w:eastAsia="zh-CN" w:bidi="ar"/>
              </w:rPr>
              <w:t>及时对脱水泥饼进行转运</w:t>
            </w:r>
            <w:r>
              <w:rPr>
                <w:b/>
                <w:bCs/>
                <w:color w:val="auto"/>
                <w:sz w:val="24"/>
                <w:szCs w:val="32"/>
                <w:highlight w:val="none"/>
                <w:lang w:bidi="ar"/>
              </w:rPr>
              <w:t>；设置绿化带；定期喷洒生物除臭剂；</w:t>
            </w:r>
            <w:r>
              <w:rPr>
                <w:rFonts w:hint="eastAsia"/>
                <w:b/>
                <w:bCs/>
                <w:color w:val="auto"/>
                <w:sz w:val="24"/>
                <w:szCs w:val="24"/>
                <w:highlight w:val="none"/>
                <w:lang w:val="en-US" w:eastAsia="zh-CN"/>
              </w:rPr>
              <w:t>项目</w:t>
            </w:r>
            <w:r>
              <w:rPr>
                <w:rFonts w:hint="eastAsia"/>
                <w:b/>
                <w:bCs/>
                <w:color w:val="auto"/>
                <w:sz w:val="24"/>
                <w:szCs w:val="32"/>
                <w:highlight w:val="none"/>
                <w:lang w:val="en-US" w:eastAsia="zh-CN" w:bidi="ar"/>
              </w:rPr>
              <w:t>一期</w:t>
            </w:r>
            <w:r>
              <w:rPr>
                <w:b/>
                <w:bCs/>
                <w:color w:val="auto"/>
                <w:sz w:val="24"/>
                <w:szCs w:val="32"/>
                <w:highlight w:val="none"/>
                <w:lang w:bidi="ar"/>
              </w:rPr>
              <w:t>以</w:t>
            </w:r>
            <w:r>
              <w:rPr>
                <w:rFonts w:hint="eastAsia"/>
                <w:b/>
                <w:bCs/>
                <w:color w:val="auto"/>
                <w:sz w:val="24"/>
                <w:szCs w:val="32"/>
                <w:highlight w:val="none"/>
                <w:lang w:eastAsia="zh-CN" w:bidi="ar"/>
              </w:rPr>
              <w:t>恶臭单元（粗细格栅、污泥脱水间、贮泥池）边界外设置100m卫生防护距离，</w:t>
            </w:r>
            <w:r>
              <w:rPr>
                <w:rFonts w:hint="eastAsia"/>
                <w:b/>
                <w:bCs/>
                <w:color w:val="auto"/>
                <w:sz w:val="24"/>
                <w:szCs w:val="32"/>
                <w:highlight w:val="none"/>
                <w:lang w:val="en-US" w:eastAsia="zh-CN" w:bidi="ar"/>
              </w:rPr>
              <w:t>二期</w:t>
            </w:r>
            <w:r>
              <w:rPr>
                <w:b/>
                <w:bCs/>
                <w:color w:val="auto"/>
                <w:sz w:val="24"/>
                <w:szCs w:val="32"/>
                <w:highlight w:val="none"/>
                <w:lang w:bidi="ar"/>
              </w:rPr>
              <w:t>以生化处理区（厌氧池、氧化沟、MBBR池）、</w:t>
            </w:r>
            <w:r>
              <w:rPr>
                <w:rFonts w:hint="eastAsia"/>
                <w:b/>
                <w:bCs/>
                <w:color w:val="auto"/>
                <w:sz w:val="24"/>
                <w:szCs w:val="32"/>
                <w:highlight w:val="none"/>
                <w:lang w:val="en-US" w:eastAsia="zh-CN" w:bidi="ar"/>
              </w:rPr>
              <w:t>新建的</w:t>
            </w:r>
            <w:r>
              <w:rPr>
                <w:b/>
                <w:bCs/>
                <w:color w:val="auto"/>
                <w:sz w:val="24"/>
                <w:szCs w:val="32"/>
                <w:highlight w:val="none"/>
                <w:lang w:bidi="ar"/>
              </w:rPr>
              <w:t>污泥处理区（贮泥池、脱泥机房）构筑物边界划定50m卫生防护距离等措施对恶臭气体进行控制、处理。</w:t>
            </w:r>
            <w:r>
              <w:rPr>
                <w:color w:val="auto"/>
                <w:sz w:val="24"/>
                <w:szCs w:val="24"/>
                <w:highlight w:val="none"/>
                <w:lang w:bidi="ar"/>
              </w:rPr>
              <w:t>食堂油烟经油烟净化器处理后引至综合大楼楼顶排放；同时环评要求建设单位更换的柴油发电机组应</w:t>
            </w:r>
            <w:r>
              <w:rPr>
                <w:color w:val="auto"/>
                <w:sz w:val="24"/>
                <w:szCs w:val="32"/>
                <w:highlight w:val="none"/>
                <w:lang w:bidi="ar"/>
              </w:rPr>
              <w:t>自带烟气净化装置，处理后的废气引至配电房楼顶排放</w:t>
            </w:r>
            <w:r>
              <w:rPr>
                <w:color w:val="auto"/>
                <w:sz w:val="24"/>
                <w:szCs w:val="24"/>
                <w:highlight w:val="none"/>
                <w:lang w:bidi="ar"/>
              </w:rPr>
              <w:t>。</w:t>
            </w:r>
            <w:r>
              <w:rPr>
                <w:color w:val="auto"/>
                <w:sz w:val="24"/>
                <w:szCs w:val="32"/>
                <w:highlight w:val="none"/>
                <w:lang w:bidi="ar"/>
              </w:rPr>
              <w:t>采取上述治理措施后，运营期废气排放源强较小，可实现达标排放，对区域大气环境影响较小。同时建议污水处理厂加强日常管理，建立环境保护管理台账，定期检查，发现问题及时检修，尽量减小对周边环境的影响。</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二、废水</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lang w:bidi="ar"/>
              </w:rPr>
              <w:t>本次扩建工程目的是解决2030年南坝镇</w:t>
            </w:r>
            <w:r>
              <w:rPr>
                <w:color w:val="auto"/>
                <w:sz w:val="24"/>
                <w:szCs w:val="32"/>
                <w:highlight w:val="none"/>
                <w:lang w:bidi="ar"/>
              </w:rPr>
              <w:t>南、北两大排水区域生活污水与</w:t>
            </w:r>
            <w:r>
              <w:rPr>
                <w:color w:val="auto"/>
                <w:sz w:val="24"/>
                <w:szCs w:val="24"/>
                <w:highlight w:val="none"/>
                <w:lang w:bidi="ar"/>
              </w:rPr>
              <w:t>南坝工业园区工业废水。</w:t>
            </w:r>
            <w:r>
              <w:rPr>
                <w:b/>
                <w:bCs/>
                <w:color w:val="auto"/>
                <w:sz w:val="24"/>
                <w:szCs w:val="24"/>
                <w:highlight w:val="none"/>
                <w:lang w:bidi="ar"/>
              </w:rPr>
              <w:t>环评要求：进水需经预处理达到污水处理厂进水水质要求。</w:t>
            </w:r>
            <w:r>
              <w:rPr>
                <w:color w:val="auto"/>
                <w:sz w:val="24"/>
                <w:szCs w:val="24"/>
                <w:highlight w:val="none"/>
                <w:lang w:bidi="ar"/>
              </w:rPr>
              <w:t>污水处理厂业主应严格把关对进厂废水实施分析监测，确保污水处理厂正常运行。</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1、产排污环节、类别、污染物种类、产生量核算</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（1）生活污水（含食堂废水）</w:t>
            </w:r>
          </w:p>
          <w:p>
            <w:pPr>
              <w:pageBreakBefore w:val="0"/>
              <w:kinsoku/>
              <w:wordWrap/>
              <w:topLinePunct w:val="0"/>
              <w:bidi w:val="0"/>
              <w:spacing w:line="360" w:lineRule="auto"/>
              <w:ind w:left="0" w:leftChars="0" w:right="0" w:rightChars="0" w:firstLine="480" w:firstLineChars="200"/>
              <w:rPr>
                <w:rFonts w:eastAsiaTheme="minorEastAsia"/>
                <w:color w:val="auto"/>
                <w:sz w:val="24"/>
                <w:szCs w:val="32"/>
                <w:highlight w:val="none"/>
                <w:lang w:bidi="ar"/>
              </w:rPr>
            </w:pPr>
            <w:r>
              <w:rPr>
                <w:color w:val="auto"/>
                <w:sz w:val="24"/>
                <w:szCs w:val="32"/>
                <w:highlight w:val="none"/>
                <w:lang w:bidi="ar"/>
              </w:rPr>
              <w:t>本次改扩建不新增工作人员，因此项目无新增厂区生活污水（含食堂废水）。一期生活污水量为1.44</w:t>
            </w:r>
            <w:r>
              <w:rPr>
                <w:color w:val="auto"/>
                <w:sz w:val="24"/>
                <w:szCs w:val="24"/>
                <w:highlight w:val="none"/>
              </w:rPr>
              <w:t>m</w:t>
            </w:r>
            <w:r>
              <w:rPr>
                <w:color w:val="auto"/>
                <w:sz w:val="24"/>
                <w:szCs w:val="24"/>
                <w:highlight w:val="none"/>
                <w:vertAlign w:val="superscript"/>
              </w:rPr>
              <w:t>3</w:t>
            </w:r>
            <w:r>
              <w:rPr>
                <w:color w:val="auto"/>
                <w:sz w:val="24"/>
                <w:szCs w:val="24"/>
                <w:highlight w:val="none"/>
              </w:rPr>
              <w:t>/d（525.60</w:t>
            </w:r>
            <w:r>
              <w:rPr>
                <w:color w:val="auto"/>
                <w:sz w:val="24"/>
                <w:highlight w:val="none"/>
              </w:rPr>
              <w:t>m</w:t>
            </w:r>
            <w:r>
              <w:rPr>
                <w:color w:val="auto"/>
                <w:sz w:val="24"/>
                <w:highlight w:val="none"/>
                <w:vertAlign w:val="superscript"/>
              </w:rPr>
              <w:t>3</w:t>
            </w:r>
            <w:r>
              <w:rPr>
                <w:color w:val="auto"/>
                <w:sz w:val="24"/>
                <w:highlight w:val="none"/>
              </w:rPr>
              <w:t>/a</w:t>
            </w:r>
            <w:r>
              <w:rPr>
                <w:color w:val="auto"/>
                <w:sz w:val="24"/>
                <w:szCs w:val="24"/>
                <w:highlight w:val="none"/>
              </w:rPr>
              <w:t>）。主要污染物为COD</w:t>
            </w:r>
            <w:r>
              <w:rPr>
                <w:color w:val="auto"/>
                <w:sz w:val="24"/>
                <w:szCs w:val="24"/>
                <w:highlight w:val="none"/>
                <w:vertAlign w:val="subscript"/>
              </w:rPr>
              <w:t>Cr</w:t>
            </w:r>
            <w:r>
              <w:rPr>
                <w:color w:val="auto"/>
                <w:sz w:val="24"/>
                <w:szCs w:val="24"/>
                <w:highlight w:val="none"/>
              </w:rPr>
              <w:t>、BOD</w:t>
            </w:r>
            <w:r>
              <w:rPr>
                <w:color w:val="auto"/>
                <w:sz w:val="24"/>
                <w:szCs w:val="24"/>
                <w:highlight w:val="none"/>
                <w:vertAlign w:val="subscript"/>
              </w:rPr>
              <w:t>5</w:t>
            </w:r>
            <w:r>
              <w:rPr>
                <w:color w:val="auto"/>
                <w:sz w:val="24"/>
                <w:szCs w:val="24"/>
                <w:highlight w:val="none"/>
              </w:rPr>
              <w:t>、NH</w:t>
            </w:r>
            <w:r>
              <w:rPr>
                <w:color w:val="auto"/>
                <w:sz w:val="24"/>
                <w:szCs w:val="24"/>
                <w:highlight w:val="none"/>
                <w:vertAlign w:val="subscript"/>
              </w:rPr>
              <w:t>3</w:t>
            </w:r>
            <w:r>
              <w:rPr>
                <w:color w:val="auto"/>
                <w:sz w:val="24"/>
                <w:szCs w:val="24"/>
                <w:highlight w:val="none"/>
              </w:rPr>
              <w:t>-N和SS、动植物油等。</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（2）生产废水</w:t>
            </w:r>
          </w:p>
          <w:p>
            <w:pPr>
              <w:pageBreakBefore w:val="0"/>
              <w:kinsoku/>
              <w:wordWrap/>
              <w:topLinePunct w:val="0"/>
              <w:bidi w:val="0"/>
              <w:adjustRightInd w:val="0"/>
              <w:snapToGrid w:val="0"/>
              <w:spacing w:line="360" w:lineRule="auto"/>
              <w:ind w:left="0" w:leftChars="0" w:right="0" w:rightChars="0" w:firstLine="482" w:firstLineChars="200"/>
              <w:rPr>
                <w:color w:val="auto"/>
                <w:sz w:val="24"/>
                <w:highlight w:val="none"/>
              </w:rPr>
            </w:pPr>
            <w:r>
              <w:rPr>
                <w:b/>
                <w:bCs/>
                <w:color w:val="auto"/>
                <w:sz w:val="24"/>
                <w:szCs w:val="24"/>
                <w:highlight w:val="none"/>
              </w:rPr>
              <w:t>①</w:t>
            </w:r>
            <w:r>
              <w:rPr>
                <w:b/>
                <w:bCs/>
                <w:color w:val="auto"/>
                <w:sz w:val="24"/>
                <w:highlight w:val="none"/>
              </w:rPr>
              <w:t>化验室器皿清洗废水</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32"/>
                <w:highlight w:val="none"/>
              </w:rPr>
            </w:pPr>
            <w:r>
              <w:rPr>
                <w:color w:val="auto"/>
                <w:sz w:val="24"/>
                <w:szCs w:val="32"/>
                <w:highlight w:val="none"/>
              </w:rPr>
              <w:t>本次改扩建不新增化验种类，因此无新增化验室器皿清洗废水。</w:t>
            </w:r>
            <w:r>
              <w:rPr>
                <w:color w:val="auto"/>
                <w:sz w:val="24"/>
                <w:szCs w:val="24"/>
                <w:highlight w:val="none"/>
              </w:rPr>
              <w:t>排放系数按0.9计，</w:t>
            </w:r>
            <w:r>
              <w:rPr>
                <w:color w:val="auto"/>
                <w:sz w:val="24"/>
                <w:szCs w:val="32"/>
                <w:highlight w:val="none"/>
              </w:rPr>
              <w:t>化验室器皿清洗废水量为0.045</w:t>
            </w:r>
            <w:r>
              <w:rPr>
                <w:color w:val="auto"/>
                <w:sz w:val="24"/>
                <w:szCs w:val="24"/>
                <w:highlight w:val="none"/>
              </w:rPr>
              <w:t>m</w:t>
            </w:r>
            <w:r>
              <w:rPr>
                <w:color w:val="auto"/>
                <w:sz w:val="24"/>
                <w:szCs w:val="24"/>
                <w:highlight w:val="none"/>
                <w:vertAlign w:val="superscript"/>
              </w:rPr>
              <w:t>3</w:t>
            </w:r>
            <w:r>
              <w:rPr>
                <w:color w:val="auto"/>
                <w:sz w:val="24"/>
                <w:szCs w:val="24"/>
                <w:highlight w:val="none"/>
              </w:rPr>
              <w:t>/d（16.43</w:t>
            </w:r>
            <w:r>
              <w:rPr>
                <w:color w:val="auto"/>
                <w:sz w:val="24"/>
                <w:highlight w:val="none"/>
              </w:rPr>
              <w:t>m</w:t>
            </w:r>
            <w:r>
              <w:rPr>
                <w:color w:val="auto"/>
                <w:sz w:val="24"/>
                <w:highlight w:val="none"/>
                <w:vertAlign w:val="superscript"/>
              </w:rPr>
              <w:t>3</w:t>
            </w:r>
            <w:r>
              <w:rPr>
                <w:color w:val="auto"/>
                <w:sz w:val="24"/>
                <w:highlight w:val="none"/>
              </w:rPr>
              <w:t>/a</w:t>
            </w:r>
            <w:r>
              <w:rPr>
                <w:color w:val="auto"/>
                <w:sz w:val="24"/>
                <w:szCs w:val="24"/>
                <w:highlight w:val="none"/>
              </w:rPr>
              <w:t>）。主要污染物为COD</w:t>
            </w:r>
            <w:r>
              <w:rPr>
                <w:color w:val="auto"/>
                <w:sz w:val="24"/>
                <w:szCs w:val="24"/>
                <w:highlight w:val="none"/>
                <w:vertAlign w:val="subscript"/>
              </w:rPr>
              <w:t>Cr</w:t>
            </w:r>
            <w:r>
              <w:rPr>
                <w:color w:val="auto"/>
                <w:sz w:val="24"/>
                <w:szCs w:val="24"/>
                <w:highlight w:val="none"/>
              </w:rPr>
              <w:t>、BOD</w:t>
            </w:r>
            <w:r>
              <w:rPr>
                <w:color w:val="auto"/>
                <w:sz w:val="24"/>
                <w:szCs w:val="24"/>
                <w:highlight w:val="none"/>
                <w:vertAlign w:val="subscript"/>
              </w:rPr>
              <w:t>5</w:t>
            </w:r>
            <w:r>
              <w:rPr>
                <w:color w:val="auto"/>
                <w:sz w:val="24"/>
                <w:szCs w:val="24"/>
                <w:highlight w:val="none"/>
              </w:rPr>
              <w:t>、NH</w:t>
            </w:r>
            <w:r>
              <w:rPr>
                <w:color w:val="auto"/>
                <w:sz w:val="24"/>
                <w:szCs w:val="24"/>
                <w:highlight w:val="none"/>
                <w:vertAlign w:val="subscript"/>
              </w:rPr>
              <w:t>3</w:t>
            </w:r>
            <w:r>
              <w:rPr>
                <w:color w:val="auto"/>
                <w:sz w:val="24"/>
                <w:szCs w:val="24"/>
                <w:highlight w:val="none"/>
              </w:rPr>
              <w:t>-N和SS。</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②</w:t>
            </w:r>
            <w:r>
              <w:rPr>
                <w:b/>
                <w:bCs/>
                <w:color w:val="auto"/>
                <w:sz w:val="24"/>
                <w:highlight w:val="none"/>
              </w:rPr>
              <w:t>设备冲洗废水</w:t>
            </w:r>
          </w:p>
          <w:p>
            <w:pPr>
              <w:pageBreakBefore w:val="0"/>
              <w:kinsoku/>
              <w:wordWrap/>
              <w:topLinePunct w:val="0"/>
              <w:bidi w:val="0"/>
              <w:adjustRightInd w:val="0"/>
              <w:snapToGrid w:val="0"/>
              <w:spacing w:line="360" w:lineRule="auto"/>
              <w:ind w:left="0" w:leftChars="0" w:right="0" w:rightChars="0" w:firstLine="480" w:firstLineChars="200"/>
              <w:rPr>
                <w:color w:val="auto"/>
                <w:sz w:val="24"/>
                <w:highlight w:val="none"/>
              </w:rPr>
            </w:pPr>
            <w:r>
              <w:rPr>
                <w:color w:val="auto"/>
                <w:sz w:val="24"/>
                <w:szCs w:val="32"/>
                <w:highlight w:val="none"/>
              </w:rPr>
              <w:t>本次改扩建不新增设备冲洗废水，</w:t>
            </w:r>
            <w:r>
              <w:rPr>
                <w:color w:val="auto"/>
                <w:sz w:val="24"/>
                <w:szCs w:val="24"/>
                <w:highlight w:val="none"/>
              </w:rPr>
              <w:t>排放系数按0.9计，</w:t>
            </w:r>
            <w:r>
              <w:rPr>
                <w:color w:val="auto"/>
                <w:sz w:val="24"/>
                <w:szCs w:val="32"/>
                <w:highlight w:val="none"/>
              </w:rPr>
              <w:t>设备冲洗废水量为1.80</w:t>
            </w:r>
            <w:r>
              <w:rPr>
                <w:color w:val="auto"/>
                <w:sz w:val="24"/>
                <w:szCs w:val="24"/>
                <w:highlight w:val="none"/>
              </w:rPr>
              <w:t>m</w:t>
            </w:r>
            <w:r>
              <w:rPr>
                <w:color w:val="auto"/>
                <w:sz w:val="24"/>
                <w:szCs w:val="24"/>
                <w:highlight w:val="none"/>
                <w:vertAlign w:val="superscript"/>
              </w:rPr>
              <w:t>3</w:t>
            </w:r>
            <w:r>
              <w:rPr>
                <w:color w:val="auto"/>
                <w:sz w:val="24"/>
                <w:szCs w:val="24"/>
                <w:highlight w:val="none"/>
              </w:rPr>
              <w:t>/d（657.00</w:t>
            </w:r>
            <w:r>
              <w:rPr>
                <w:color w:val="auto"/>
                <w:sz w:val="24"/>
                <w:highlight w:val="none"/>
              </w:rPr>
              <w:t>m</w:t>
            </w:r>
            <w:r>
              <w:rPr>
                <w:color w:val="auto"/>
                <w:sz w:val="24"/>
                <w:highlight w:val="none"/>
                <w:vertAlign w:val="superscript"/>
              </w:rPr>
              <w:t>3</w:t>
            </w:r>
            <w:r>
              <w:rPr>
                <w:color w:val="auto"/>
                <w:sz w:val="24"/>
                <w:highlight w:val="none"/>
              </w:rPr>
              <w:t>/a</w:t>
            </w:r>
            <w:r>
              <w:rPr>
                <w:color w:val="auto"/>
                <w:sz w:val="24"/>
                <w:szCs w:val="24"/>
                <w:highlight w:val="none"/>
              </w:rPr>
              <w:t>）。主要污染物为COD</w:t>
            </w:r>
            <w:r>
              <w:rPr>
                <w:color w:val="auto"/>
                <w:sz w:val="24"/>
                <w:szCs w:val="24"/>
                <w:highlight w:val="none"/>
                <w:vertAlign w:val="subscript"/>
              </w:rPr>
              <w:t>Cr</w:t>
            </w:r>
            <w:r>
              <w:rPr>
                <w:color w:val="auto"/>
                <w:sz w:val="24"/>
                <w:szCs w:val="24"/>
                <w:highlight w:val="none"/>
              </w:rPr>
              <w:t>、BOD</w:t>
            </w:r>
            <w:r>
              <w:rPr>
                <w:color w:val="auto"/>
                <w:sz w:val="24"/>
                <w:szCs w:val="24"/>
                <w:highlight w:val="none"/>
                <w:vertAlign w:val="subscript"/>
              </w:rPr>
              <w:t>5</w:t>
            </w:r>
            <w:r>
              <w:rPr>
                <w:color w:val="auto"/>
                <w:sz w:val="24"/>
                <w:szCs w:val="24"/>
                <w:highlight w:val="none"/>
              </w:rPr>
              <w:t>、NH</w:t>
            </w:r>
            <w:r>
              <w:rPr>
                <w:color w:val="auto"/>
                <w:sz w:val="24"/>
                <w:szCs w:val="24"/>
                <w:highlight w:val="none"/>
                <w:vertAlign w:val="subscript"/>
              </w:rPr>
              <w:t>3</w:t>
            </w:r>
            <w:r>
              <w:rPr>
                <w:color w:val="auto"/>
                <w:sz w:val="24"/>
                <w:szCs w:val="24"/>
                <w:highlight w:val="none"/>
              </w:rPr>
              <w:t>-N和SS。</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③地坪冲洗废水</w:t>
            </w:r>
          </w:p>
          <w:p>
            <w:pPr>
              <w:pageBreakBefore w:val="0"/>
              <w:kinsoku/>
              <w:wordWrap/>
              <w:topLinePunct w:val="0"/>
              <w:bidi w:val="0"/>
              <w:adjustRightInd w:val="0"/>
              <w:snapToGrid w:val="0"/>
              <w:spacing w:line="360" w:lineRule="auto"/>
              <w:ind w:left="0" w:leftChars="0" w:right="0" w:rightChars="0" w:firstLine="480" w:firstLineChars="200"/>
              <w:rPr>
                <w:color w:val="auto"/>
                <w:sz w:val="24"/>
                <w:highlight w:val="none"/>
              </w:rPr>
            </w:pPr>
            <w:r>
              <w:rPr>
                <w:color w:val="auto"/>
                <w:sz w:val="24"/>
                <w:szCs w:val="32"/>
                <w:highlight w:val="none"/>
              </w:rPr>
              <w:t>本次改扩建不新增地坪冲洗废水，</w:t>
            </w:r>
            <w:r>
              <w:rPr>
                <w:color w:val="auto"/>
                <w:sz w:val="24"/>
                <w:szCs w:val="24"/>
                <w:highlight w:val="none"/>
              </w:rPr>
              <w:t>排放系数按0.9计，</w:t>
            </w:r>
            <w:r>
              <w:rPr>
                <w:color w:val="auto"/>
                <w:sz w:val="24"/>
                <w:szCs w:val="32"/>
                <w:highlight w:val="none"/>
              </w:rPr>
              <w:t>地坪冲洗废水量为3.60</w:t>
            </w:r>
            <w:r>
              <w:rPr>
                <w:color w:val="auto"/>
                <w:sz w:val="24"/>
                <w:szCs w:val="24"/>
                <w:highlight w:val="none"/>
              </w:rPr>
              <w:t>m</w:t>
            </w:r>
            <w:r>
              <w:rPr>
                <w:color w:val="auto"/>
                <w:sz w:val="24"/>
                <w:szCs w:val="24"/>
                <w:highlight w:val="none"/>
                <w:vertAlign w:val="superscript"/>
              </w:rPr>
              <w:t>3</w:t>
            </w:r>
            <w:r>
              <w:rPr>
                <w:color w:val="auto"/>
                <w:sz w:val="24"/>
                <w:szCs w:val="24"/>
                <w:highlight w:val="none"/>
              </w:rPr>
              <w:t>/d（1314.00</w:t>
            </w:r>
            <w:r>
              <w:rPr>
                <w:color w:val="auto"/>
                <w:sz w:val="24"/>
                <w:highlight w:val="none"/>
              </w:rPr>
              <w:t>m</w:t>
            </w:r>
            <w:r>
              <w:rPr>
                <w:color w:val="auto"/>
                <w:sz w:val="24"/>
                <w:highlight w:val="none"/>
                <w:vertAlign w:val="superscript"/>
              </w:rPr>
              <w:t>3</w:t>
            </w:r>
            <w:r>
              <w:rPr>
                <w:color w:val="auto"/>
                <w:sz w:val="24"/>
                <w:highlight w:val="none"/>
              </w:rPr>
              <w:t>/a</w:t>
            </w:r>
            <w:r>
              <w:rPr>
                <w:color w:val="auto"/>
                <w:sz w:val="24"/>
                <w:szCs w:val="24"/>
                <w:highlight w:val="none"/>
              </w:rPr>
              <w:t>）。主要污染物为COD</w:t>
            </w:r>
            <w:r>
              <w:rPr>
                <w:color w:val="auto"/>
                <w:sz w:val="24"/>
                <w:szCs w:val="24"/>
                <w:highlight w:val="none"/>
                <w:vertAlign w:val="subscript"/>
              </w:rPr>
              <w:t>Cr</w:t>
            </w:r>
            <w:r>
              <w:rPr>
                <w:color w:val="auto"/>
                <w:sz w:val="24"/>
                <w:szCs w:val="24"/>
                <w:highlight w:val="none"/>
              </w:rPr>
              <w:t>、BOD</w:t>
            </w:r>
            <w:r>
              <w:rPr>
                <w:color w:val="auto"/>
                <w:sz w:val="24"/>
                <w:szCs w:val="24"/>
                <w:highlight w:val="none"/>
                <w:vertAlign w:val="subscript"/>
              </w:rPr>
              <w:t>5</w:t>
            </w:r>
            <w:r>
              <w:rPr>
                <w:color w:val="auto"/>
                <w:sz w:val="24"/>
                <w:szCs w:val="24"/>
                <w:highlight w:val="none"/>
              </w:rPr>
              <w:t>、NH</w:t>
            </w:r>
            <w:r>
              <w:rPr>
                <w:color w:val="auto"/>
                <w:sz w:val="24"/>
                <w:szCs w:val="24"/>
                <w:highlight w:val="none"/>
                <w:vertAlign w:val="subscript"/>
              </w:rPr>
              <w:t>3</w:t>
            </w:r>
            <w:r>
              <w:rPr>
                <w:color w:val="auto"/>
                <w:sz w:val="24"/>
                <w:szCs w:val="24"/>
                <w:highlight w:val="none"/>
              </w:rPr>
              <w:t>-N和SS。</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④反冲洗废水</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highlight w:val="none"/>
              </w:rPr>
              <w:t>项目一期无反冲洗废水，二期新增转鼓滤池需进行反冲洗，</w:t>
            </w:r>
            <w:r>
              <w:rPr>
                <w:color w:val="auto"/>
                <w:sz w:val="24"/>
                <w:szCs w:val="24"/>
                <w:highlight w:val="none"/>
              </w:rPr>
              <w:t>排放系数按0.9计，本次新增反冲洗废水180.00m</w:t>
            </w:r>
            <w:r>
              <w:rPr>
                <w:color w:val="auto"/>
                <w:sz w:val="24"/>
                <w:szCs w:val="24"/>
                <w:highlight w:val="none"/>
                <w:vertAlign w:val="superscript"/>
              </w:rPr>
              <w:t>3</w:t>
            </w:r>
            <w:r>
              <w:rPr>
                <w:color w:val="auto"/>
                <w:sz w:val="24"/>
                <w:szCs w:val="24"/>
                <w:highlight w:val="none"/>
              </w:rPr>
              <w:t>/d（65700.00</w:t>
            </w:r>
            <w:r>
              <w:rPr>
                <w:color w:val="auto"/>
                <w:sz w:val="24"/>
                <w:highlight w:val="none"/>
              </w:rPr>
              <w:t>m</w:t>
            </w:r>
            <w:r>
              <w:rPr>
                <w:color w:val="auto"/>
                <w:sz w:val="24"/>
                <w:highlight w:val="none"/>
                <w:vertAlign w:val="superscript"/>
              </w:rPr>
              <w:t>3</w:t>
            </w:r>
            <w:r>
              <w:rPr>
                <w:color w:val="auto"/>
                <w:sz w:val="24"/>
                <w:highlight w:val="none"/>
              </w:rPr>
              <w:t>/a</w:t>
            </w:r>
            <w:r>
              <w:rPr>
                <w:color w:val="auto"/>
                <w:sz w:val="24"/>
                <w:szCs w:val="24"/>
                <w:highlight w:val="none"/>
              </w:rPr>
              <w:t>）。主要污染物为COD</w:t>
            </w:r>
            <w:r>
              <w:rPr>
                <w:color w:val="auto"/>
                <w:sz w:val="24"/>
                <w:szCs w:val="24"/>
                <w:highlight w:val="none"/>
                <w:vertAlign w:val="subscript"/>
              </w:rPr>
              <w:t>Cr</w:t>
            </w:r>
            <w:r>
              <w:rPr>
                <w:color w:val="auto"/>
                <w:sz w:val="24"/>
                <w:szCs w:val="24"/>
                <w:highlight w:val="none"/>
              </w:rPr>
              <w:t>、BOD</w:t>
            </w:r>
            <w:r>
              <w:rPr>
                <w:color w:val="auto"/>
                <w:sz w:val="24"/>
                <w:szCs w:val="24"/>
                <w:highlight w:val="none"/>
                <w:vertAlign w:val="subscript"/>
              </w:rPr>
              <w:t>5</w:t>
            </w:r>
            <w:r>
              <w:rPr>
                <w:color w:val="auto"/>
                <w:sz w:val="24"/>
                <w:szCs w:val="24"/>
                <w:highlight w:val="none"/>
              </w:rPr>
              <w:t>、NH</w:t>
            </w:r>
            <w:r>
              <w:rPr>
                <w:color w:val="auto"/>
                <w:sz w:val="24"/>
                <w:szCs w:val="24"/>
                <w:highlight w:val="none"/>
                <w:vertAlign w:val="subscript"/>
              </w:rPr>
              <w:t>3</w:t>
            </w:r>
            <w:r>
              <w:rPr>
                <w:color w:val="auto"/>
                <w:sz w:val="24"/>
                <w:szCs w:val="24"/>
                <w:highlight w:val="none"/>
              </w:rPr>
              <w:t>-N和SS。</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⑤脱水滤液</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highlight w:val="none"/>
                <w:lang w:bidi="ar"/>
              </w:rPr>
              <w:t>根据项目可研报告，</w:t>
            </w:r>
            <w:bookmarkStart w:id="9" w:name="_Toc514787957"/>
            <w:r>
              <w:rPr>
                <w:color w:val="auto"/>
                <w:sz w:val="24"/>
                <w:szCs w:val="24"/>
                <w:highlight w:val="none"/>
              </w:rPr>
              <w:t>剩余污泥干重为2.4t/d，含水率按99.5%计，污泥体积约480m</w:t>
            </w:r>
            <w:r>
              <w:rPr>
                <w:color w:val="auto"/>
                <w:sz w:val="24"/>
                <w:szCs w:val="24"/>
                <w:highlight w:val="none"/>
                <w:vertAlign w:val="superscript"/>
              </w:rPr>
              <w:t>3</w:t>
            </w:r>
            <w:r>
              <w:rPr>
                <w:color w:val="auto"/>
                <w:sz w:val="24"/>
                <w:szCs w:val="24"/>
                <w:highlight w:val="none"/>
              </w:rPr>
              <w:t>/d。</w:t>
            </w:r>
            <w:bookmarkEnd w:id="9"/>
            <w:bookmarkStart w:id="10" w:name="_Toc514787958"/>
            <w:r>
              <w:rPr>
                <w:color w:val="auto"/>
                <w:sz w:val="24"/>
                <w:szCs w:val="24"/>
                <w:highlight w:val="none"/>
              </w:rPr>
              <w:t>浓缩、脱水后污泥含水率60%，污泥体积约6m</w:t>
            </w:r>
            <w:r>
              <w:rPr>
                <w:color w:val="auto"/>
                <w:sz w:val="24"/>
                <w:szCs w:val="24"/>
                <w:highlight w:val="none"/>
                <w:vertAlign w:val="superscript"/>
              </w:rPr>
              <w:t>3</w:t>
            </w:r>
            <w:r>
              <w:rPr>
                <w:color w:val="auto"/>
                <w:sz w:val="24"/>
                <w:szCs w:val="24"/>
                <w:highlight w:val="none"/>
              </w:rPr>
              <w:t>/d。</w:t>
            </w:r>
            <w:bookmarkEnd w:id="10"/>
            <w:r>
              <w:rPr>
                <w:color w:val="auto"/>
                <w:sz w:val="24"/>
                <w:szCs w:val="24"/>
                <w:highlight w:val="none"/>
              </w:rPr>
              <w:t>脱水滤液为474m</w:t>
            </w:r>
            <w:r>
              <w:rPr>
                <w:color w:val="auto"/>
                <w:sz w:val="24"/>
                <w:szCs w:val="24"/>
                <w:highlight w:val="none"/>
                <w:vertAlign w:val="superscript"/>
              </w:rPr>
              <w:t>3</w:t>
            </w:r>
            <w:r>
              <w:rPr>
                <w:color w:val="auto"/>
                <w:sz w:val="24"/>
                <w:szCs w:val="24"/>
                <w:highlight w:val="none"/>
              </w:rPr>
              <w:t>/d。</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2、治理设施、排放方式、排放口基本信息</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（1）治理措施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厂内生活污水（含经油水分离器隔油处理后的食堂废水）、生产废水（化验室器皿清洗废水、设备冲洗废水、地坪冲洗废水、反冲洗废水）、脱水滤液等经厂内污水管道收集后汇入提升泵房，与进厂污水一并处理。经污水处理厂处理后尾水达《城镇污水处理厂污染物排放标准》（GB18918-2002）一级A标准排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（2）废水治理设施、排放口基本信息表</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①废水类型、污染物及污染治理设施信息表</w:t>
            </w:r>
          </w:p>
          <w:p>
            <w:pPr>
              <w:pageBreakBefore w:val="0"/>
              <w:tabs>
                <w:tab w:val="left" w:pos="420"/>
              </w:tabs>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本次扩建完成后，废水类型、污染物及污染治理设施信息见下表：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表4-7</w:t>
            </w:r>
            <w:r>
              <w:rPr>
                <w:rFonts w:hint="eastAsia" w:eastAsia="黑体"/>
                <w:color w:val="auto"/>
                <w:highlight w:val="none"/>
              </w:rPr>
              <w:t xml:space="preserve"> </w:t>
            </w:r>
            <w:r>
              <w:rPr>
                <w:rFonts w:eastAsia="黑体"/>
                <w:color w:val="auto"/>
                <w:highlight w:val="none"/>
              </w:rPr>
              <w:t>废水类型、污染物及污染治理设施信息表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1"/>
              <w:gridCol w:w="628"/>
              <w:gridCol w:w="1094"/>
              <w:gridCol w:w="718"/>
              <w:gridCol w:w="654"/>
              <w:gridCol w:w="750"/>
              <w:gridCol w:w="704"/>
              <w:gridCol w:w="2387"/>
              <w:gridCol w:w="585"/>
              <w:gridCol w:w="736"/>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序号</w:t>
                  </w:r>
                </w:p>
              </w:tc>
              <w:tc>
                <w:tcPr>
                  <w:tcW w:w="343"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废水类别</w:t>
                  </w:r>
                  <w:r>
                    <w:rPr>
                      <w:b/>
                      <w:color w:val="auto"/>
                      <w:kern w:val="0"/>
                      <w:highlight w:val="none"/>
                      <w:vertAlign w:val="superscript"/>
                    </w:rPr>
                    <w:t>（a）</w:t>
                  </w:r>
                </w:p>
              </w:tc>
              <w:tc>
                <w:tcPr>
                  <w:tcW w:w="597"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污染物种类</w:t>
                  </w:r>
                  <w:r>
                    <w:rPr>
                      <w:b/>
                      <w:color w:val="auto"/>
                      <w:kern w:val="0"/>
                      <w:highlight w:val="none"/>
                      <w:vertAlign w:val="superscript"/>
                    </w:rPr>
                    <w:t>（b）</w:t>
                  </w:r>
                </w:p>
              </w:tc>
              <w:tc>
                <w:tcPr>
                  <w:tcW w:w="392"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排放去向</w:t>
                  </w:r>
                  <w:r>
                    <w:rPr>
                      <w:b/>
                      <w:color w:val="auto"/>
                      <w:kern w:val="0"/>
                      <w:highlight w:val="none"/>
                      <w:vertAlign w:val="superscript"/>
                    </w:rPr>
                    <w:t>（c）</w:t>
                  </w:r>
                </w:p>
              </w:tc>
              <w:tc>
                <w:tcPr>
                  <w:tcW w:w="357"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排放规律</w:t>
                  </w:r>
                  <w:r>
                    <w:rPr>
                      <w:b/>
                      <w:color w:val="auto"/>
                      <w:kern w:val="0"/>
                      <w:highlight w:val="none"/>
                      <w:vertAlign w:val="superscript"/>
                    </w:rPr>
                    <w:t>（d）</w:t>
                  </w:r>
                </w:p>
              </w:tc>
              <w:tc>
                <w:tcPr>
                  <w:tcW w:w="2096" w:type="pct"/>
                  <w:gridSpan w:val="3"/>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w:t>
                  </w:r>
                </w:p>
              </w:tc>
              <w:tc>
                <w:tcPr>
                  <w:tcW w:w="319"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排放口编号</w:t>
                  </w:r>
                  <w:r>
                    <w:rPr>
                      <w:b/>
                      <w:color w:val="auto"/>
                      <w:kern w:val="0"/>
                      <w:highlight w:val="none"/>
                      <w:vertAlign w:val="superscript"/>
                    </w:rPr>
                    <w:t>（f）</w:t>
                  </w:r>
                </w:p>
              </w:tc>
              <w:tc>
                <w:tcPr>
                  <w:tcW w:w="402"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排放口设置是否符合要求</w:t>
                  </w:r>
                  <w:r>
                    <w:rPr>
                      <w:b/>
                      <w:color w:val="auto"/>
                      <w:kern w:val="0"/>
                      <w:highlight w:val="none"/>
                      <w:vertAlign w:val="superscript"/>
                    </w:rPr>
                    <w:t>（g）</w:t>
                  </w:r>
                </w:p>
              </w:tc>
              <w:tc>
                <w:tcPr>
                  <w:tcW w:w="292"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343"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597"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392"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357"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09" w:type="pc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污染治理设施编号</w:t>
                  </w:r>
                </w:p>
              </w:tc>
              <w:tc>
                <w:tcPr>
                  <w:tcW w:w="384" w:type="pc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污染治理设施名称</w:t>
                  </w:r>
                  <w:r>
                    <w:rPr>
                      <w:b/>
                      <w:color w:val="auto"/>
                      <w:kern w:val="0"/>
                      <w:highlight w:val="none"/>
                      <w:vertAlign w:val="superscript"/>
                    </w:rPr>
                    <w:t>（e）</w:t>
                  </w:r>
                </w:p>
              </w:tc>
              <w:tc>
                <w:tcPr>
                  <w:tcW w:w="1302" w:type="pc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污染治理设施工艺</w:t>
                  </w:r>
                </w:p>
              </w:tc>
              <w:tc>
                <w:tcPr>
                  <w:tcW w:w="319"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02"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292"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w:t>
                  </w:r>
                </w:p>
              </w:tc>
              <w:tc>
                <w:tcPr>
                  <w:tcW w:w="343"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生活污水、工业废水</w:t>
                  </w:r>
                </w:p>
              </w:tc>
              <w:tc>
                <w:tcPr>
                  <w:tcW w:w="597"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highlight w:val="none"/>
                    </w:rPr>
                    <w:t>COD</w:t>
                  </w:r>
                  <w:r>
                    <w:rPr>
                      <w:color w:val="auto"/>
                      <w:highlight w:val="none"/>
                      <w:vertAlign w:val="subscript"/>
                    </w:rPr>
                    <w:t>Cr</w:t>
                  </w:r>
                  <w:r>
                    <w:rPr>
                      <w:color w:val="auto"/>
                      <w:kern w:val="0"/>
                      <w:highlight w:val="none"/>
                    </w:rPr>
                    <w:t>、NH</w:t>
                  </w:r>
                  <w:r>
                    <w:rPr>
                      <w:color w:val="auto"/>
                      <w:kern w:val="0"/>
                      <w:highlight w:val="none"/>
                      <w:vertAlign w:val="subscript"/>
                    </w:rPr>
                    <w:t>3</w:t>
                  </w:r>
                  <w:r>
                    <w:rPr>
                      <w:color w:val="auto"/>
                      <w:kern w:val="0"/>
                      <w:highlight w:val="none"/>
                    </w:rPr>
                    <w:t>-N、BOD</w:t>
                  </w:r>
                  <w:r>
                    <w:rPr>
                      <w:color w:val="auto"/>
                      <w:kern w:val="0"/>
                      <w:highlight w:val="none"/>
                      <w:vertAlign w:val="subscript"/>
                    </w:rPr>
                    <w:t>5</w:t>
                  </w:r>
                  <w:r>
                    <w:rPr>
                      <w:color w:val="auto"/>
                      <w:kern w:val="0"/>
                      <w:highlight w:val="none"/>
                    </w:rPr>
                    <w:t>、SS、TP、TN等</w:t>
                  </w:r>
                </w:p>
              </w:tc>
              <w:tc>
                <w:tcPr>
                  <w:tcW w:w="39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直接进入江河、湖、库等水环境</w:t>
                  </w:r>
                </w:p>
              </w:tc>
              <w:tc>
                <w:tcPr>
                  <w:tcW w:w="357"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连续排放，流量不稳定且无规律，但不属于冲击型排放</w:t>
                  </w:r>
                </w:p>
              </w:tc>
              <w:tc>
                <w:tcPr>
                  <w:tcW w:w="40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TW001</w:t>
                  </w:r>
                </w:p>
              </w:tc>
              <w:tc>
                <w:tcPr>
                  <w:tcW w:w="384"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污水处理系统</w:t>
                  </w:r>
                </w:p>
              </w:tc>
              <w:tc>
                <w:tcPr>
                  <w:tcW w:w="130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一期工程污水处理工艺采用：粗格栅及提升泵房+细格栅及旋流沉砂池+厌氧池+氧化沟+二沉池+絮凝池+转鼓滤池+紫外线消毒渠；二期工程污水处理工艺采用：粗格栅及提升泵房+细格栅及旋流沉砂池+MBBR+二沉池+絮凝池+转鼓滤池+紫外线消毒渠</w:t>
                  </w:r>
                </w:p>
              </w:tc>
              <w:tc>
                <w:tcPr>
                  <w:tcW w:w="31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DW</w:t>
                  </w:r>
                </w:p>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001</w:t>
                  </w:r>
                </w:p>
              </w:tc>
              <w:tc>
                <w:tcPr>
                  <w:tcW w:w="40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是</w:t>
                  </w:r>
                </w:p>
              </w:tc>
              <w:tc>
                <w:tcPr>
                  <w:tcW w:w="29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企业总排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1"/>
                  <w:vAlign w:val="center"/>
                </w:tcPr>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a指产生废水的工艺、工序，或废水类型的名称。</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b指产生的主要污染物类型，以相应排放标准中确定的污染因子为准。</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c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d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e指主要污水处理设施名称，如“综合污水处理站”“生活污水处理系统”等。</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f排放口编号可按地方环境管理部门现有编号进行填写或由企业根据国家相关规范进行编制。</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g指排放口设置是否符合排放口规范化整治技术要求等相关文件的规定。</w:t>
                  </w:r>
                </w:p>
              </w:tc>
            </w:tr>
          </w:tbl>
          <w:p>
            <w:pPr>
              <w:pageBreakBefore w:val="0"/>
              <w:tabs>
                <w:tab w:val="left" w:pos="420"/>
              </w:tabs>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②废水排放口基本情况表</w:t>
            </w:r>
          </w:p>
          <w:p>
            <w:pPr>
              <w:pageBreakBefore w:val="0"/>
              <w:tabs>
                <w:tab w:val="left" w:pos="420"/>
              </w:tabs>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本次扩建完成后，全厂废水排放口基本情况见下表：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表4-8</w:t>
            </w:r>
            <w:r>
              <w:rPr>
                <w:rFonts w:hint="eastAsia" w:eastAsia="黑体"/>
                <w:color w:val="auto"/>
                <w:highlight w:val="none"/>
              </w:rPr>
              <w:t xml:space="preserve"> </w:t>
            </w:r>
            <w:r>
              <w:rPr>
                <w:rFonts w:eastAsia="黑体"/>
                <w:color w:val="auto"/>
                <w:highlight w:val="none"/>
              </w:rPr>
              <w:t>废水直接排放口基本情况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8"/>
              <w:gridCol w:w="438"/>
              <w:gridCol w:w="762"/>
              <w:gridCol w:w="643"/>
              <w:gridCol w:w="744"/>
              <w:gridCol w:w="784"/>
              <w:gridCol w:w="1312"/>
              <w:gridCol w:w="545"/>
              <w:gridCol w:w="585"/>
              <w:gridCol w:w="1147"/>
              <w:gridCol w:w="790"/>
              <w:gridCol w:w="736"/>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序号</w:t>
                  </w:r>
                </w:p>
              </w:tc>
              <w:tc>
                <w:tcPr>
                  <w:tcW w:w="239"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排放口编号</w:t>
                  </w:r>
                </w:p>
              </w:tc>
              <w:tc>
                <w:tcPr>
                  <w:tcW w:w="767" w:type="pct"/>
                  <w:gridSpan w:val="2"/>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排放口地理坐标</w:t>
                  </w:r>
                  <w:r>
                    <w:rPr>
                      <w:b/>
                      <w:color w:val="auto"/>
                      <w:kern w:val="0"/>
                      <w:highlight w:val="none"/>
                      <w:vertAlign w:val="superscript"/>
                    </w:rPr>
                    <w:t>（a）</w:t>
                  </w:r>
                </w:p>
              </w:tc>
              <w:tc>
                <w:tcPr>
                  <w:tcW w:w="406"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废水排放量</w:t>
                  </w:r>
                </w:p>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/（万t/a）</w:t>
                  </w:r>
                </w:p>
              </w:tc>
              <w:tc>
                <w:tcPr>
                  <w:tcW w:w="428"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排放去向</w:t>
                  </w:r>
                </w:p>
              </w:tc>
              <w:tc>
                <w:tcPr>
                  <w:tcW w:w="716"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排放规律</w:t>
                  </w:r>
                </w:p>
              </w:tc>
              <w:tc>
                <w:tcPr>
                  <w:tcW w:w="297"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间歇排放时段</w:t>
                  </w:r>
                </w:p>
              </w:tc>
              <w:tc>
                <w:tcPr>
                  <w:tcW w:w="945" w:type="pct"/>
                  <w:gridSpan w:val="2"/>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自然受纳水体</w:t>
                  </w:r>
                </w:p>
              </w:tc>
              <w:tc>
                <w:tcPr>
                  <w:tcW w:w="833" w:type="pct"/>
                  <w:gridSpan w:val="2"/>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汇入受纳自然水体处地理坐标</w:t>
                  </w:r>
                  <w:r>
                    <w:rPr>
                      <w:b/>
                      <w:color w:val="auto"/>
                      <w:kern w:val="0"/>
                      <w:highlight w:val="none"/>
                      <w:vertAlign w:val="superscript"/>
                    </w:rPr>
                    <w:t>（d）</w:t>
                  </w:r>
                </w:p>
              </w:tc>
              <w:tc>
                <w:tcPr>
                  <w:tcW w:w="241"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bCs/>
                      <w:color w:val="auto"/>
                      <w:kern w:val="0"/>
                      <w:highlight w:val="none"/>
                    </w:rPr>
                    <w:t>备注</w:t>
                  </w:r>
                  <w:r>
                    <w:rPr>
                      <w:b/>
                      <w:color w:val="auto"/>
                      <w:kern w:val="0"/>
                      <w:highlight w:val="none"/>
                      <w:vertAlign w:val="superscript"/>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239"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16"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经度</w:t>
                  </w:r>
                </w:p>
              </w:tc>
              <w:tc>
                <w:tcPr>
                  <w:tcW w:w="350"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纬度</w:t>
                  </w:r>
                </w:p>
              </w:tc>
              <w:tc>
                <w:tcPr>
                  <w:tcW w:w="406"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28" w:type="pct"/>
                  <w:vMerge w:val="continue"/>
                  <w:vAlign w:val="center"/>
                </w:tcPr>
                <w:p>
                  <w:pPr>
                    <w:pageBreakBefore w:val="0"/>
                    <w:kinsoku/>
                    <w:wordWrap/>
                    <w:topLinePunct w:val="0"/>
                    <w:autoSpaceDE w:val="0"/>
                    <w:autoSpaceDN w:val="0"/>
                    <w:bidi w:val="0"/>
                    <w:ind w:left="0" w:leftChars="0" w:right="0" w:rightChars="0"/>
                    <w:jc w:val="center"/>
                    <w:rPr>
                      <w:b/>
                      <w:color w:val="auto"/>
                      <w:kern w:val="0"/>
                      <w:highlight w:val="none"/>
                    </w:rPr>
                  </w:pPr>
                </w:p>
              </w:tc>
              <w:tc>
                <w:tcPr>
                  <w:tcW w:w="716" w:type="pct"/>
                  <w:vMerge w:val="continue"/>
                  <w:vAlign w:val="center"/>
                </w:tcPr>
                <w:p>
                  <w:pPr>
                    <w:pageBreakBefore w:val="0"/>
                    <w:kinsoku/>
                    <w:wordWrap/>
                    <w:topLinePunct w:val="0"/>
                    <w:autoSpaceDE w:val="0"/>
                    <w:autoSpaceDN w:val="0"/>
                    <w:bidi w:val="0"/>
                    <w:ind w:left="0" w:leftChars="0" w:right="0" w:rightChars="0"/>
                    <w:jc w:val="center"/>
                    <w:rPr>
                      <w:b/>
                      <w:color w:val="auto"/>
                      <w:kern w:val="0"/>
                      <w:highlight w:val="none"/>
                    </w:rPr>
                  </w:pPr>
                </w:p>
              </w:tc>
              <w:tc>
                <w:tcPr>
                  <w:tcW w:w="297" w:type="pct"/>
                  <w:vMerge w:val="continue"/>
                  <w:vAlign w:val="center"/>
                </w:tcPr>
                <w:p>
                  <w:pPr>
                    <w:pageBreakBefore w:val="0"/>
                    <w:kinsoku/>
                    <w:wordWrap/>
                    <w:topLinePunct w:val="0"/>
                    <w:autoSpaceDE w:val="0"/>
                    <w:autoSpaceDN w:val="0"/>
                    <w:bidi w:val="0"/>
                    <w:ind w:left="0" w:leftChars="0" w:right="0" w:rightChars="0"/>
                    <w:jc w:val="center"/>
                    <w:rPr>
                      <w:b/>
                      <w:color w:val="auto"/>
                      <w:kern w:val="0"/>
                      <w:highlight w:val="none"/>
                    </w:rPr>
                  </w:pPr>
                </w:p>
              </w:tc>
              <w:tc>
                <w:tcPr>
                  <w:tcW w:w="319"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名称</w:t>
                  </w:r>
                  <w:r>
                    <w:rPr>
                      <w:b/>
                      <w:color w:val="auto"/>
                      <w:kern w:val="0"/>
                      <w:highlight w:val="none"/>
                      <w:vertAlign w:val="superscript"/>
                    </w:rPr>
                    <w:t>（b）</w:t>
                  </w:r>
                </w:p>
              </w:tc>
              <w:tc>
                <w:tcPr>
                  <w:tcW w:w="625"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受纳水体功能目标</w:t>
                  </w:r>
                  <w:r>
                    <w:rPr>
                      <w:b/>
                      <w:color w:val="auto"/>
                      <w:kern w:val="0"/>
                      <w:highlight w:val="none"/>
                      <w:vertAlign w:val="superscript"/>
                    </w:rPr>
                    <w:t>（c）</w:t>
                  </w:r>
                </w:p>
              </w:tc>
              <w:tc>
                <w:tcPr>
                  <w:tcW w:w="431"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经度</w:t>
                  </w:r>
                </w:p>
              </w:tc>
              <w:tc>
                <w:tcPr>
                  <w:tcW w:w="401"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纬度</w:t>
                  </w:r>
                </w:p>
              </w:tc>
              <w:tc>
                <w:tcPr>
                  <w:tcW w:w="241" w:type="pct"/>
                  <w:vMerge w:val="continue"/>
                  <w:vAlign w:val="center"/>
                </w:tcPr>
                <w:p>
                  <w:pPr>
                    <w:pageBreakBefore w:val="0"/>
                    <w:kinsoku/>
                    <w:wordWrap/>
                    <w:topLinePunct w:val="0"/>
                    <w:autoSpaceDE w:val="0"/>
                    <w:autoSpaceDN w:val="0"/>
                    <w:bidi w:val="0"/>
                    <w:ind w:left="0" w:leftChars="0" w:right="0" w:rightChars="0"/>
                    <w:jc w:val="center"/>
                    <w:rPr>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w:t>
                  </w:r>
                </w:p>
              </w:tc>
              <w:tc>
                <w:tcPr>
                  <w:tcW w:w="23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DW</w:t>
                  </w:r>
                </w:p>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001</w:t>
                  </w:r>
                </w:p>
              </w:tc>
              <w:tc>
                <w:tcPr>
                  <w:tcW w:w="416"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107°58′47″</w:t>
                  </w:r>
                </w:p>
              </w:tc>
              <w:tc>
                <w:tcPr>
                  <w:tcW w:w="350"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31°22′26″</w:t>
                  </w:r>
                </w:p>
              </w:tc>
              <w:tc>
                <w:tcPr>
                  <w:tcW w:w="406"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730</w:t>
                  </w:r>
                </w:p>
              </w:tc>
              <w:tc>
                <w:tcPr>
                  <w:tcW w:w="428"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直接进入江河、湖、库等水环境</w:t>
                  </w:r>
                </w:p>
              </w:tc>
              <w:tc>
                <w:tcPr>
                  <w:tcW w:w="716"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连续排放，流量不稳定且无规律，但不属于冲击型排放</w:t>
                  </w:r>
                </w:p>
              </w:tc>
              <w:tc>
                <w:tcPr>
                  <w:tcW w:w="297"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w:t>
                  </w:r>
                </w:p>
              </w:tc>
              <w:tc>
                <w:tcPr>
                  <w:tcW w:w="31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前河</w:t>
                  </w:r>
                </w:p>
              </w:tc>
              <w:tc>
                <w:tcPr>
                  <w:tcW w:w="625"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Ⅲ类</w:t>
                  </w:r>
                </w:p>
              </w:tc>
              <w:tc>
                <w:tcPr>
                  <w:tcW w:w="431"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107°58′47″</w:t>
                  </w:r>
                </w:p>
              </w:tc>
              <w:tc>
                <w:tcPr>
                  <w:tcW w:w="401"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31°22′26″</w:t>
                  </w:r>
                </w:p>
              </w:tc>
              <w:tc>
                <w:tcPr>
                  <w:tcW w:w="24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3"/>
                  <w:vAlign w:val="center"/>
                </w:tcPr>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注1：对于直接排放至地表水体的排放口，指废水排出厂界处经纬度坐标；纳入管控的车间或车间处理设施排放口，指废水排出车间或车间处理设施</w:t>
                  </w:r>
                  <w:r>
                    <w:rPr>
                      <w:color w:val="auto"/>
                      <w:kern w:val="0"/>
                      <w:highlight w:val="none"/>
                    </w:rPr>
                    <w:cr/>
                  </w:r>
                  <w:r>
                    <w:rPr>
                      <w:color w:val="auto"/>
                      <w:kern w:val="0"/>
                      <w:highlight w:val="none"/>
                    </w:rPr>
                    <w:t>边界处经纬度坐标。</w:t>
                  </w:r>
                </w:p>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注2：指受纳水体的名称如南沙河、太子河、温榆河等。</w:t>
                  </w:r>
                </w:p>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注3：指对于直接排放至地表水体的排放口，其所处受纳水体功能类别，如Ⅲ类、Ⅳ类、Ⅴ类等。</w:t>
                  </w:r>
                </w:p>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注4：对于直接排放至地表水体的排放口，指废水汇入地表水体处经纬度坐标。</w:t>
                  </w:r>
                </w:p>
                <w:p>
                  <w:pPr>
                    <w:pageBreakBefore w:val="0"/>
                    <w:kinsoku/>
                    <w:wordWrap/>
                    <w:topLinePunct w:val="0"/>
                    <w:bidi w:val="0"/>
                    <w:ind w:left="0" w:leftChars="0" w:right="0" w:rightChars="0"/>
                    <w:jc w:val="left"/>
                    <w:rPr>
                      <w:color w:val="auto"/>
                      <w:kern w:val="0"/>
                      <w:highlight w:val="none"/>
                    </w:rPr>
                  </w:pPr>
                  <w:r>
                    <w:rPr>
                      <w:color w:val="auto"/>
                      <w:kern w:val="0"/>
                      <w:highlight w:val="none"/>
                    </w:rPr>
                    <w:t>注5：废水向海洋排放的，应当填写岸边排放或深海排放。深海排放的，还应说明排污口的深度、与岸线直线距离。在备注中填写。</w:t>
                  </w:r>
                </w:p>
              </w:tc>
            </w:tr>
          </w:tbl>
          <w:p>
            <w:pPr>
              <w:pageBreakBefore w:val="0"/>
              <w:numPr>
                <w:ilvl w:val="0"/>
                <w:numId w:val="0"/>
              </w:numPr>
              <w:kinsoku/>
              <w:wordWrap/>
              <w:topLinePunct w:val="0"/>
              <w:bidi w:val="0"/>
              <w:adjustRightInd w:val="0"/>
              <w:snapToGrid w:val="0"/>
              <w:spacing w:line="360" w:lineRule="auto"/>
              <w:ind w:right="0" w:rightChars="0" w:firstLine="480" w:firstLineChars="200"/>
              <w:rPr>
                <w:b w:val="0"/>
                <w:bCs/>
                <w:color w:val="auto"/>
                <w:sz w:val="24"/>
                <w:szCs w:val="24"/>
                <w:highlight w:val="none"/>
              </w:rPr>
            </w:pPr>
            <w:r>
              <w:rPr>
                <w:rFonts w:hint="eastAsia"/>
                <w:color w:val="auto"/>
                <w:sz w:val="24"/>
                <w:szCs w:val="24"/>
                <w:highlight w:val="none"/>
                <w:lang w:val="en-US" w:eastAsia="zh-CN" w:bidi="ar"/>
              </w:rPr>
              <w:t>项目</w:t>
            </w:r>
            <w:r>
              <w:rPr>
                <w:rFonts w:hint="eastAsia" w:ascii="Times New Roman" w:hAnsi="Times New Roman" w:cs="Times New Roman"/>
                <w:color w:val="auto"/>
                <w:sz w:val="24"/>
                <w:szCs w:val="32"/>
                <w:highlight w:val="none"/>
                <w:lang w:val="en-US" w:eastAsia="zh-CN" w:bidi="ar"/>
              </w:rPr>
              <w:t>一期未办理入河排污口设置论证报告，</w:t>
            </w:r>
            <w:r>
              <w:rPr>
                <w:rFonts w:hint="eastAsia" w:cs="Times New Roman"/>
                <w:color w:val="auto"/>
                <w:sz w:val="24"/>
                <w:szCs w:val="32"/>
                <w:highlight w:val="none"/>
                <w:lang w:val="en-US" w:eastAsia="zh-CN" w:bidi="ar"/>
              </w:rPr>
              <w:t>不满足环保相关要求。</w:t>
            </w:r>
            <w:r>
              <w:rPr>
                <w:rFonts w:hint="eastAsia"/>
                <w:b w:val="0"/>
                <w:bCs/>
                <w:color w:val="auto"/>
                <w:sz w:val="24"/>
                <w:szCs w:val="24"/>
                <w:highlight w:val="none"/>
                <w:lang w:val="en-US" w:eastAsia="zh-CN"/>
              </w:rPr>
              <w:t>根据</w:t>
            </w:r>
            <w:r>
              <w:rPr>
                <w:rFonts w:hint="default"/>
                <w:b w:val="0"/>
                <w:bCs/>
                <w:color w:val="auto"/>
                <w:sz w:val="24"/>
                <w:szCs w:val="24"/>
                <w:highlight w:val="none"/>
              </w:rPr>
              <w:t>《中华人民共和国水污染防治法》第十九条第二款、《入河排污口监督管理办法》第六条，“建设单位在江河、湖泊新建、改建、扩建排污口的，应当取得水行政主管部门或者流域管理机构同意”</w:t>
            </w:r>
            <w:r>
              <w:rPr>
                <w:rFonts w:hint="eastAsia"/>
                <w:b w:val="0"/>
                <w:bCs/>
                <w:color w:val="auto"/>
                <w:sz w:val="24"/>
                <w:szCs w:val="24"/>
                <w:highlight w:val="none"/>
                <w:lang w:eastAsia="zh-CN"/>
              </w:rPr>
              <w:t>。</w:t>
            </w:r>
            <w:r>
              <w:rPr>
                <w:rFonts w:hint="eastAsia"/>
                <w:b w:val="0"/>
                <w:bCs/>
                <w:color w:val="auto"/>
                <w:sz w:val="24"/>
                <w:szCs w:val="24"/>
                <w:highlight w:val="none"/>
                <w:lang w:val="en-US" w:eastAsia="zh-CN"/>
              </w:rPr>
              <w:t>因此，</w:t>
            </w:r>
            <w:r>
              <w:rPr>
                <w:rFonts w:hint="default"/>
                <w:b w:val="0"/>
                <w:bCs/>
                <w:color w:val="auto"/>
                <w:sz w:val="24"/>
                <w:szCs w:val="24"/>
                <w:highlight w:val="none"/>
              </w:rPr>
              <w:t>本项目需办理入河排污口设置论证报告审批。</w:t>
            </w:r>
            <w:r>
              <w:rPr>
                <w:rFonts w:hint="eastAsia"/>
                <w:b w:val="0"/>
                <w:bCs/>
                <w:color w:val="auto"/>
                <w:sz w:val="24"/>
                <w:szCs w:val="24"/>
                <w:highlight w:val="none"/>
                <w:lang w:val="en-US" w:eastAsia="zh-CN"/>
              </w:rPr>
              <w:t>环评要求：项目二期工程运营前需取得入河排污口批复。</w:t>
            </w:r>
          </w:p>
          <w:p>
            <w:pPr>
              <w:pageBreakBefore w:val="0"/>
              <w:numPr>
                <w:ilvl w:val="0"/>
                <w:numId w:val="0"/>
              </w:numPr>
              <w:kinsoku/>
              <w:wordWrap/>
              <w:topLinePunct w:val="0"/>
              <w:bidi w:val="0"/>
              <w:adjustRightInd w:val="0"/>
              <w:snapToGrid w:val="0"/>
              <w:spacing w:line="360" w:lineRule="auto"/>
              <w:ind w:leftChars="200" w:right="0" w:rightChars="0"/>
              <w:rPr>
                <w:b/>
                <w:color w:val="auto"/>
                <w:sz w:val="24"/>
                <w:szCs w:val="24"/>
                <w:highlight w:val="none"/>
              </w:rPr>
            </w:pPr>
            <w:r>
              <w:rPr>
                <w:rFonts w:hint="eastAsia"/>
                <w:b/>
                <w:color w:val="auto"/>
                <w:sz w:val="24"/>
                <w:szCs w:val="24"/>
                <w:highlight w:val="none"/>
                <w:lang w:eastAsia="zh-CN"/>
              </w:rPr>
              <w:t>（</w:t>
            </w:r>
            <w:r>
              <w:rPr>
                <w:rFonts w:hint="eastAsia"/>
                <w:b/>
                <w:color w:val="auto"/>
                <w:sz w:val="24"/>
                <w:szCs w:val="24"/>
                <w:highlight w:val="none"/>
                <w:lang w:val="en-US" w:eastAsia="zh-CN"/>
              </w:rPr>
              <w:t>3</w:t>
            </w:r>
            <w:r>
              <w:rPr>
                <w:rFonts w:hint="eastAsia"/>
                <w:b/>
                <w:color w:val="auto"/>
                <w:sz w:val="24"/>
                <w:szCs w:val="24"/>
                <w:highlight w:val="none"/>
                <w:lang w:eastAsia="zh-CN"/>
              </w:rPr>
              <w:t>）</w:t>
            </w:r>
            <w:r>
              <w:rPr>
                <w:b/>
                <w:color w:val="auto"/>
                <w:sz w:val="24"/>
                <w:szCs w:val="24"/>
                <w:highlight w:val="none"/>
              </w:rPr>
              <w:t>废水污染物排放信息表</w:t>
            </w:r>
          </w:p>
          <w:p>
            <w:pPr>
              <w:pageBreakBefore w:val="0"/>
              <w:kinsoku/>
              <w:wordWrap/>
              <w:topLinePunct w:val="0"/>
              <w:bidi w:val="0"/>
              <w:adjustRightInd w:val="0"/>
              <w:snapToGrid w:val="0"/>
              <w:spacing w:line="360" w:lineRule="auto"/>
              <w:ind w:left="0" w:leftChars="0" w:right="0" w:rightChars="0" w:firstLine="480" w:firstLineChars="200"/>
              <w:rPr>
                <w:color w:val="auto"/>
                <w:sz w:val="24"/>
                <w:highlight w:val="none"/>
              </w:rPr>
            </w:pPr>
            <w:r>
              <w:rPr>
                <w:color w:val="auto"/>
                <w:sz w:val="24"/>
                <w:highlight w:val="none"/>
              </w:rPr>
              <w:t>本项目废水污染物排放执行标准见下表：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表4-9</w:t>
            </w:r>
            <w:r>
              <w:rPr>
                <w:rFonts w:hint="eastAsia" w:eastAsia="黑体"/>
                <w:color w:val="auto"/>
                <w:highlight w:val="none"/>
              </w:rPr>
              <w:t xml:space="preserve"> </w:t>
            </w:r>
            <w:r>
              <w:rPr>
                <w:rFonts w:eastAsia="黑体"/>
                <w:color w:val="auto"/>
                <w:highlight w:val="none"/>
              </w:rPr>
              <w:t>废水污染物排放执行标准表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509"/>
              <w:gridCol w:w="2299"/>
              <w:gridCol w:w="1996"/>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序号</w:t>
                  </w:r>
                </w:p>
              </w:tc>
              <w:tc>
                <w:tcPr>
                  <w:tcW w:w="1488" w:type="dxa"/>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排放口编号</w:t>
                  </w:r>
                </w:p>
              </w:tc>
              <w:tc>
                <w:tcPr>
                  <w:tcW w:w="2268" w:type="dxa"/>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污染物种类</w:t>
                  </w:r>
                </w:p>
              </w:tc>
              <w:tc>
                <w:tcPr>
                  <w:tcW w:w="4458" w:type="dxa"/>
                  <w:gridSpan w:val="2"/>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国家或地方排放标准及其他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vMerge w:val="continue"/>
                  <w:vAlign w:val="center"/>
                </w:tcPr>
                <w:p>
                  <w:pPr>
                    <w:pageBreakBefore w:val="0"/>
                    <w:kinsoku/>
                    <w:wordWrap/>
                    <w:topLinePunct w:val="0"/>
                    <w:bidi w:val="0"/>
                    <w:ind w:left="0" w:leftChars="0" w:right="0" w:rightChars="0"/>
                    <w:jc w:val="center"/>
                    <w:rPr>
                      <w:color w:val="auto"/>
                      <w:highlight w:val="none"/>
                    </w:rPr>
                  </w:pPr>
                </w:p>
              </w:tc>
              <w:tc>
                <w:tcPr>
                  <w:tcW w:w="1488" w:type="dxa"/>
                  <w:vMerge w:val="continue"/>
                  <w:vAlign w:val="center"/>
                </w:tcPr>
                <w:p>
                  <w:pPr>
                    <w:pageBreakBefore w:val="0"/>
                    <w:kinsoku/>
                    <w:wordWrap/>
                    <w:topLinePunct w:val="0"/>
                    <w:bidi w:val="0"/>
                    <w:ind w:left="0" w:leftChars="0" w:right="0" w:rightChars="0"/>
                    <w:jc w:val="center"/>
                    <w:rPr>
                      <w:color w:val="auto"/>
                      <w:highlight w:val="none"/>
                    </w:rPr>
                  </w:pPr>
                </w:p>
              </w:tc>
              <w:tc>
                <w:tcPr>
                  <w:tcW w:w="2268" w:type="dxa"/>
                  <w:vMerge w:val="continue"/>
                  <w:vAlign w:val="center"/>
                </w:tcPr>
                <w:p>
                  <w:pPr>
                    <w:pageBreakBefore w:val="0"/>
                    <w:kinsoku/>
                    <w:wordWrap/>
                    <w:topLinePunct w:val="0"/>
                    <w:bidi w:val="0"/>
                    <w:ind w:left="0" w:leftChars="0" w:right="0" w:rightChars="0"/>
                    <w:jc w:val="center"/>
                    <w:rPr>
                      <w:color w:val="auto"/>
                      <w:highlight w:val="none"/>
                    </w:rPr>
                  </w:pPr>
                </w:p>
              </w:tc>
              <w:tc>
                <w:tcPr>
                  <w:tcW w:w="1968"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名称</w:t>
                  </w:r>
                </w:p>
              </w:tc>
              <w:tc>
                <w:tcPr>
                  <w:tcW w:w="2490"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限制（mg/L）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w:t>
                  </w:r>
                </w:p>
              </w:tc>
              <w:tc>
                <w:tcPr>
                  <w:tcW w:w="1488"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DW001</w:t>
                  </w:r>
                </w:p>
              </w:tc>
              <w:tc>
                <w:tcPr>
                  <w:tcW w:w="226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COD</w:t>
                  </w:r>
                </w:p>
              </w:tc>
              <w:tc>
                <w:tcPr>
                  <w:tcW w:w="1968"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《城镇污水处理厂污染物排放标准》（GB18918-2002）一级A标准</w:t>
                  </w:r>
                </w:p>
              </w:tc>
              <w:tc>
                <w:tcPr>
                  <w:tcW w:w="249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2</w:t>
                  </w:r>
                </w:p>
              </w:tc>
              <w:tc>
                <w:tcPr>
                  <w:tcW w:w="1488" w:type="dxa"/>
                  <w:vMerge w:val="continue"/>
                  <w:vAlign w:val="center"/>
                </w:tcPr>
                <w:p>
                  <w:pPr>
                    <w:pageBreakBefore w:val="0"/>
                    <w:kinsoku/>
                    <w:wordWrap/>
                    <w:topLinePunct w:val="0"/>
                    <w:bidi w:val="0"/>
                    <w:ind w:left="0" w:leftChars="0" w:right="0" w:rightChars="0"/>
                    <w:jc w:val="center"/>
                    <w:rPr>
                      <w:color w:val="auto"/>
                      <w:highlight w:val="none"/>
                    </w:rPr>
                  </w:pPr>
                </w:p>
              </w:tc>
              <w:tc>
                <w:tcPr>
                  <w:tcW w:w="226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BOD</w:t>
                  </w:r>
                  <w:r>
                    <w:rPr>
                      <w:color w:val="auto"/>
                      <w:highlight w:val="none"/>
                      <w:vertAlign w:val="subscript"/>
                    </w:rPr>
                    <w:t>5</w:t>
                  </w:r>
                </w:p>
              </w:tc>
              <w:tc>
                <w:tcPr>
                  <w:tcW w:w="1968" w:type="dxa"/>
                  <w:vMerge w:val="continue"/>
                  <w:vAlign w:val="center"/>
                </w:tcPr>
                <w:p>
                  <w:pPr>
                    <w:pageBreakBefore w:val="0"/>
                    <w:kinsoku/>
                    <w:wordWrap/>
                    <w:topLinePunct w:val="0"/>
                    <w:bidi w:val="0"/>
                    <w:ind w:left="0" w:leftChars="0" w:right="0" w:rightChars="0"/>
                    <w:jc w:val="center"/>
                    <w:rPr>
                      <w:color w:val="auto"/>
                      <w:highlight w:val="none"/>
                    </w:rPr>
                  </w:pPr>
                </w:p>
              </w:tc>
              <w:tc>
                <w:tcPr>
                  <w:tcW w:w="249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vAlign w:val="center"/>
                </w:tcPr>
                <w:p>
                  <w:pPr>
                    <w:pageBreakBefore w:val="0"/>
                    <w:tabs>
                      <w:tab w:val="left" w:pos="258"/>
                    </w:tabs>
                    <w:kinsoku/>
                    <w:wordWrap/>
                    <w:topLinePunct w:val="0"/>
                    <w:bidi w:val="0"/>
                    <w:ind w:left="0" w:leftChars="0" w:right="0" w:rightChars="0"/>
                    <w:jc w:val="left"/>
                    <w:rPr>
                      <w:color w:val="auto"/>
                      <w:highlight w:val="none"/>
                    </w:rPr>
                  </w:pPr>
                  <w:r>
                    <w:rPr>
                      <w:color w:val="auto"/>
                      <w:highlight w:val="none"/>
                    </w:rPr>
                    <w:tab/>
                  </w:r>
                  <w:r>
                    <w:rPr>
                      <w:color w:val="auto"/>
                      <w:highlight w:val="none"/>
                    </w:rPr>
                    <w:t>3</w:t>
                  </w:r>
                </w:p>
              </w:tc>
              <w:tc>
                <w:tcPr>
                  <w:tcW w:w="1488" w:type="dxa"/>
                  <w:vMerge w:val="continue"/>
                  <w:vAlign w:val="center"/>
                </w:tcPr>
                <w:p>
                  <w:pPr>
                    <w:pageBreakBefore w:val="0"/>
                    <w:kinsoku/>
                    <w:wordWrap/>
                    <w:topLinePunct w:val="0"/>
                    <w:bidi w:val="0"/>
                    <w:ind w:left="0" w:leftChars="0" w:right="0" w:rightChars="0"/>
                    <w:jc w:val="center"/>
                    <w:rPr>
                      <w:color w:val="auto"/>
                      <w:highlight w:val="none"/>
                    </w:rPr>
                  </w:pPr>
                </w:p>
              </w:tc>
              <w:tc>
                <w:tcPr>
                  <w:tcW w:w="226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SS</w:t>
                  </w:r>
                </w:p>
              </w:tc>
              <w:tc>
                <w:tcPr>
                  <w:tcW w:w="1968" w:type="dxa"/>
                  <w:vMerge w:val="continue"/>
                  <w:vAlign w:val="center"/>
                </w:tcPr>
                <w:p>
                  <w:pPr>
                    <w:pageBreakBefore w:val="0"/>
                    <w:kinsoku/>
                    <w:wordWrap/>
                    <w:topLinePunct w:val="0"/>
                    <w:bidi w:val="0"/>
                    <w:ind w:left="0" w:leftChars="0" w:right="0" w:rightChars="0"/>
                    <w:jc w:val="center"/>
                    <w:rPr>
                      <w:color w:val="auto"/>
                      <w:highlight w:val="none"/>
                    </w:rPr>
                  </w:pPr>
                </w:p>
              </w:tc>
              <w:tc>
                <w:tcPr>
                  <w:tcW w:w="249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22" w:type="dxa"/>
                </w:tcPr>
                <w:p>
                  <w:pPr>
                    <w:pageBreakBefore w:val="0"/>
                    <w:kinsoku/>
                    <w:wordWrap/>
                    <w:topLinePunct w:val="0"/>
                    <w:bidi w:val="0"/>
                    <w:ind w:left="0" w:leftChars="0" w:right="0" w:rightChars="0"/>
                    <w:jc w:val="center"/>
                    <w:rPr>
                      <w:color w:val="auto"/>
                      <w:highlight w:val="none"/>
                    </w:rPr>
                  </w:pPr>
                  <w:r>
                    <w:rPr>
                      <w:color w:val="auto"/>
                      <w:highlight w:val="none"/>
                    </w:rPr>
                    <w:t>4</w:t>
                  </w:r>
                </w:p>
              </w:tc>
              <w:tc>
                <w:tcPr>
                  <w:tcW w:w="1488" w:type="dxa"/>
                  <w:vMerge w:val="continue"/>
                </w:tcPr>
                <w:p>
                  <w:pPr>
                    <w:pageBreakBefore w:val="0"/>
                    <w:kinsoku/>
                    <w:wordWrap/>
                    <w:topLinePunct w:val="0"/>
                    <w:bidi w:val="0"/>
                    <w:ind w:left="0" w:leftChars="0" w:right="0" w:rightChars="0"/>
                    <w:jc w:val="center"/>
                    <w:rPr>
                      <w:color w:val="auto"/>
                      <w:highlight w:val="none"/>
                    </w:rPr>
                  </w:pPr>
                </w:p>
              </w:tc>
              <w:tc>
                <w:tcPr>
                  <w:tcW w:w="2268" w:type="dxa"/>
                  <w:vAlign w:val="center"/>
                </w:tcPr>
                <w:p>
                  <w:pPr>
                    <w:pageBreakBefore w:val="0"/>
                    <w:kinsoku/>
                    <w:wordWrap/>
                    <w:topLinePunct w:val="0"/>
                    <w:bidi w:val="0"/>
                    <w:ind w:left="0" w:leftChars="0" w:right="0" w:rightChars="0"/>
                    <w:jc w:val="center"/>
                    <w:rPr>
                      <w:color w:val="auto"/>
                      <w:highlight w:val="none"/>
                    </w:rPr>
                  </w:pPr>
                  <w:r>
                    <w:rPr>
                      <w:bCs/>
                      <w:color w:val="auto"/>
                      <w:highlight w:val="none"/>
                    </w:rPr>
                    <w:t>NH</w:t>
                  </w:r>
                  <w:r>
                    <w:rPr>
                      <w:bCs/>
                      <w:color w:val="auto"/>
                      <w:highlight w:val="none"/>
                      <w:vertAlign w:val="subscript"/>
                    </w:rPr>
                    <w:t>3</w:t>
                  </w:r>
                  <w:r>
                    <w:rPr>
                      <w:bCs/>
                      <w:color w:val="auto"/>
                      <w:highlight w:val="none"/>
                    </w:rPr>
                    <w:t>-N</w:t>
                  </w:r>
                </w:p>
              </w:tc>
              <w:tc>
                <w:tcPr>
                  <w:tcW w:w="1968" w:type="dxa"/>
                  <w:vMerge w:val="continue"/>
                </w:tcPr>
                <w:p>
                  <w:pPr>
                    <w:pageBreakBefore w:val="0"/>
                    <w:kinsoku/>
                    <w:wordWrap/>
                    <w:topLinePunct w:val="0"/>
                    <w:bidi w:val="0"/>
                    <w:ind w:left="0" w:leftChars="0" w:right="0" w:rightChars="0"/>
                    <w:jc w:val="center"/>
                    <w:rPr>
                      <w:color w:val="auto"/>
                      <w:highlight w:val="none"/>
                    </w:rPr>
                  </w:pPr>
                </w:p>
              </w:tc>
              <w:tc>
                <w:tcPr>
                  <w:tcW w:w="2490" w:type="dxa"/>
                </w:tcPr>
                <w:p>
                  <w:pPr>
                    <w:pageBreakBefore w:val="0"/>
                    <w:kinsoku/>
                    <w:wordWrap/>
                    <w:topLinePunct w:val="0"/>
                    <w:bidi w:val="0"/>
                    <w:ind w:left="0" w:leftChars="0" w:right="0" w:rightChars="0"/>
                    <w:jc w:val="center"/>
                    <w:rPr>
                      <w:color w:val="auto"/>
                      <w:highlight w:val="none"/>
                    </w:rPr>
                  </w:pPr>
                  <w:r>
                    <w:rPr>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tcPr>
                <w:p>
                  <w:pPr>
                    <w:pageBreakBefore w:val="0"/>
                    <w:kinsoku/>
                    <w:wordWrap/>
                    <w:topLinePunct w:val="0"/>
                    <w:bidi w:val="0"/>
                    <w:ind w:left="0" w:leftChars="0" w:right="0" w:rightChars="0"/>
                    <w:jc w:val="center"/>
                    <w:rPr>
                      <w:color w:val="auto"/>
                      <w:highlight w:val="none"/>
                    </w:rPr>
                  </w:pPr>
                  <w:r>
                    <w:rPr>
                      <w:color w:val="auto"/>
                      <w:highlight w:val="none"/>
                    </w:rPr>
                    <w:t>5</w:t>
                  </w:r>
                </w:p>
              </w:tc>
              <w:tc>
                <w:tcPr>
                  <w:tcW w:w="1488" w:type="dxa"/>
                  <w:vMerge w:val="continue"/>
                </w:tcPr>
                <w:p>
                  <w:pPr>
                    <w:pageBreakBefore w:val="0"/>
                    <w:kinsoku/>
                    <w:wordWrap/>
                    <w:topLinePunct w:val="0"/>
                    <w:bidi w:val="0"/>
                    <w:ind w:left="0" w:leftChars="0" w:right="0" w:rightChars="0"/>
                    <w:jc w:val="center"/>
                    <w:rPr>
                      <w:color w:val="auto"/>
                      <w:highlight w:val="none"/>
                    </w:rPr>
                  </w:pPr>
                </w:p>
              </w:tc>
              <w:tc>
                <w:tcPr>
                  <w:tcW w:w="226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TN</w:t>
                  </w:r>
                </w:p>
              </w:tc>
              <w:tc>
                <w:tcPr>
                  <w:tcW w:w="1968" w:type="dxa"/>
                  <w:vMerge w:val="continue"/>
                </w:tcPr>
                <w:p>
                  <w:pPr>
                    <w:pageBreakBefore w:val="0"/>
                    <w:kinsoku/>
                    <w:wordWrap/>
                    <w:topLinePunct w:val="0"/>
                    <w:bidi w:val="0"/>
                    <w:ind w:left="0" w:leftChars="0" w:right="0" w:rightChars="0"/>
                    <w:jc w:val="center"/>
                    <w:rPr>
                      <w:color w:val="auto"/>
                      <w:highlight w:val="none"/>
                    </w:rPr>
                  </w:pPr>
                </w:p>
              </w:tc>
              <w:tc>
                <w:tcPr>
                  <w:tcW w:w="2490" w:type="dxa"/>
                </w:tcPr>
                <w:p>
                  <w:pPr>
                    <w:pageBreakBefore w:val="0"/>
                    <w:kinsoku/>
                    <w:wordWrap/>
                    <w:topLinePunct w:val="0"/>
                    <w:bidi w:val="0"/>
                    <w:ind w:left="0" w:leftChars="0" w:right="0" w:rightChars="0"/>
                    <w:jc w:val="cente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2" w:type="dxa"/>
                </w:tcPr>
                <w:p>
                  <w:pPr>
                    <w:pageBreakBefore w:val="0"/>
                    <w:kinsoku/>
                    <w:wordWrap/>
                    <w:topLinePunct w:val="0"/>
                    <w:bidi w:val="0"/>
                    <w:ind w:left="0" w:leftChars="0" w:right="0" w:rightChars="0"/>
                    <w:jc w:val="center"/>
                    <w:rPr>
                      <w:color w:val="auto"/>
                      <w:highlight w:val="none"/>
                    </w:rPr>
                  </w:pPr>
                  <w:r>
                    <w:rPr>
                      <w:color w:val="auto"/>
                      <w:highlight w:val="none"/>
                    </w:rPr>
                    <w:t>6</w:t>
                  </w:r>
                </w:p>
              </w:tc>
              <w:tc>
                <w:tcPr>
                  <w:tcW w:w="1488" w:type="dxa"/>
                  <w:vMerge w:val="continue"/>
                </w:tcPr>
                <w:p>
                  <w:pPr>
                    <w:pageBreakBefore w:val="0"/>
                    <w:kinsoku/>
                    <w:wordWrap/>
                    <w:topLinePunct w:val="0"/>
                    <w:bidi w:val="0"/>
                    <w:ind w:left="0" w:leftChars="0" w:right="0" w:rightChars="0"/>
                    <w:jc w:val="center"/>
                    <w:rPr>
                      <w:color w:val="auto"/>
                      <w:highlight w:val="none"/>
                    </w:rPr>
                  </w:pPr>
                </w:p>
              </w:tc>
              <w:tc>
                <w:tcPr>
                  <w:tcW w:w="226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TP</w:t>
                  </w:r>
                </w:p>
              </w:tc>
              <w:tc>
                <w:tcPr>
                  <w:tcW w:w="1968" w:type="dxa"/>
                  <w:vMerge w:val="continue"/>
                </w:tcPr>
                <w:p>
                  <w:pPr>
                    <w:pageBreakBefore w:val="0"/>
                    <w:kinsoku/>
                    <w:wordWrap/>
                    <w:topLinePunct w:val="0"/>
                    <w:bidi w:val="0"/>
                    <w:ind w:left="0" w:leftChars="0" w:right="0" w:rightChars="0"/>
                    <w:jc w:val="center"/>
                    <w:rPr>
                      <w:color w:val="auto"/>
                      <w:highlight w:val="none"/>
                    </w:rPr>
                  </w:pPr>
                </w:p>
              </w:tc>
              <w:tc>
                <w:tcPr>
                  <w:tcW w:w="2490" w:type="dxa"/>
                </w:tcPr>
                <w:p>
                  <w:pPr>
                    <w:pageBreakBefore w:val="0"/>
                    <w:kinsoku/>
                    <w:wordWrap/>
                    <w:topLinePunct w:val="0"/>
                    <w:bidi w:val="0"/>
                    <w:ind w:left="0" w:leftChars="0" w:right="0" w:rightChars="0"/>
                    <w:jc w:val="center"/>
                    <w:rPr>
                      <w:color w:val="auto"/>
                      <w:highlight w:val="none"/>
                    </w:rPr>
                  </w:pPr>
                  <w:r>
                    <w:rPr>
                      <w:color w:val="auto"/>
                      <w:highlight w:val="none"/>
                    </w:rPr>
                    <w:t>0.5</w:t>
                  </w:r>
                </w:p>
              </w:tc>
            </w:tr>
          </w:tbl>
          <w:p>
            <w:pPr>
              <w:pageBreakBefore w:val="0"/>
              <w:tabs>
                <w:tab w:val="left" w:pos="420"/>
              </w:tabs>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本项目废水污染物排放信息见下表：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表4-10</w:t>
            </w:r>
            <w:r>
              <w:rPr>
                <w:rFonts w:hint="eastAsia" w:eastAsia="黑体"/>
                <w:color w:val="auto"/>
                <w:highlight w:val="none"/>
              </w:rPr>
              <w:t xml:space="preserve"> </w:t>
            </w:r>
            <w:r>
              <w:rPr>
                <w:rFonts w:eastAsia="黑体"/>
                <w:color w:val="auto"/>
                <w:highlight w:val="none"/>
              </w:rPr>
              <w:t>废水污染物排放信息表</w:t>
            </w:r>
          </w:p>
          <w:tbl>
            <w:tblPr>
              <w:tblStyle w:val="23"/>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961"/>
              <w:gridCol w:w="1022"/>
              <w:gridCol w:w="1305"/>
              <w:gridCol w:w="1305"/>
              <w:gridCol w:w="1305"/>
              <w:gridCol w:w="1306"/>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序号</w:t>
                  </w:r>
                </w:p>
              </w:tc>
              <w:tc>
                <w:tcPr>
                  <w:tcW w:w="961"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排放口编号</w:t>
                  </w:r>
                </w:p>
              </w:tc>
              <w:tc>
                <w:tcPr>
                  <w:tcW w:w="1022"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污染物种类</w:t>
                  </w:r>
                </w:p>
              </w:tc>
              <w:tc>
                <w:tcPr>
                  <w:tcW w:w="130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排放浓度（mg/L）</w:t>
                  </w:r>
                </w:p>
              </w:tc>
              <w:tc>
                <w:tcPr>
                  <w:tcW w:w="130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新增日排放量（t/d）</w:t>
                  </w:r>
                </w:p>
              </w:tc>
              <w:tc>
                <w:tcPr>
                  <w:tcW w:w="130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全厂日排放量（t/d）</w:t>
                  </w:r>
                </w:p>
              </w:tc>
              <w:tc>
                <w:tcPr>
                  <w:tcW w:w="1306"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新增年排放量（t/a）</w:t>
                  </w:r>
                </w:p>
              </w:tc>
              <w:tc>
                <w:tcPr>
                  <w:tcW w:w="1308"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全厂年排放量（t/a）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w:t>
                  </w:r>
                </w:p>
              </w:tc>
              <w:tc>
                <w:tcPr>
                  <w:tcW w:w="961"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DW001</w:t>
                  </w:r>
                </w:p>
              </w:tc>
              <w:tc>
                <w:tcPr>
                  <w:tcW w:w="10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COD</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0.500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1.000</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182.50</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2</w:t>
                  </w:r>
                </w:p>
              </w:tc>
              <w:tc>
                <w:tcPr>
                  <w:tcW w:w="961" w:type="dxa"/>
                  <w:vMerge w:val="continue"/>
                  <w:vAlign w:val="center"/>
                </w:tcPr>
                <w:p>
                  <w:pPr>
                    <w:pageBreakBefore w:val="0"/>
                    <w:kinsoku/>
                    <w:wordWrap/>
                    <w:topLinePunct w:val="0"/>
                    <w:bidi w:val="0"/>
                    <w:ind w:left="0" w:leftChars="0" w:right="0" w:rightChars="0"/>
                    <w:jc w:val="center"/>
                    <w:rPr>
                      <w:color w:val="auto"/>
                      <w:highlight w:val="none"/>
                    </w:rPr>
                  </w:pPr>
                </w:p>
              </w:tc>
              <w:tc>
                <w:tcPr>
                  <w:tcW w:w="10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BOD</w:t>
                  </w:r>
                  <w:r>
                    <w:rPr>
                      <w:color w:val="auto"/>
                      <w:highlight w:val="none"/>
                      <w:vertAlign w:val="subscript"/>
                    </w:rPr>
                    <w:t>5</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0.100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0.200</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tabs>
                      <w:tab w:val="left" w:pos="258"/>
                    </w:tabs>
                    <w:kinsoku/>
                    <w:wordWrap/>
                    <w:topLinePunct w:val="0"/>
                    <w:bidi w:val="0"/>
                    <w:ind w:left="0" w:leftChars="0" w:right="0" w:rightChars="0"/>
                    <w:jc w:val="center"/>
                    <w:rPr>
                      <w:color w:val="auto"/>
                      <w:highlight w:val="none"/>
                    </w:rPr>
                  </w:pPr>
                  <w:r>
                    <w:rPr>
                      <w:color w:val="auto"/>
                      <w:highlight w:val="none"/>
                    </w:rPr>
                    <w:t>3</w:t>
                  </w:r>
                </w:p>
              </w:tc>
              <w:tc>
                <w:tcPr>
                  <w:tcW w:w="961" w:type="dxa"/>
                  <w:vMerge w:val="continue"/>
                  <w:vAlign w:val="center"/>
                </w:tcPr>
                <w:p>
                  <w:pPr>
                    <w:pageBreakBefore w:val="0"/>
                    <w:kinsoku/>
                    <w:wordWrap/>
                    <w:topLinePunct w:val="0"/>
                    <w:bidi w:val="0"/>
                    <w:ind w:left="0" w:leftChars="0" w:right="0" w:rightChars="0"/>
                    <w:jc w:val="center"/>
                    <w:rPr>
                      <w:color w:val="auto"/>
                      <w:highlight w:val="none"/>
                    </w:rPr>
                  </w:pPr>
                </w:p>
              </w:tc>
              <w:tc>
                <w:tcPr>
                  <w:tcW w:w="10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SS</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0.100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0.200</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4</w:t>
                  </w:r>
                </w:p>
              </w:tc>
              <w:tc>
                <w:tcPr>
                  <w:tcW w:w="961" w:type="dxa"/>
                  <w:vMerge w:val="continue"/>
                  <w:vAlign w:val="center"/>
                </w:tcPr>
                <w:p>
                  <w:pPr>
                    <w:pageBreakBefore w:val="0"/>
                    <w:kinsoku/>
                    <w:wordWrap/>
                    <w:topLinePunct w:val="0"/>
                    <w:bidi w:val="0"/>
                    <w:ind w:left="0" w:leftChars="0" w:right="0" w:rightChars="0"/>
                    <w:jc w:val="center"/>
                    <w:rPr>
                      <w:color w:val="auto"/>
                      <w:highlight w:val="none"/>
                    </w:rPr>
                  </w:pPr>
                </w:p>
              </w:tc>
              <w:tc>
                <w:tcPr>
                  <w:tcW w:w="1022" w:type="dxa"/>
                  <w:vAlign w:val="center"/>
                </w:tcPr>
                <w:p>
                  <w:pPr>
                    <w:pageBreakBefore w:val="0"/>
                    <w:kinsoku/>
                    <w:wordWrap/>
                    <w:topLinePunct w:val="0"/>
                    <w:bidi w:val="0"/>
                    <w:ind w:left="0" w:leftChars="0" w:right="0" w:rightChars="0"/>
                    <w:jc w:val="center"/>
                    <w:rPr>
                      <w:color w:val="auto"/>
                      <w:highlight w:val="none"/>
                    </w:rPr>
                  </w:pPr>
                  <w:r>
                    <w:rPr>
                      <w:bCs/>
                      <w:color w:val="auto"/>
                      <w:highlight w:val="none"/>
                    </w:rPr>
                    <w:t>NH</w:t>
                  </w:r>
                  <w:r>
                    <w:rPr>
                      <w:bCs/>
                      <w:color w:val="auto"/>
                      <w:highlight w:val="none"/>
                      <w:vertAlign w:val="subscript"/>
                    </w:rPr>
                    <w:t>3</w:t>
                  </w:r>
                  <w:r>
                    <w:rPr>
                      <w:bCs/>
                      <w:color w:val="auto"/>
                      <w:highlight w:val="none"/>
                    </w:rPr>
                    <w:t>-N</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0.050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0.100</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5</w:t>
                  </w:r>
                </w:p>
              </w:tc>
              <w:tc>
                <w:tcPr>
                  <w:tcW w:w="961" w:type="dxa"/>
                  <w:vMerge w:val="continue"/>
                  <w:vAlign w:val="center"/>
                </w:tcPr>
                <w:p>
                  <w:pPr>
                    <w:pageBreakBefore w:val="0"/>
                    <w:kinsoku/>
                    <w:wordWrap/>
                    <w:topLinePunct w:val="0"/>
                    <w:bidi w:val="0"/>
                    <w:ind w:left="0" w:leftChars="0" w:right="0" w:rightChars="0"/>
                    <w:jc w:val="center"/>
                    <w:rPr>
                      <w:color w:val="auto"/>
                      <w:highlight w:val="none"/>
                    </w:rPr>
                  </w:pPr>
                </w:p>
              </w:tc>
              <w:tc>
                <w:tcPr>
                  <w:tcW w:w="10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TN</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15</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0.150</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0.300</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54.75</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6</w:t>
                  </w:r>
                </w:p>
              </w:tc>
              <w:tc>
                <w:tcPr>
                  <w:tcW w:w="961" w:type="dxa"/>
                  <w:vMerge w:val="continue"/>
                  <w:vAlign w:val="center"/>
                </w:tcPr>
                <w:p>
                  <w:pPr>
                    <w:pageBreakBefore w:val="0"/>
                    <w:kinsoku/>
                    <w:wordWrap/>
                    <w:topLinePunct w:val="0"/>
                    <w:bidi w:val="0"/>
                    <w:ind w:left="0" w:leftChars="0" w:right="0" w:rightChars="0"/>
                    <w:jc w:val="center"/>
                    <w:rPr>
                      <w:color w:val="auto"/>
                      <w:highlight w:val="none"/>
                    </w:rPr>
                  </w:pPr>
                </w:p>
              </w:tc>
              <w:tc>
                <w:tcPr>
                  <w:tcW w:w="10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TP</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0.005</w:t>
                  </w:r>
                </w:p>
              </w:tc>
              <w:tc>
                <w:tcPr>
                  <w:tcW w:w="130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0.010</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4" w:type="dxa"/>
                  <w:gridSpan w:val="3"/>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全厂排放口合计</w:t>
                  </w:r>
                </w:p>
              </w:tc>
              <w:tc>
                <w:tcPr>
                  <w:tcW w:w="3915" w:type="dxa"/>
                  <w:gridSpan w:val="3"/>
                  <w:vAlign w:val="center"/>
                </w:tcPr>
                <w:p>
                  <w:pPr>
                    <w:pageBreakBefore w:val="0"/>
                    <w:kinsoku/>
                    <w:wordWrap/>
                    <w:topLinePunct w:val="0"/>
                    <w:bidi w:val="0"/>
                    <w:ind w:left="0" w:leftChars="0" w:right="0" w:rightChars="0"/>
                    <w:jc w:val="center"/>
                    <w:rPr>
                      <w:color w:val="auto"/>
                      <w:highlight w:val="none"/>
                    </w:rPr>
                  </w:pPr>
                  <w:r>
                    <w:rPr>
                      <w:color w:val="auto"/>
                      <w:highlight w:val="none"/>
                    </w:rPr>
                    <w:t>COD</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182.50</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4" w:type="dxa"/>
                  <w:gridSpan w:val="3"/>
                  <w:vMerge w:val="continue"/>
                  <w:vAlign w:val="center"/>
                </w:tcPr>
                <w:p>
                  <w:pPr>
                    <w:pageBreakBefore w:val="0"/>
                    <w:kinsoku/>
                    <w:wordWrap/>
                    <w:topLinePunct w:val="0"/>
                    <w:bidi w:val="0"/>
                    <w:ind w:left="0" w:leftChars="0" w:right="0" w:rightChars="0"/>
                    <w:jc w:val="center"/>
                    <w:rPr>
                      <w:color w:val="auto"/>
                      <w:highlight w:val="none"/>
                    </w:rPr>
                  </w:pPr>
                </w:p>
              </w:tc>
              <w:tc>
                <w:tcPr>
                  <w:tcW w:w="3915" w:type="dxa"/>
                  <w:gridSpan w:val="3"/>
                  <w:vAlign w:val="center"/>
                </w:tcPr>
                <w:p>
                  <w:pPr>
                    <w:pageBreakBefore w:val="0"/>
                    <w:kinsoku/>
                    <w:wordWrap/>
                    <w:topLinePunct w:val="0"/>
                    <w:bidi w:val="0"/>
                    <w:ind w:left="0" w:leftChars="0" w:right="0" w:rightChars="0"/>
                    <w:jc w:val="center"/>
                    <w:rPr>
                      <w:color w:val="auto"/>
                      <w:highlight w:val="none"/>
                    </w:rPr>
                  </w:pPr>
                  <w:r>
                    <w:rPr>
                      <w:color w:val="auto"/>
                      <w:highlight w:val="none"/>
                    </w:rPr>
                    <w:t>BOD</w:t>
                  </w:r>
                  <w:r>
                    <w:rPr>
                      <w:color w:val="auto"/>
                      <w:highlight w:val="none"/>
                      <w:vertAlign w:val="subscript"/>
                    </w:rPr>
                    <w:t>5</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4" w:type="dxa"/>
                  <w:gridSpan w:val="3"/>
                  <w:vMerge w:val="continue"/>
                  <w:vAlign w:val="center"/>
                </w:tcPr>
                <w:p>
                  <w:pPr>
                    <w:pageBreakBefore w:val="0"/>
                    <w:kinsoku/>
                    <w:wordWrap/>
                    <w:topLinePunct w:val="0"/>
                    <w:bidi w:val="0"/>
                    <w:ind w:left="0" w:leftChars="0" w:right="0" w:rightChars="0"/>
                    <w:jc w:val="center"/>
                    <w:rPr>
                      <w:color w:val="auto"/>
                      <w:highlight w:val="none"/>
                    </w:rPr>
                  </w:pPr>
                </w:p>
              </w:tc>
              <w:tc>
                <w:tcPr>
                  <w:tcW w:w="3915" w:type="dxa"/>
                  <w:gridSpan w:val="3"/>
                  <w:vAlign w:val="center"/>
                </w:tcPr>
                <w:p>
                  <w:pPr>
                    <w:pageBreakBefore w:val="0"/>
                    <w:kinsoku/>
                    <w:wordWrap/>
                    <w:topLinePunct w:val="0"/>
                    <w:bidi w:val="0"/>
                    <w:ind w:left="0" w:leftChars="0" w:right="0" w:rightChars="0"/>
                    <w:jc w:val="center"/>
                    <w:rPr>
                      <w:color w:val="auto"/>
                      <w:highlight w:val="none"/>
                    </w:rPr>
                  </w:pPr>
                  <w:r>
                    <w:rPr>
                      <w:color w:val="auto"/>
                      <w:highlight w:val="none"/>
                    </w:rPr>
                    <w:t>SS</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4" w:type="dxa"/>
                  <w:gridSpan w:val="3"/>
                  <w:vMerge w:val="continue"/>
                  <w:vAlign w:val="center"/>
                </w:tcPr>
                <w:p>
                  <w:pPr>
                    <w:pageBreakBefore w:val="0"/>
                    <w:kinsoku/>
                    <w:wordWrap/>
                    <w:topLinePunct w:val="0"/>
                    <w:bidi w:val="0"/>
                    <w:ind w:left="0" w:leftChars="0" w:right="0" w:rightChars="0"/>
                    <w:jc w:val="center"/>
                    <w:rPr>
                      <w:color w:val="auto"/>
                      <w:highlight w:val="none"/>
                    </w:rPr>
                  </w:pPr>
                </w:p>
              </w:tc>
              <w:tc>
                <w:tcPr>
                  <w:tcW w:w="3915" w:type="dxa"/>
                  <w:gridSpan w:val="3"/>
                  <w:vAlign w:val="center"/>
                </w:tcPr>
                <w:p>
                  <w:pPr>
                    <w:pageBreakBefore w:val="0"/>
                    <w:kinsoku/>
                    <w:wordWrap/>
                    <w:topLinePunct w:val="0"/>
                    <w:bidi w:val="0"/>
                    <w:ind w:left="0" w:leftChars="0" w:right="0" w:rightChars="0"/>
                    <w:jc w:val="center"/>
                    <w:rPr>
                      <w:color w:val="auto"/>
                      <w:highlight w:val="none"/>
                    </w:rPr>
                  </w:pPr>
                  <w:r>
                    <w:rPr>
                      <w:bCs/>
                      <w:color w:val="auto"/>
                      <w:highlight w:val="none"/>
                    </w:rPr>
                    <w:t>NH</w:t>
                  </w:r>
                  <w:r>
                    <w:rPr>
                      <w:bCs/>
                      <w:color w:val="auto"/>
                      <w:highlight w:val="none"/>
                      <w:vertAlign w:val="subscript"/>
                    </w:rPr>
                    <w:t>3</w:t>
                  </w:r>
                  <w:r>
                    <w:rPr>
                      <w:bCs/>
                      <w:color w:val="auto"/>
                      <w:highlight w:val="none"/>
                    </w:rPr>
                    <w:t>-N</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4" w:type="dxa"/>
                  <w:gridSpan w:val="3"/>
                  <w:vMerge w:val="continue"/>
                  <w:vAlign w:val="center"/>
                </w:tcPr>
                <w:p>
                  <w:pPr>
                    <w:pageBreakBefore w:val="0"/>
                    <w:kinsoku/>
                    <w:wordWrap/>
                    <w:topLinePunct w:val="0"/>
                    <w:bidi w:val="0"/>
                    <w:ind w:left="0" w:leftChars="0" w:right="0" w:rightChars="0"/>
                    <w:jc w:val="center"/>
                    <w:rPr>
                      <w:color w:val="auto"/>
                      <w:highlight w:val="none"/>
                    </w:rPr>
                  </w:pPr>
                </w:p>
              </w:tc>
              <w:tc>
                <w:tcPr>
                  <w:tcW w:w="3915" w:type="dxa"/>
                  <w:gridSpan w:val="3"/>
                  <w:vAlign w:val="center"/>
                </w:tcPr>
                <w:p>
                  <w:pPr>
                    <w:pageBreakBefore w:val="0"/>
                    <w:kinsoku/>
                    <w:wordWrap/>
                    <w:topLinePunct w:val="0"/>
                    <w:bidi w:val="0"/>
                    <w:ind w:left="0" w:leftChars="0" w:right="0" w:rightChars="0"/>
                    <w:jc w:val="center"/>
                    <w:rPr>
                      <w:color w:val="auto"/>
                      <w:highlight w:val="none"/>
                    </w:rPr>
                  </w:pPr>
                  <w:r>
                    <w:rPr>
                      <w:color w:val="auto"/>
                      <w:highlight w:val="none"/>
                    </w:rPr>
                    <w:t>TN</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54.75</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34" w:type="dxa"/>
                  <w:gridSpan w:val="3"/>
                  <w:vMerge w:val="continue"/>
                  <w:vAlign w:val="center"/>
                </w:tcPr>
                <w:p>
                  <w:pPr>
                    <w:pageBreakBefore w:val="0"/>
                    <w:kinsoku/>
                    <w:wordWrap/>
                    <w:topLinePunct w:val="0"/>
                    <w:bidi w:val="0"/>
                    <w:ind w:left="0" w:leftChars="0" w:right="0" w:rightChars="0"/>
                    <w:jc w:val="center"/>
                    <w:rPr>
                      <w:color w:val="auto"/>
                      <w:highlight w:val="none"/>
                    </w:rPr>
                  </w:pPr>
                </w:p>
              </w:tc>
              <w:tc>
                <w:tcPr>
                  <w:tcW w:w="3915" w:type="dxa"/>
                  <w:gridSpan w:val="3"/>
                  <w:vAlign w:val="center"/>
                </w:tcPr>
                <w:p>
                  <w:pPr>
                    <w:pageBreakBefore w:val="0"/>
                    <w:kinsoku/>
                    <w:wordWrap/>
                    <w:topLinePunct w:val="0"/>
                    <w:bidi w:val="0"/>
                    <w:ind w:left="0" w:leftChars="0" w:right="0" w:rightChars="0"/>
                    <w:jc w:val="center"/>
                    <w:rPr>
                      <w:color w:val="auto"/>
                      <w:highlight w:val="none"/>
                    </w:rPr>
                  </w:pPr>
                  <w:r>
                    <w:rPr>
                      <w:color w:val="auto"/>
                      <w:highlight w:val="none"/>
                    </w:rPr>
                    <w:t>TP</w:t>
                  </w:r>
                </w:p>
              </w:tc>
              <w:tc>
                <w:tcPr>
                  <w:tcW w:w="1306"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130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r>
          </w:tbl>
          <w:p>
            <w:pPr>
              <w:pageBreakBefore w:val="0"/>
              <w:tabs>
                <w:tab w:val="left" w:pos="3252"/>
                <w:tab w:val="left" w:pos="3360"/>
                <w:tab w:val="center" w:pos="4122"/>
                <w:tab w:val="left" w:pos="4200"/>
                <w:tab w:val="left" w:pos="4620"/>
                <w:tab w:val="left" w:pos="5040"/>
                <w:tab w:val="left" w:pos="5460"/>
                <w:tab w:val="left" w:pos="6768"/>
              </w:tabs>
              <w:kinsoku/>
              <w:wordWrap/>
              <w:topLinePunct w:val="0"/>
              <w:bidi w:val="0"/>
              <w:adjustRightInd w:val="0"/>
              <w:snapToGrid w:val="0"/>
              <w:spacing w:line="360" w:lineRule="auto"/>
              <w:ind w:left="0" w:leftChars="0" w:right="0" w:rightChars="0" w:firstLine="482" w:firstLineChars="200"/>
              <w:rPr>
                <w:b/>
                <w:snapToGrid w:val="0"/>
                <w:color w:val="auto"/>
                <w:sz w:val="24"/>
                <w:szCs w:val="24"/>
                <w:highlight w:val="none"/>
              </w:rPr>
            </w:pPr>
            <w:r>
              <w:rPr>
                <w:b/>
                <w:snapToGrid w:val="0"/>
                <w:color w:val="auto"/>
                <w:sz w:val="24"/>
                <w:szCs w:val="24"/>
                <w:highlight w:val="none"/>
              </w:rPr>
              <w:t>3、厂内污水处理设施可行性分析</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根据《排污许可证申请与核发技术规范水处理（试行）》（HJ978-2018）“6.2.1可行技术”章节，废水的可行性治理措施见下表：</w:t>
            </w:r>
          </w:p>
          <w:p>
            <w:pPr>
              <w:pageBreakBefore w:val="0"/>
              <w:kinsoku/>
              <w:wordWrap/>
              <w:topLinePunct w:val="0"/>
              <w:bidi w:val="0"/>
              <w:adjustRightInd w:val="0"/>
              <w:snapToGrid w:val="0"/>
              <w:spacing w:line="360" w:lineRule="auto"/>
              <w:ind w:right="0" w:rightChars="0"/>
              <w:jc w:val="center"/>
              <w:rPr>
                <w:rFonts w:eastAsia="黑体"/>
                <w:color w:val="auto"/>
                <w:highlight w:val="none"/>
              </w:rPr>
            </w:pPr>
            <w:r>
              <w:rPr>
                <w:rFonts w:eastAsia="黑体"/>
                <w:color w:val="auto"/>
                <w:highlight w:val="none"/>
              </w:rPr>
              <w:t>表4-11</w:t>
            </w:r>
            <w:r>
              <w:rPr>
                <w:rFonts w:hint="eastAsia" w:eastAsia="黑体"/>
                <w:color w:val="auto"/>
                <w:highlight w:val="none"/>
              </w:rPr>
              <w:t xml:space="preserve"> </w:t>
            </w:r>
            <w:r>
              <w:rPr>
                <w:rFonts w:eastAsia="黑体"/>
                <w:color w:val="auto"/>
                <w:highlight w:val="none"/>
              </w:rPr>
              <w:t>污水处理可行技术参照表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590"/>
              <w:gridCol w:w="6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废水类别</w:t>
                  </w:r>
                </w:p>
              </w:tc>
              <w:tc>
                <w:tcPr>
                  <w:tcW w:w="86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执行标准</w:t>
                  </w:r>
                </w:p>
              </w:tc>
              <w:tc>
                <w:tcPr>
                  <w:tcW w:w="3494"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生活污水</w:t>
                  </w:r>
                </w:p>
              </w:tc>
              <w:tc>
                <w:tcPr>
                  <w:tcW w:w="86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GB18918中二级标准、一级标准的B标准</w:t>
                  </w:r>
                </w:p>
              </w:tc>
              <w:tc>
                <w:tcPr>
                  <w:tcW w:w="3494" w:type="pct"/>
                  <w:vAlign w:val="center"/>
                </w:tcPr>
                <w:p>
                  <w:pPr>
                    <w:pageBreakBefore w:val="0"/>
                    <w:kinsoku/>
                    <w:wordWrap/>
                    <w:topLinePunct w:val="0"/>
                    <w:bidi w:val="0"/>
                    <w:ind w:left="0" w:leftChars="0" w:right="0" w:rightChars="0"/>
                    <w:jc w:val="left"/>
                    <w:rPr>
                      <w:color w:val="auto"/>
                      <w:highlight w:val="none"/>
                    </w:rPr>
                  </w:pPr>
                  <w:r>
                    <w:rPr>
                      <w:color w:val="auto"/>
                      <w:highlight w:val="none"/>
                    </w:rPr>
                    <w:t>预处理：格栅、沉淀（沉砂、初沉）、调节；</w:t>
                  </w:r>
                </w:p>
                <w:p>
                  <w:pPr>
                    <w:pageBreakBefore w:val="0"/>
                    <w:kinsoku/>
                    <w:wordWrap/>
                    <w:topLinePunct w:val="0"/>
                    <w:bidi w:val="0"/>
                    <w:ind w:left="0" w:leftChars="0" w:right="0" w:rightChars="0"/>
                    <w:jc w:val="left"/>
                    <w:rPr>
                      <w:color w:val="auto"/>
                      <w:highlight w:val="none"/>
                    </w:rPr>
                  </w:pPr>
                  <w:r>
                    <w:rPr>
                      <w:color w:val="auto"/>
                      <w:highlight w:val="none"/>
                    </w:rPr>
                    <w:t>生化处理：缺氧好氧、厌氧缺氧好氧、序批式活性污泥、氧化沟、曝气生物滤池、移动生物床反应器、膜生物反应器；</w:t>
                  </w:r>
                </w:p>
                <w:p>
                  <w:pPr>
                    <w:pageBreakBefore w:val="0"/>
                    <w:kinsoku/>
                    <w:wordWrap/>
                    <w:topLinePunct w:val="0"/>
                    <w:bidi w:val="0"/>
                    <w:ind w:left="0" w:leftChars="0" w:right="0" w:rightChars="0"/>
                    <w:jc w:val="left"/>
                    <w:rPr>
                      <w:color w:val="auto"/>
                      <w:highlight w:val="none"/>
                    </w:rPr>
                  </w:pPr>
                  <w:r>
                    <w:rPr>
                      <w:color w:val="auto"/>
                      <w:highlight w:val="none"/>
                    </w:rPr>
                    <w:t>深度处理：消毒（次氯酸钠、臭氧、紫外、二氧化氯）。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vAlign w:val="center"/>
                </w:tcPr>
                <w:p>
                  <w:pPr>
                    <w:pageBreakBefore w:val="0"/>
                    <w:kinsoku/>
                    <w:wordWrap/>
                    <w:topLinePunct w:val="0"/>
                    <w:bidi w:val="0"/>
                    <w:ind w:left="0" w:leftChars="0" w:right="0" w:rightChars="0"/>
                    <w:jc w:val="center"/>
                    <w:rPr>
                      <w:color w:val="auto"/>
                      <w:highlight w:val="none"/>
                    </w:rPr>
                  </w:pPr>
                </w:p>
              </w:tc>
              <w:tc>
                <w:tcPr>
                  <w:tcW w:w="868" w:type="pct"/>
                  <w:vAlign w:val="center"/>
                </w:tcPr>
                <w:p>
                  <w:pPr>
                    <w:pageBreakBefore w:val="0"/>
                    <w:kinsoku/>
                    <w:wordWrap/>
                    <w:topLinePunct w:val="0"/>
                    <w:bidi w:val="0"/>
                    <w:ind w:left="0" w:leftChars="0" w:right="0" w:rightChars="0"/>
                    <w:jc w:val="center"/>
                    <w:rPr>
                      <w:color w:val="auto"/>
                      <w:highlight w:val="none"/>
                    </w:rPr>
                  </w:pPr>
                  <w:r>
                    <w:rPr>
                      <w:b/>
                      <w:bCs/>
                      <w:color w:val="auto"/>
                      <w:highlight w:val="none"/>
                    </w:rPr>
                    <w:t>执行GB18918中一级标准的A标准</w:t>
                  </w:r>
                  <w:r>
                    <w:rPr>
                      <w:color w:val="auto"/>
                      <w:highlight w:val="none"/>
                    </w:rPr>
                    <w:t>或更严格标准</w:t>
                  </w:r>
                </w:p>
              </w:tc>
              <w:tc>
                <w:tcPr>
                  <w:tcW w:w="3494" w:type="pct"/>
                  <w:vAlign w:val="center"/>
                </w:tcPr>
                <w:p>
                  <w:pPr>
                    <w:pageBreakBefore w:val="0"/>
                    <w:kinsoku/>
                    <w:wordWrap/>
                    <w:topLinePunct w:val="0"/>
                    <w:bidi w:val="0"/>
                    <w:ind w:left="0" w:leftChars="0" w:right="0" w:rightChars="0"/>
                    <w:jc w:val="left"/>
                    <w:rPr>
                      <w:color w:val="auto"/>
                      <w:highlight w:val="none"/>
                    </w:rPr>
                  </w:pPr>
                  <w:r>
                    <w:rPr>
                      <w:color w:val="auto"/>
                      <w:highlight w:val="none"/>
                    </w:rPr>
                    <w:t>预处理：</w:t>
                  </w:r>
                  <w:r>
                    <w:rPr>
                      <w:b/>
                      <w:bCs/>
                      <w:color w:val="auto"/>
                      <w:highlight w:val="none"/>
                    </w:rPr>
                    <w:t>格栅、沉淀（沉砂、初沉）</w:t>
                  </w:r>
                  <w:r>
                    <w:rPr>
                      <w:color w:val="auto"/>
                      <w:highlight w:val="none"/>
                    </w:rPr>
                    <w:t>、调节；</w:t>
                  </w:r>
                </w:p>
                <w:p>
                  <w:pPr>
                    <w:pageBreakBefore w:val="0"/>
                    <w:kinsoku/>
                    <w:wordWrap/>
                    <w:topLinePunct w:val="0"/>
                    <w:bidi w:val="0"/>
                    <w:ind w:left="0" w:leftChars="0" w:right="0" w:rightChars="0"/>
                    <w:jc w:val="left"/>
                    <w:rPr>
                      <w:color w:val="auto"/>
                      <w:highlight w:val="none"/>
                    </w:rPr>
                  </w:pPr>
                  <w:r>
                    <w:rPr>
                      <w:color w:val="auto"/>
                      <w:highlight w:val="none"/>
                    </w:rPr>
                    <w:t>生化处理：缺氧好氧、</w:t>
                  </w:r>
                  <w:r>
                    <w:rPr>
                      <w:b/>
                      <w:bCs/>
                      <w:color w:val="auto"/>
                      <w:highlight w:val="none"/>
                    </w:rPr>
                    <w:t>厌氧缺氧好氧</w:t>
                  </w:r>
                  <w:r>
                    <w:rPr>
                      <w:color w:val="auto"/>
                      <w:highlight w:val="none"/>
                    </w:rPr>
                    <w:t>、序批式活性污泥、接触氧化、</w:t>
                  </w:r>
                  <w:r>
                    <w:rPr>
                      <w:b/>
                      <w:bCs/>
                      <w:color w:val="auto"/>
                      <w:highlight w:val="none"/>
                    </w:rPr>
                    <w:t>氧化沟</w:t>
                  </w:r>
                  <w:r>
                    <w:rPr>
                      <w:color w:val="auto"/>
                      <w:highlight w:val="none"/>
                    </w:rPr>
                    <w:t>、移动生物床反应器、膜生物反应器；</w:t>
                  </w:r>
                </w:p>
                <w:p>
                  <w:pPr>
                    <w:pageBreakBefore w:val="0"/>
                    <w:kinsoku/>
                    <w:wordWrap/>
                    <w:topLinePunct w:val="0"/>
                    <w:bidi w:val="0"/>
                    <w:ind w:left="0" w:leftChars="0" w:right="0" w:rightChars="0"/>
                    <w:jc w:val="left"/>
                    <w:rPr>
                      <w:color w:val="auto"/>
                      <w:highlight w:val="none"/>
                    </w:rPr>
                  </w:pPr>
                  <w:r>
                    <w:rPr>
                      <w:color w:val="auto"/>
                      <w:highlight w:val="none"/>
                    </w:rPr>
                    <w:t>深度处理：</w:t>
                  </w:r>
                  <w:r>
                    <w:rPr>
                      <w:b/>
                      <w:bCs/>
                      <w:color w:val="auto"/>
                      <w:highlight w:val="none"/>
                    </w:rPr>
                    <w:t>混凝沉淀、过滤</w:t>
                  </w:r>
                  <w:r>
                    <w:rPr>
                      <w:color w:val="auto"/>
                      <w:highlight w:val="none"/>
                    </w:rPr>
                    <w:t>、曝气生物滤池、微滤、超滤、消毒（次氯酸钠、臭氧、</w:t>
                  </w:r>
                  <w:r>
                    <w:rPr>
                      <w:b/>
                      <w:bCs/>
                      <w:color w:val="auto"/>
                      <w:highlight w:val="none"/>
                    </w:rPr>
                    <w:t>紫外</w:t>
                  </w:r>
                  <w:r>
                    <w:rPr>
                      <w:color w:val="auto"/>
                      <w:highlight w:val="none"/>
                    </w:rPr>
                    <w:t>、二氧化氯）。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工业废水</w:t>
                  </w:r>
                </w:p>
              </w:tc>
              <w:tc>
                <w:tcPr>
                  <w:tcW w:w="86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3494" w:type="pct"/>
                  <w:vAlign w:val="center"/>
                </w:tcPr>
                <w:p>
                  <w:pPr>
                    <w:pageBreakBefore w:val="0"/>
                    <w:kinsoku/>
                    <w:wordWrap/>
                    <w:topLinePunct w:val="0"/>
                    <w:bidi w:val="0"/>
                    <w:ind w:left="0" w:leftChars="0" w:right="0" w:rightChars="0"/>
                    <w:jc w:val="left"/>
                    <w:rPr>
                      <w:color w:val="auto"/>
                      <w:highlight w:val="none"/>
                    </w:rPr>
                  </w:pPr>
                  <w:r>
                    <w:rPr>
                      <w:color w:val="auto"/>
                      <w:highlight w:val="none"/>
                    </w:rPr>
                    <w:t>预处理</w:t>
                  </w:r>
                  <w:r>
                    <w:rPr>
                      <w:color w:val="auto"/>
                      <w:highlight w:val="none"/>
                      <w:vertAlign w:val="superscript"/>
                    </w:rPr>
                    <w:t>a</w:t>
                  </w:r>
                  <w:r>
                    <w:rPr>
                      <w:color w:val="auto"/>
                      <w:highlight w:val="none"/>
                    </w:rPr>
                    <w:t>：</w:t>
                  </w:r>
                  <w:r>
                    <w:rPr>
                      <w:b/>
                      <w:bCs/>
                      <w:color w:val="auto"/>
                      <w:highlight w:val="none"/>
                    </w:rPr>
                    <w:t>沉淀</w:t>
                  </w:r>
                  <w:r>
                    <w:rPr>
                      <w:color w:val="auto"/>
                      <w:highlight w:val="none"/>
                    </w:rPr>
                    <w:t>、调节、气浮、水解酸化；</w:t>
                  </w:r>
                </w:p>
                <w:p>
                  <w:pPr>
                    <w:pageBreakBefore w:val="0"/>
                    <w:kinsoku/>
                    <w:wordWrap/>
                    <w:topLinePunct w:val="0"/>
                    <w:bidi w:val="0"/>
                    <w:ind w:left="0" w:leftChars="0" w:right="0" w:rightChars="0"/>
                    <w:jc w:val="left"/>
                    <w:rPr>
                      <w:color w:val="auto"/>
                      <w:highlight w:val="none"/>
                    </w:rPr>
                  </w:pPr>
                  <w:r>
                    <w:rPr>
                      <w:color w:val="auto"/>
                      <w:highlight w:val="none"/>
                    </w:rPr>
                    <w:t>生化处理：好氧、缺氧好氧、</w:t>
                  </w:r>
                  <w:r>
                    <w:rPr>
                      <w:b/>
                      <w:bCs/>
                      <w:color w:val="auto"/>
                      <w:highlight w:val="none"/>
                    </w:rPr>
                    <w:t>厌氧缺氧好氧</w:t>
                  </w:r>
                  <w:r>
                    <w:rPr>
                      <w:color w:val="auto"/>
                      <w:highlight w:val="none"/>
                    </w:rPr>
                    <w:t>、序批式活性污泥、</w:t>
                  </w:r>
                  <w:r>
                    <w:rPr>
                      <w:b/>
                      <w:bCs/>
                      <w:color w:val="auto"/>
                      <w:highlight w:val="none"/>
                    </w:rPr>
                    <w:t>氧化沟</w:t>
                  </w:r>
                  <w:r>
                    <w:rPr>
                      <w:color w:val="auto"/>
                      <w:highlight w:val="none"/>
                    </w:rPr>
                    <w:t>、移动生物床反应器、膜生物反应器；</w:t>
                  </w:r>
                </w:p>
                <w:p>
                  <w:pPr>
                    <w:pageBreakBefore w:val="0"/>
                    <w:kinsoku/>
                    <w:wordWrap/>
                    <w:topLinePunct w:val="0"/>
                    <w:bidi w:val="0"/>
                    <w:ind w:left="0" w:leftChars="0" w:right="0" w:rightChars="0"/>
                    <w:jc w:val="left"/>
                    <w:rPr>
                      <w:color w:val="auto"/>
                      <w:highlight w:val="none"/>
                    </w:rPr>
                  </w:pPr>
                  <w:r>
                    <w:rPr>
                      <w:color w:val="auto"/>
                      <w:highlight w:val="none"/>
                    </w:rPr>
                    <w:t>深度处理：反硝化滤池、化学沉淀、</w:t>
                  </w:r>
                  <w:r>
                    <w:rPr>
                      <w:b/>
                      <w:bCs/>
                      <w:color w:val="auto"/>
                      <w:highlight w:val="none"/>
                    </w:rPr>
                    <w:t>过滤</w:t>
                  </w:r>
                  <w:r>
                    <w:rPr>
                      <w:color w:val="auto"/>
                      <w:highlight w:val="none"/>
                    </w:rPr>
                    <w:t>、高级氧化、曝气生物滤池、生物接触氧化、膜分离、离子交换。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vAlign w:val="center"/>
                </w:tcPr>
                <w:p>
                  <w:pPr>
                    <w:pageBreakBefore w:val="0"/>
                    <w:kinsoku/>
                    <w:wordWrap/>
                    <w:topLinePunct w:val="0"/>
                    <w:bidi w:val="0"/>
                    <w:ind w:left="0" w:leftChars="0" w:right="0" w:rightChars="0"/>
                    <w:jc w:val="left"/>
                    <w:rPr>
                      <w:color w:val="auto"/>
                      <w:highlight w:val="none"/>
                    </w:rPr>
                  </w:pPr>
                  <w:r>
                    <w:rPr>
                      <w:color w:val="auto"/>
                      <w:highlight w:val="none"/>
                      <w:vertAlign w:val="superscript"/>
                    </w:rPr>
                    <w:t>a</w:t>
                  </w:r>
                  <w:r>
                    <w:rPr>
                      <w:color w:val="auto"/>
                      <w:highlight w:val="none"/>
                    </w:rPr>
                    <w:t>：工业废水间接排放时可以只有预处理段。</w:t>
                  </w:r>
                </w:p>
              </w:tc>
            </w:tr>
          </w:tbl>
          <w:p>
            <w:pPr>
              <w:pageBreakBefore w:val="0"/>
              <w:kinsoku/>
              <w:wordWrap/>
              <w:topLinePunct w:val="0"/>
              <w:bidi w:val="0"/>
              <w:adjustRightInd w:val="0"/>
              <w:snapToGrid w:val="0"/>
              <w:spacing w:line="360" w:lineRule="auto"/>
              <w:ind w:left="0" w:leftChars="0" w:right="0" w:rightChars="0" w:firstLine="480" w:firstLineChars="200"/>
              <w:rPr>
                <w:rFonts w:hint="eastAsia" w:eastAsia="宋体"/>
                <w:color w:val="auto"/>
                <w:sz w:val="24"/>
                <w:szCs w:val="24"/>
                <w:highlight w:val="none"/>
                <w:lang w:eastAsia="zh-CN"/>
              </w:rPr>
            </w:pPr>
            <w:r>
              <w:rPr>
                <w:color w:val="auto"/>
                <w:sz w:val="24"/>
                <w:szCs w:val="24"/>
                <w:highlight w:val="none"/>
              </w:rPr>
              <w:t>本项目</w:t>
            </w:r>
            <w:r>
              <w:rPr>
                <w:rFonts w:hint="eastAsia"/>
                <w:color w:val="auto"/>
                <w:sz w:val="24"/>
                <w:szCs w:val="24"/>
                <w:highlight w:val="none"/>
                <w:lang w:val="en-US" w:eastAsia="zh-CN"/>
              </w:rPr>
              <w:t>收纳</w:t>
            </w:r>
            <w:r>
              <w:rPr>
                <w:color w:val="auto"/>
                <w:sz w:val="24"/>
                <w:szCs w:val="24"/>
                <w:highlight w:val="none"/>
              </w:rPr>
              <w:t>处理废水类型为生活污水和工业废水，</w:t>
            </w:r>
            <w:r>
              <w:rPr>
                <w:rFonts w:hint="eastAsia"/>
                <w:color w:val="auto"/>
                <w:sz w:val="24"/>
                <w:szCs w:val="24"/>
                <w:highlight w:val="none"/>
                <w:lang w:val="en-US" w:eastAsia="zh-CN"/>
              </w:rPr>
              <w:t>处理后出水</w:t>
            </w:r>
            <w:r>
              <w:rPr>
                <w:color w:val="auto"/>
                <w:sz w:val="24"/>
                <w:szCs w:val="24"/>
                <w:highlight w:val="none"/>
              </w:rPr>
              <w:t>执行《城镇污水处理厂污染物排放标准》（GB18918-2002）一级A标准</w:t>
            </w:r>
            <w:r>
              <w:rPr>
                <w:color w:val="auto"/>
                <w:sz w:val="24"/>
                <w:szCs w:val="36"/>
                <w:highlight w:val="none"/>
              </w:rPr>
              <w:t>。</w:t>
            </w:r>
            <w:r>
              <w:rPr>
                <w:color w:val="auto"/>
                <w:sz w:val="24"/>
                <w:szCs w:val="24"/>
                <w:highlight w:val="none"/>
              </w:rPr>
              <w:t>扩建后</w:t>
            </w:r>
            <w:r>
              <w:rPr>
                <w:b/>
                <w:bCs/>
                <w:color w:val="auto"/>
                <w:sz w:val="24"/>
                <w:szCs w:val="24"/>
                <w:highlight w:val="none"/>
                <w:lang w:bidi="ar"/>
              </w:rPr>
              <w:t>一期工程污水处理工艺采用：粗格栅及提升泵房+</w:t>
            </w:r>
            <w:r>
              <w:rPr>
                <w:b/>
                <w:bCs/>
                <w:color w:val="auto"/>
                <w:sz w:val="24"/>
                <w:szCs w:val="32"/>
                <w:highlight w:val="none"/>
                <w:lang w:bidi="ar"/>
              </w:rPr>
              <w:t>细格栅及旋流沉砂池+厌氧池+氧化沟</w:t>
            </w:r>
            <w:r>
              <w:rPr>
                <w:b/>
                <w:bCs/>
                <w:color w:val="auto"/>
                <w:sz w:val="24"/>
                <w:szCs w:val="24"/>
                <w:highlight w:val="none"/>
                <w:lang w:bidi="ar"/>
              </w:rPr>
              <w:t>+二沉池+絮凝池+转鼓滤池+</w:t>
            </w:r>
            <w:r>
              <w:rPr>
                <w:b/>
                <w:bCs/>
                <w:color w:val="auto"/>
                <w:sz w:val="24"/>
                <w:szCs w:val="32"/>
                <w:highlight w:val="none"/>
                <w:lang w:bidi="ar"/>
              </w:rPr>
              <w:t>紫外线消毒渠；</w:t>
            </w:r>
            <w:r>
              <w:rPr>
                <w:b/>
                <w:bCs/>
                <w:color w:val="auto"/>
                <w:sz w:val="24"/>
                <w:szCs w:val="24"/>
                <w:highlight w:val="none"/>
                <w:lang w:bidi="ar"/>
              </w:rPr>
              <w:t>二期工程污水处理工艺采用：粗格栅及提升泵房+</w:t>
            </w:r>
            <w:r>
              <w:rPr>
                <w:b/>
                <w:bCs/>
                <w:color w:val="auto"/>
                <w:sz w:val="24"/>
                <w:szCs w:val="32"/>
                <w:highlight w:val="none"/>
                <w:lang w:bidi="ar"/>
              </w:rPr>
              <w:t>细格栅及旋流沉砂池+</w:t>
            </w:r>
            <w:r>
              <w:rPr>
                <w:b/>
                <w:bCs/>
                <w:color w:val="auto"/>
                <w:sz w:val="24"/>
                <w:szCs w:val="24"/>
                <w:highlight w:val="none"/>
                <w:lang w:bidi="ar"/>
              </w:rPr>
              <w:t>MBBR+二沉池+絮凝池+转鼓滤池+</w:t>
            </w:r>
            <w:r>
              <w:rPr>
                <w:b/>
                <w:bCs/>
                <w:color w:val="auto"/>
                <w:sz w:val="24"/>
                <w:szCs w:val="32"/>
                <w:highlight w:val="none"/>
                <w:lang w:bidi="ar"/>
              </w:rPr>
              <w:t>紫外线消毒渠</w:t>
            </w:r>
            <w:r>
              <w:rPr>
                <w:rFonts w:hint="eastAsia"/>
                <w:b/>
                <w:bCs/>
                <w:color w:val="auto"/>
                <w:sz w:val="24"/>
                <w:szCs w:val="32"/>
                <w:highlight w:val="none"/>
                <w:lang w:eastAsia="zh-CN" w:bidi="ar"/>
              </w:rPr>
              <w:t>；</w:t>
            </w:r>
            <w:r>
              <w:rPr>
                <w:rFonts w:hint="eastAsia"/>
                <w:b w:val="0"/>
                <w:bCs w:val="0"/>
                <w:color w:val="auto"/>
                <w:sz w:val="24"/>
                <w:szCs w:val="32"/>
                <w:highlight w:val="none"/>
                <w:lang w:val="en-US" w:eastAsia="zh-CN" w:bidi="ar"/>
              </w:rPr>
              <w:t>处理工艺</w:t>
            </w:r>
            <w:r>
              <w:rPr>
                <w:rFonts w:hint="eastAsia"/>
                <w:color w:val="auto"/>
                <w:sz w:val="24"/>
                <w:szCs w:val="32"/>
                <w:highlight w:val="none"/>
                <w:lang w:val="en-US" w:eastAsia="zh-CN" w:bidi="ar"/>
              </w:rPr>
              <w:t>属于</w:t>
            </w:r>
            <w:r>
              <w:rPr>
                <w:color w:val="auto"/>
                <w:sz w:val="24"/>
                <w:szCs w:val="24"/>
                <w:highlight w:val="none"/>
              </w:rPr>
              <w:t>《排污许可证申请与核发技术规范水处理（试行）》（HJ978-2018）中污水处理可行技术</w:t>
            </w:r>
            <w:r>
              <w:rPr>
                <w:rFonts w:hint="eastAsia"/>
                <w:color w:val="auto"/>
                <w:sz w:val="24"/>
                <w:szCs w:val="24"/>
                <w:highlight w:val="none"/>
                <w:lang w:eastAsia="zh-CN"/>
              </w:rPr>
              <w:t>。</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综上，本项目废水的处理措施可行。</w:t>
            </w:r>
          </w:p>
          <w:p>
            <w:pPr>
              <w:pageBreakBefore w:val="0"/>
              <w:numPr>
                <w:ilvl w:val="0"/>
                <w:numId w:val="4"/>
              </w:numPr>
              <w:kinsoku/>
              <w:wordWrap/>
              <w:topLinePunct w:val="0"/>
              <w:bidi w:val="0"/>
              <w:adjustRightInd w:val="0"/>
              <w:snapToGrid w:val="0"/>
              <w:spacing w:line="360" w:lineRule="auto"/>
              <w:ind w:left="0" w:leftChars="0" w:right="0" w:rightChars="0" w:firstLine="482" w:firstLineChars="200"/>
              <w:rPr>
                <w:b/>
                <w:color w:val="auto"/>
                <w:sz w:val="24"/>
                <w:szCs w:val="24"/>
                <w:highlight w:val="none"/>
              </w:rPr>
            </w:pPr>
            <w:r>
              <w:rPr>
                <w:b/>
                <w:color w:val="auto"/>
                <w:sz w:val="24"/>
                <w:szCs w:val="24"/>
                <w:highlight w:val="none"/>
              </w:rPr>
              <w:t>监测要求</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本次环评根据《排污许可证申请与核发技术规范水处理（试行）》（HJ978-2018）和《排污单位自行监测技术指南水处理》（HJ1083-2020）提出项目生产运行阶段的污染源监测计划，详见下表：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表4-12</w:t>
            </w:r>
            <w:r>
              <w:rPr>
                <w:rFonts w:hint="eastAsia" w:eastAsia="黑体"/>
                <w:color w:val="auto"/>
                <w:highlight w:val="none"/>
              </w:rPr>
              <w:t xml:space="preserve"> </w:t>
            </w:r>
            <w:r>
              <w:rPr>
                <w:rFonts w:eastAsia="黑体"/>
                <w:color w:val="auto"/>
                <w:highlight w:val="none"/>
              </w:rPr>
              <w:t>扩建后项目环境监测计划</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39"/>
              <w:gridCol w:w="4248"/>
              <w:gridCol w:w="1315"/>
              <w:gridCol w:w="867"/>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项目</w:t>
                  </w:r>
                </w:p>
              </w:tc>
              <w:tc>
                <w:tcPr>
                  <w:tcW w:w="784"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监测点位</w:t>
                  </w:r>
                </w:p>
              </w:tc>
              <w:tc>
                <w:tcPr>
                  <w:tcW w:w="3970"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监测项目</w:t>
                  </w:r>
                </w:p>
              </w:tc>
              <w:tc>
                <w:tcPr>
                  <w:tcW w:w="1229"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监测频次</w:t>
                  </w:r>
                </w:p>
              </w:tc>
              <w:tc>
                <w:tcPr>
                  <w:tcW w:w="811"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实施</w:t>
                  </w:r>
                </w:p>
                <w:p>
                  <w:pPr>
                    <w:pageBreakBefore w:val="0"/>
                    <w:kinsoku/>
                    <w:wordWrap/>
                    <w:topLinePunct w:val="0"/>
                    <w:bidi w:val="0"/>
                    <w:ind w:left="0" w:leftChars="0" w:right="0" w:rightChars="0"/>
                    <w:jc w:val="center"/>
                    <w:rPr>
                      <w:b/>
                      <w:bCs/>
                      <w:color w:val="auto"/>
                      <w:highlight w:val="none"/>
                    </w:rPr>
                  </w:pPr>
                  <w:r>
                    <w:rPr>
                      <w:b/>
                      <w:bCs/>
                      <w:color w:val="auto"/>
                      <w:highlight w:val="none"/>
                    </w:rPr>
                    <w:t>机构</w:t>
                  </w:r>
                </w:p>
              </w:tc>
              <w:tc>
                <w:tcPr>
                  <w:tcW w:w="1106"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进出水质监测</w:t>
                  </w:r>
                </w:p>
              </w:tc>
              <w:tc>
                <w:tcPr>
                  <w:tcW w:w="784"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进水总管</w:t>
                  </w: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流量、化学需氧量、氨氮</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自动监测</w:t>
                  </w:r>
                </w:p>
              </w:tc>
              <w:tc>
                <w:tcPr>
                  <w:tcW w:w="811"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企业自动监测+委托当地有资质的环境监测机构进行监测</w:t>
                  </w:r>
                </w:p>
              </w:tc>
              <w:tc>
                <w:tcPr>
                  <w:tcW w:w="1106"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vAlign w:val="center"/>
                </w:tcPr>
                <w:p>
                  <w:pPr>
                    <w:pageBreakBefore w:val="0"/>
                    <w:kinsoku/>
                    <w:wordWrap/>
                    <w:topLinePunct w:val="0"/>
                    <w:bidi w:val="0"/>
                    <w:ind w:left="0" w:leftChars="0" w:right="0" w:rightChars="0"/>
                    <w:jc w:val="center"/>
                    <w:rPr>
                      <w:color w:val="auto"/>
                      <w:highlight w:val="none"/>
                    </w:rPr>
                  </w:pPr>
                </w:p>
              </w:tc>
              <w:tc>
                <w:tcPr>
                  <w:tcW w:w="784" w:type="dxa"/>
                  <w:vMerge w:val="continue"/>
                  <w:vAlign w:val="center"/>
                </w:tcPr>
                <w:p>
                  <w:pPr>
                    <w:pageBreakBefore w:val="0"/>
                    <w:kinsoku/>
                    <w:wordWrap/>
                    <w:topLinePunct w:val="0"/>
                    <w:bidi w:val="0"/>
                    <w:ind w:left="0" w:leftChars="0" w:right="0" w:rightChars="0"/>
                    <w:jc w:val="center"/>
                    <w:rPr>
                      <w:color w:val="auto"/>
                      <w:highlight w:val="none"/>
                    </w:rPr>
                  </w:pP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总磷、总氮*</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1次/日</w:t>
                  </w:r>
                </w:p>
              </w:tc>
              <w:tc>
                <w:tcPr>
                  <w:tcW w:w="811" w:type="dxa"/>
                  <w:vMerge w:val="continue"/>
                  <w:vAlign w:val="center"/>
                </w:tcPr>
                <w:p>
                  <w:pPr>
                    <w:pageBreakBefore w:val="0"/>
                    <w:kinsoku/>
                    <w:wordWrap/>
                    <w:topLinePunct w:val="0"/>
                    <w:bidi w:val="0"/>
                    <w:ind w:left="0" w:leftChars="0" w:right="0" w:rightChars="0"/>
                    <w:jc w:val="center"/>
                    <w:rPr>
                      <w:color w:val="auto"/>
                      <w:highlight w:val="none"/>
                    </w:rPr>
                  </w:pPr>
                </w:p>
              </w:tc>
              <w:tc>
                <w:tcPr>
                  <w:tcW w:w="1106" w:type="dxa"/>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vAlign w:val="center"/>
                </w:tcPr>
                <w:p>
                  <w:pPr>
                    <w:pageBreakBefore w:val="0"/>
                    <w:kinsoku/>
                    <w:wordWrap/>
                    <w:topLinePunct w:val="0"/>
                    <w:bidi w:val="0"/>
                    <w:ind w:left="0" w:leftChars="0" w:right="0" w:rightChars="0"/>
                    <w:jc w:val="center"/>
                    <w:rPr>
                      <w:color w:val="auto"/>
                      <w:highlight w:val="none"/>
                    </w:rPr>
                  </w:pPr>
                </w:p>
              </w:tc>
              <w:tc>
                <w:tcPr>
                  <w:tcW w:w="784"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废水总排放口</w:t>
                  </w: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流量、pH值、水温、化学需氧量、氨氮、总磷、总氮</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自动监测</w:t>
                  </w:r>
                </w:p>
              </w:tc>
              <w:tc>
                <w:tcPr>
                  <w:tcW w:w="811" w:type="dxa"/>
                  <w:vMerge w:val="continue"/>
                  <w:vAlign w:val="center"/>
                </w:tcPr>
                <w:p>
                  <w:pPr>
                    <w:pageBreakBefore w:val="0"/>
                    <w:kinsoku/>
                    <w:wordWrap/>
                    <w:topLinePunct w:val="0"/>
                    <w:bidi w:val="0"/>
                    <w:ind w:left="0" w:leftChars="0" w:right="0" w:rightChars="0"/>
                    <w:jc w:val="center"/>
                    <w:rPr>
                      <w:color w:val="auto"/>
                      <w:highlight w:val="none"/>
                    </w:rPr>
                  </w:pPr>
                </w:p>
              </w:tc>
              <w:tc>
                <w:tcPr>
                  <w:tcW w:w="1106"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vAlign w:val="center"/>
                </w:tcPr>
                <w:p>
                  <w:pPr>
                    <w:pageBreakBefore w:val="0"/>
                    <w:kinsoku/>
                    <w:wordWrap/>
                    <w:topLinePunct w:val="0"/>
                    <w:bidi w:val="0"/>
                    <w:ind w:left="0" w:leftChars="0" w:right="0" w:rightChars="0"/>
                    <w:jc w:val="center"/>
                    <w:rPr>
                      <w:color w:val="auto"/>
                      <w:highlight w:val="none"/>
                    </w:rPr>
                  </w:pPr>
                </w:p>
              </w:tc>
              <w:tc>
                <w:tcPr>
                  <w:tcW w:w="784" w:type="dxa"/>
                  <w:vMerge w:val="continue"/>
                  <w:vAlign w:val="center"/>
                </w:tcPr>
                <w:p>
                  <w:pPr>
                    <w:pageBreakBefore w:val="0"/>
                    <w:kinsoku/>
                    <w:wordWrap/>
                    <w:topLinePunct w:val="0"/>
                    <w:bidi w:val="0"/>
                    <w:ind w:left="0" w:leftChars="0" w:right="0" w:rightChars="0"/>
                    <w:jc w:val="center"/>
                    <w:rPr>
                      <w:color w:val="auto"/>
                      <w:highlight w:val="none"/>
                    </w:rPr>
                  </w:pP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悬浮物、色度、五日生化需氧量、动植物油、石油类、阴离子表面活性剂、粪大肠菌群</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1次/季度</w:t>
                  </w:r>
                </w:p>
              </w:tc>
              <w:tc>
                <w:tcPr>
                  <w:tcW w:w="811" w:type="dxa"/>
                  <w:vMerge w:val="continue"/>
                  <w:vAlign w:val="center"/>
                </w:tcPr>
                <w:p>
                  <w:pPr>
                    <w:pageBreakBefore w:val="0"/>
                    <w:kinsoku/>
                    <w:wordWrap/>
                    <w:topLinePunct w:val="0"/>
                    <w:bidi w:val="0"/>
                    <w:ind w:left="0" w:leftChars="0" w:right="0" w:rightChars="0"/>
                    <w:jc w:val="center"/>
                    <w:rPr>
                      <w:color w:val="auto"/>
                      <w:highlight w:val="none"/>
                    </w:rPr>
                  </w:pPr>
                </w:p>
              </w:tc>
              <w:tc>
                <w:tcPr>
                  <w:tcW w:w="1106" w:type="dxa"/>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vAlign w:val="center"/>
                </w:tcPr>
                <w:p>
                  <w:pPr>
                    <w:pageBreakBefore w:val="0"/>
                    <w:kinsoku/>
                    <w:wordWrap/>
                    <w:topLinePunct w:val="0"/>
                    <w:bidi w:val="0"/>
                    <w:ind w:left="0" w:leftChars="0" w:right="0" w:rightChars="0"/>
                    <w:jc w:val="center"/>
                    <w:rPr>
                      <w:color w:val="auto"/>
                      <w:highlight w:val="none"/>
                    </w:rPr>
                  </w:pPr>
                </w:p>
              </w:tc>
              <w:tc>
                <w:tcPr>
                  <w:tcW w:w="784" w:type="dxa"/>
                  <w:vMerge w:val="continue"/>
                  <w:vAlign w:val="center"/>
                </w:tcPr>
                <w:p>
                  <w:pPr>
                    <w:pageBreakBefore w:val="0"/>
                    <w:kinsoku/>
                    <w:wordWrap/>
                    <w:topLinePunct w:val="0"/>
                    <w:bidi w:val="0"/>
                    <w:ind w:left="0" w:leftChars="0" w:right="0" w:rightChars="0"/>
                    <w:jc w:val="center"/>
                    <w:rPr>
                      <w:color w:val="auto"/>
                      <w:highlight w:val="none"/>
                    </w:rPr>
                  </w:pP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总镉、总铬、总汞、总铅、总砷、六价铬</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811" w:type="dxa"/>
                  <w:vMerge w:val="continue"/>
                  <w:vAlign w:val="center"/>
                </w:tcPr>
                <w:p>
                  <w:pPr>
                    <w:pageBreakBefore w:val="0"/>
                    <w:kinsoku/>
                    <w:wordWrap/>
                    <w:topLinePunct w:val="0"/>
                    <w:bidi w:val="0"/>
                    <w:ind w:left="0" w:leftChars="0" w:right="0" w:rightChars="0"/>
                    <w:jc w:val="center"/>
                    <w:rPr>
                      <w:color w:val="auto"/>
                      <w:highlight w:val="none"/>
                    </w:rPr>
                  </w:pPr>
                </w:p>
              </w:tc>
              <w:tc>
                <w:tcPr>
                  <w:tcW w:w="1106" w:type="dxa"/>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vAlign w:val="center"/>
                </w:tcPr>
                <w:p>
                  <w:pPr>
                    <w:pageBreakBefore w:val="0"/>
                    <w:kinsoku/>
                    <w:wordWrap/>
                    <w:topLinePunct w:val="0"/>
                    <w:bidi w:val="0"/>
                    <w:ind w:left="0" w:leftChars="0" w:right="0" w:rightChars="0"/>
                    <w:jc w:val="center"/>
                    <w:rPr>
                      <w:color w:val="auto"/>
                      <w:highlight w:val="none"/>
                    </w:rPr>
                  </w:pPr>
                </w:p>
              </w:tc>
              <w:tc>
                <w:tcPr>
                  <w:tcW w:w="784" w:type="dxa"/>
                  <w:vMerge w:val="continue"/>
                  <w:vAlign w:val="center"/>
                </w:tcPr>
                <w:p>
                  <w:pPr>
                    <w:pageBreakBefore w:val="0"/>
                    <w:kinsoku/>
                    <w:wordWrap/>
                    <w:topLinePunct w:val="0"/>
                    <w:bidi w:val="0"/>
                    <w:ind w:left="0" w:leftChars="0" w:right="0" w:rightChars="0"/>
                    <w:jc w:val="center"/>
                    <w:rPr>
                      <w:color w:val="auto"/>
                      <w:highlight w:val="none"/>
                    </w:rPr>
                  </w:pP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烷基汞</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811" w:type="dxa"/>
                  <w:vMerge w:val="continue"/>
                  <w:vAlign w:val="center"/>
                </w:tcPr>
                <w:p>
                  <w:pPr>
                    <w:pageBreakBefore w:val="0"/>
                    <w:kinsoku/>
                    <w:wordWrap/>
                    <w:topLinePunct w:val="0"/>
                    <w:bidi w:val="0"/>
                    <w:ind w:left="0" w:leftChars="0" w:right="0" w:rightChars="0"/>
                    <w:jc w:val="center"/>
                    <w:rPr>
                      <w:color w:val="auto"/>
                      <w:highlight w:val="none"/>
                    </w:rPr>
                  </w:pPr>
                </w:p>
              </w:tc>
              <w:tc>
                <w:tcPr>
                  <w:tcW w:w="1106" w:type="dxa"/>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5" w:type="dxa"/>
                  <w:vMerge w:val="continue"/>
                  <w:vAlign w:val="center"/>
                </w:tcPr>
                <w:p>
                  <w:pPr>
                    <w:pageBreakBefore w:val="0"/>
                    <w:kinsoku/>
                    <w:wordWrap/>
                    <w:topLinePunct w:val="0"/>
                    <w:bidi w:val="0"/>
                    <w:ind w:left="0" w:leftChars="0" w:right="0" w:rightChars="0"/>
                    <w:jc w:val="center"/>
                    <w:rPr>
                      <w:color w:val="auto"/>
                      <w:highlight w:val="none"/>
                    </w:rPr>
                  </w:pPr>
                </w:p>
              </w:tc>
              <w:tc>
                <w:tcPr>
                  <w:tcW w:w="784" w:type="dxa"/>
                  <w:vMerge w:val="continue"/>
                  <w:vAlign w:val="center"/>
                </w:tcPr>
                <w:p>
                  <w:pPr>
                    <w:pageBreakBefore w:val="0"/>
                    <w:kinsoku/>
                    <w:wordWrap/>
                    <w:topLinePunct w:val="0"/>
                    <w:bidi w:val="0"/>
                    <w:ind w:left="0" w:leftChars="0" w:right="0" w:rightChars="0"/>
                    <w:jc w:val="center"/>
                    <w:rPr>
                      <w:color w:val="auto"/>
                      <w:highlight w:val="none"/>
                    </w:rPr>
                  </w:pPr>
                </w:p>
              </w:tc>
              <w:tc>
                <w:tcPr>
                  <w:tcW w:w="397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GB18918的表3中纳入许可的指标</w:t>
                  </w:r>
                </w:p>
              </w:tc>
              <w:tc>
                <w:tcPr>
                  <w:tcW w:w="122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811" w:type="dxa"/>
                  <w:vMerge w:val="continue"/>
                  <w:vAlign w:val="center"/>
                </w:tcPr>
                <w:p>
                  <w:pPr>
                    <w:pageBreakBefore w:val="0"/>
                    <w:kinsoku/>
                    <w:wordWrap/>
                    <w:topLinePunct w:val="0"/>
                    <w:bidi w:val="0"/>
                    <w:ind w:left="0" w:leftChars="0" w:right="0" w:rightChars="0"/>
                    <w:jc w:val="center"/>
                    <w:rPr>
                      <w:color w:val="auto"/>
                      <w:highlight w:val="none"/>
                    </w:rPr>
                  </w:pPr>
                </w:p>
              </w:tc>
              <w:tc>
                <w:tcPr>
                  <w:tcW w:w="1106" w:type="dxa"/>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65" w:type="dxa"/>
                  <w:gridSpan w:val="6"/>
                  <w:vAlign w:val="center"/>
                </w:tcPr>
                <w:p>
                  <w:pPr>
                    <w:pageBreakBefore w:val="0"/>
                    <w:kinsoku/>
                    <w:wordWrap/>
                    <w:topLinePunct w:val="0"/>
                    <w:bidi w:val="0"/>
                    <w:ind w:left="0" w:leftChars="0" w:right="0" w:rightChars="0"/>
                    <w:rPr>
                      <w:color w:val="auto"/>
                      <w:highlight w:val="none"/>
                    </w:rPr>
                  </w:pPr>
                  <w:r>
                    <w:rPr>
                      <w:color w:val="auto"/>
                      <w:highlight w:val="none"/>
                    </w:rPr>
                    <w:t>*总氮自动监测技术规范发布实施前，按日监测。</w:t>
                  </w:r>
                </w:p>
              </w:tc>
            </w:tr>
          </w:tbl>
          <w:p>
            <w:pPr>
              <w:pageBreakBefore w:val="0"/>
              <w:kinsoku/>
              <w:wordWrap/>
              <w:topLinePunct w:val="0"/>
              <w:bidi w:val="0"/>
              <w:spacing w:line="360" w:lineRule="auto"/>
              <w:ind w:left="0" w:leftChars="0" w:right="0" w:rightChars="0" w:firstLine="482" w:firstLineChars="200"/>
              <w:rPr>
                <w:b/>
                <w:color w:val="auto"/>
                <w:sz w:val="24"/>
                <w:highlight w:val="none"/>
              </w:rPr>
            </w:pPr>
            <w:r>
              <w:rPr>
                <w:b/>
                <w:color w:val="auto"/>
                <w:sz w:val="24"/>
                <w:highlight w:val="none"/>
              </w:rPr>
              <w:t>5、项目正效应分析</w:t>
            </w:r>
          </w:p>
          <w:p>
            <w:pPr>
              <w:pageBreakBefore w:val="0"/>
              <w:kinsoku/>
              <w:wordWrap/>
              <w:topLinePunct w:val="0"/>
              <w:bidi w:val="0"/>
              <w:spacing w:line="360" w:lineRule="auto"/>
              <w:ind w:left="0" w:leftChars="0" w:right="0" w:rightChars="0" w:firstLine="482" w:firstLineChars="200"/>
              <w:rPr>
                <w:b/>
                <w:color w:val="auto"/>
                <w:sz w:val="24"/>
                <w:highlight w:val="none"/>
              </w:rPr>
            </w:pPr>
            <w:r>
              <w:rPr>
                <w:b/>
                <w:color w:val="auto"/>
                <w:sz w:val="24"/>
                <w:highlight w:val="none"/>
              </w:rPr>
              <w:t>（1）环境正效益</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①本项目外排废水削减量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本项目（二期工程）处理规模为1.0万m</w:t>
            </w:r>
            <w:r>
              <w:rPr>
                <w:color w:val="auto"/>
                <w:sz w:val="24"/>
                <w:szCs w:val="32"/>
                <w:highlight w:val="none"/>
                <w:vertAlign w:val="superscript"/>
                <w:lang w:bidi="ar"/>
              </w:rPr>
              <w:t>3</w:t>
            </w:r>
            <w:r>
              <w:rPr>
                <w:color w:val="auto"/>
                <w:sz w:val="24"/>
                <w:szCs w:val="32"/>
                <w:highlight w:val="none"/>
                <w:lang w:bidi="ar"/>
              </w:rPr>
              <w:t>/d，尾水达《城镇污水处理厂污染物排放标准》（GB18918-2002）一级A标准排放。根据项目进、出水水质，可计算出污水厂废水排入地表水体的主要污染物排放量，见下表：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w:t>
            </w:r>
            <w:r>
              <w:rPr>
                <w:rFonts w:eastAsia="黑体"/>
                <w:color w:val="auto"/>
                <w:szCs w:val="22"/>
                <w:highlight w:val="none"/>
              </w:rPr>
              <w:t>13</w:t>
            </w:r>
            <w:r>
              <w:rPr>
                <w:rFonts w:hint="eastAsia" w:eastAsia="黑体"/>
                <w:color w:val="auto"/>
                <w:szCs w:val="22"/>
                <w:highlight w:val="none"/>
              </w:rPr>
              <w:t xml:space="preserve"> </w:t>
            </w:r>
            <w:r>
              <w:rPr>
                <w:rFonts w:eastAsia="黑体"/>
                <w:color w:val="auto"/>
                <w:highlight w:val="none"/>
              </w:rPr>
              <w:t>污水处理厂进出水水中主要污染物量及污染物削减量</w:t>
            </w:r>
            <w:r>
              <w:rPr>
                <w:rFonts w:hint="eastAsia" w:eastAsia="黑体"/>
                <w:color w:val="auto"/>
                <w:highlight w:val="none"/>
              </w:rPr>
              <w:t xml:space="preserve"> </w:t>
            </w:r>
            <w:r>
              <w:rPr>
                <w:rFonts w:hint="eastAsia" w:eastAsia="黑体"/>
                <w:color w:val="auto"/>
                <w:highlight w:val="none"/>
                <w:lang w:val="en-US" w:eastAsia="zh-CN"/>
              </w:rPr>
              <w:t xml:space="preserve"> </w:t>
            </w:r>
            <w:r>
              <w:rPr>
                <w:rFonts w:eastAsia="黑体"/>
                <w:color w:val="auto"/>
                <w:highlight w:val="none"/>
              </w:rPr>
              <w:t>单位：t/a</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1"/>
              <w:gridCol w:w="2335"/>
              <w:gridCol w:w="1036"/>
              <w:gridCol w:w="930"/>
              <w:gridCol w:w="930"/>
              <w:gridCol w:w="930"/>
              <w:gridCol w:w="929"/>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95" w:type="pct"/>
                  <w:gridSpan w:val="2"/>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水质指标</w:t>
                  </w:r>
                </w:p>
              </w:tc>
              <w:tc>
                <w:tcPr>
                  <w:tcW w:w="56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COD</w:t>
                  </w:r>
                  <w:r>
                    <w:rPr>
                      <w:b/>
                      <w:color w:val="auto"/>
                      <w:kern w:val="0"/>
                      <w:highlight w:val="none"/>
                      <w:vertAlign w:val="subscript"/>
                    </w:rPr>
                    <w:t>Cr</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BOD</w:t>
                  </w:r>
                  <w:r>
                    <w:rPr>
                      <w:b/>
                      <w:color w:val="auto"/>
                      <w:kern w:val="0"/>
                      <w:highlight w:val="none"/>
                      <w:vertAlign w:val="subscript"/>
                    </w:rPr>
                    <w:t>5</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SS</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NH</w:t>
                  </w:r>
                  <w:r>
                    <w:rPr>
                      <w:b/>
                      <w:color w:val="auto"/>
                      <w:kern w:val="0"/>
                      <w:highlight w:val="none"/>
                      <w:vertAlign w:val="subscript"/>
                    </w:rPr>
                    <w:t>3</w:t>
                  </w:r>
                  <w:r>
                    <w:rPr>
                      <w:b/>
                      <w:color w:val="auto"/>
                      <w:kern w:val="0"/>
                      <w:highlight w:val="none"/>
                    </w:rPr>
                    <w:t>-N</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TN</w:t>
                  </w:r>
                </w:p>
              </w:tc>
              <w:tc>
                <w:tcPr>
                  <w:tcW w:w="508"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rPr>
                    <w:t>二期工程</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处理前</w:t>
                  </w: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设计进水水质（mg/L）</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280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进水中污染物量（t/a）</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1022.00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511.00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127.75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146.00</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rPr>
                    <w:t>二期工程</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处理后</w:t>
                  </w: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设计出水水质（mg/L）</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15</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污染物排放量（t/a）</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54.75</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rPr>
                    <w:t>二期工程</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处理前后</w:t>
                  </w: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rPr>
                    <w:t>污染物削减量（t/a）</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839.50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474.50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693.50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109.50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91.25</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14.60</w:t>
                  </w:r>
                </w:p>
              </w:tc>
            </w:tr>
          </w:tbl>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lang w:bidi="en-US"/>
              </w:rPr>
            </w:pPr>
            <w:r>
              <w:rPr>
                <w:color w:val="auto"/>
                <w:sz w:val="24"/>
                <w:szCs w:val="28"/>
                <w:highlight w:val="none"/>
                <w:lang w:bidi="en-US"/>
              </w:rPr>
              <w:t>从上表4-13可以看出，本项目建成后将使服务范围内废（污）水得到有效收集和处理，污染物减排效果明显。当本项目污水处理厂正常运行时CODcr削减839.50t/a，BOD</w:t>
            </w:r>
            <w:r>
              <w:rPr>
                <w:color w:val="auto"/>
                <w:sz w:val="24"/>
                <w:szCs w:val="28"/>
                <w:highlight w:val="none"/>
                <w:vertAlign w:val="subscript"/>
                <w:lang w:bidi="en-US"/>
              </w:rPr>
              <w:t>5</w:t>
            </w:r>
            <w:r>
              <w:rPr>
                <w:color w:val="auto"/>
                <w:sz w:val="24"/>
                <w:szCs w:val="28"/>
                <w:highlight w:val="none"/>
                <w:lang w:bidi="en-US"/>
              </w:rPr>
              <w:t>削减474.50t/a，SS削减693.50t/a，NH</w:t>
            </w:r>
            <w:r>
              <w:rPr>
                <w:color w:val="auto"/>
                <w:sz w:val="24"/>
                <w:szCs w:val="28"/>
                <w:highlight w:val="none"/>
                <w:vertAlign w:val="subscript"/>
                <w:lang w:bidi="en-US"/>
              </w:rPr>
              <w:t>3</w:t>
            </w:r>
            <w:r>
              <w:rPr>
                <w:color w:val="auto"/>
                <w:sz w:val="24"/>
                <w:szCs w:val="28"/>
                <w:highlight w:val="none"/>
                <w:lang w:bidi="en-US"/>
              </w:rPr>
              <w:t>-N削减109.50t/a，TN削减91.25t/a，TP削减14.60t/a。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②全厂外排废水削减量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改扩建后污水处理厂全厂处理规模为2.0万m</w:t>
            </w:r>
            <w:r>
              <w:rPr>
                <w:color w:val="auto"/>
                <w:sz w:val="24"/>
                <w:szCs w:val="32"/>
                <w:highlight w:val="none"/>
                <w:vertAlign w:val="superscript"/>
                <w:lang w:bidi="ar"/>
              </w:rPr>
              <w:t>3</w:t>
            </w:r>
            <w:r>
              <w:rPr>
                <w:color w:val="auto"/>
                <w:sz w:val="24"/>
                <w:szCs w:val="32"/>
                <w:highlight w:val="none"/>
                <w:lang w:bidi="ar"/>
              </w:rPr>
              <w:t>/d，尾水达《城镇污水处理厂污染物排放标准》（GB18918-2002）一级A标准排放。污水厂废水排入地表水体的主要污染物排放量，见下表。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表4-14</w:t>
            </w:r>
            <w:r>
              <w:rPr>
                <w:rFonts w:hint="eastAsia" w:eastAsia="黑体"/>
                <w:color w:val="auto"/>
                <w:highlight w:val="none"/>
              </w:rPr>
              <w:t xml:space="preserve"> </w:t>
            </w:r>
            <w:r>
              <w:rPr>
                <w:rFonts w:eastAsia="黑体"/>
                <w:color w:val="auto"/>
                <w:highlight w:val="none"/>
              </w:rPr>
              <w:t>改扩建后全厂水污染物产生、排放及污染物削减量</w:t>
            </w:r>
            <w:r>
              <w:rPr>
                <w:rFonts w:hint="eastAsia" w:eastAsia="黑体"/>
                <w:color w:val="auto"/>
                <w:highlight w:val="none"/>
              </w:rPr>
              <w:t xml:space="preserve"> </w:t>
            </w:r>
            <w:r>
              <w:rPr>
                <w:rFonts w:hint="eastAsia" w:eastAsia="黑体"/>
                <w:color w:val="auto"/>
                <w:highlight w:val="none"/>
                <w:lang w:val="en-US" w:eastAsia="zh-CN"/>
              </w:rPr>
              <w:t xml:space="preserve"> </w:t>
            </w:r>
            <w:r>
              <w:rPr>
                <w:rFonts w:eastAsia="黑体"/>
                <w:color w:val="auto"/>
                <w:highlight w:val="none"/>
              </w:rPr>
              <w:t>单位：t/a</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7"/>
              <w:gridCol w:w="2348"/>
              <w:gridCol w:w="944"/>
              <w:gridCol w:w="944"/>
              <w:gridCol w:w="943"/>
              <w:gridCol w:w="943"/>
              <w:gridCol w:w="943"/>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06" w:type="pct"/>
                  <w:gridSpan w:val="2"/>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水质指标</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COD</w:t>
                  </w:r>
                  <w:r>
                    <w:rPr>
                      <w:b/>
                      <w:color w:val="auto"/>
                      <w:kern w:val="0"/>
                      <w:highlight w:val="none"/>
                      <w:vertAlign w:val="subscript"/>
                    </w:rPr>
                    <w:t>Cr</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BOD</w:t>
                  </w:r>
                  <w:r>
                    <w:rPr>
                      <w:b/>
                      <w:color w:val="auto"/>
                      <w:kern w:val="0"/>
                      <w:highlight w:val="none"/>
                      <w:vertAlign w:val="subscript"/>
                    </w:rPr>
                    <w:t>5</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SS</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NH</w:t>
                  </w:r>
                  <w:r>
                    <w:rPr>
                      <w:b/>
                      <w:color w:val="auto"/>
                      <w:kern w:val="0"/>
                      <w:highlight w:val="none"/>
                      <w:vertAlign w:val="subscript"/>
                    </w:rPr>
                    <w:t>3</w:t>
                  </w:r>
                  <w:r>
                    <w:rPr>
                      <w:b/>
                      <w:color w:val="auto"/>
                      <w:kern w:val="0"/>
                      <w:highlight w:val="none"/>
                    </w:rPr>
                    <w:t>-N</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TN</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b/>
                      <w:color w:val="auto"/>
                      <w:kern w:val="0"/>
                      <w:highlight w:val="none"/>
                    </w:rPr>
                    <w:t>一期工程处理前</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szCs w:val="24"/>
                      <w:highlight w:val="none"/>
                    </w:rPr>
                  </w:pPr>
                  <w:r>
                    <w:rPr>
                      <w:color w:val="auto"/>
                      <w:kern w:val="0"/>
                      <w:highlight w:val="none"/>
                    </w:rPr>
                    <w:t>设计进水水质（mg/L）</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280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220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30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35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szCs w:val="24"/>
                      <w:highlight w:val="none"/>
                    </w:rPr>
                  </w:pPr>
                  <w:r>
                    <w:rPr>
                      <w:color w:val="auto"/>
                      <w:kern w:val="0"/>
                      <w:highlight w:val="none"/>
                    </w:rPr>
                    <w:t>进水中污染物量（t/a）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1022.00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547.50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803.00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109.50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127.75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b/>
                      <w:bCs/>
                      <w:color w:val="auto"/>
                      <w:kern w:val="0"/>
                      <w:highlight w:val="none"/>
                    </w:rPr>
                    <w:t>二期工程处理前</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设计进水水质（mg/L）</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280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进水中污染物量（t/a）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1022.00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511.00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127.75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146.00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处理后</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设计出水水质（mg/L）</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污染物排放量（t/a）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365.00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rPr>
                    <w:t>处理前后削减量</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rPr>
                    <w:t>污染物削减量（t/a）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1679.00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985.50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1460.00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200.75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164.25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25.55</w:t>
                  </w:r>
                </w:p>
              </w:tc>
            </w:tr>
          </w:tbl>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lang w:bidi="en-US"/>
              </w:rPr>
            </w:pPr>
            <w:r>
              <w:rPr>
                <w:color w:val="auto"/>
                <w:sz w:val="24"/>
                <w:szCs w:val="28"/>
                <w:highlight w:val="none"/>
                <w:lang w:bidi="en-US"/>
              </w:rPr>
              <w:t>从上表4-14可以看出，全厂污水处理设施正常运行时内废（污）水得到有效收集和处理，污染物减排效果明显。全厂污水处理设施正常运行时CODcr削减1679.00t/a，BOD</w:t>
            </w:r>
            <w:r>
              <w:rPr>
                <w:color w:val="auto"/>
                <w:sz w:val="24"/>
                <w:szCs w:val="28"/>
                <w:highlight w:val="none"/>
                <w:vertAlign w:val="subscript"/>
                <w:lang w:bidi="en-US"/>
              </w:rPr>
              <w:t>5</w:t>
            </w:r>
            <w:r>
              <w:rPr>
                <w:color w:val="auto"/>
                <w:sz w:val="24"/>
                <w:szCs w:val="28"/>
                <w:highlight w:val="none"/>
                <w:lang w:bidi="en-US"/>
              </w:rPr>
              <w:t>削减985.50t/a，SS削减1460.00t/a，NH</w:t>
            </w:r>
            <w:r>
              <w:rPr>
                <w:color w:val="auto"/>
                <w:sz w:val="24"/>
                <w:szCs w:val="28"/>
                <w:highlight w:val="none"/>
                <w:vertAlign w:val="subscript"/>
                <w:lang w:bidi="en-US"/>
              </w:rPr>
              <w:t>3</w:t>
            </w:r>
            <w:r>
              <w:rPr>
                <w:color w:val="auto"/>
                <w:sz w:val="24"/>
                <w:szCs w:val="28"/>
                <w:highlight w:val="none"/>
                <w:lang w:bidi="en-US"/>
              </w:rPr>
              <w:t>-N削减200.75t/a，TN削减164.25t/a，TP削减25.55t/a。</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lang w:bidi="en-US"/>
              </w:rPr>
            </w:pPr>
            <w:r>
              <w:rPr>
                <w:color w:val="auto"/>
                <w:sz w:val="24"/>
                <w:szCs w:val="28"/>
                <w:highlight w:val="none"/>
                <w:lang w:bidi="en-US"/>
              </w:rPr>
              <w:t>本项目实施后，大幅度削减</w:t>
            </w:r>
            <w:r>
              <w:rPr>
                <w:color w:val="auto"/>
                <w:sz w:val="24"/>
                <w:szCs w:val="24"/>
                <w:highlight w:val="none"/>
                <w:lang w:bidi="ar"/>
              </w:rPr>
              <w:t>南坝镇</w:t>
            </w:r>
            <w:r>
              <w:rPr>
                <w:color w:val="auto"/>
                <w:sz w:val="24"/>
                <w:szCs w:val="32"/>
                <w:highlight w:val="none"/>
                <w:lang w:bidi="ar"/>
              </w:rPr>
              <w:t>南、北两大排水区域生活污水与</w:t>
            </w:r>
            <w:r>
              <w:rPr>
                <w:color w:val="auto"/>
                <w:sz w:val="24"/>
                <w:szCs w:val="24"/>
                <w:highlight w:val="none"/>
                <w:lang w:bidi="ar"/>
              </w:rPr>
              <w:t>南坝工业园区工业废水</w:t>
            </w:r>
            <w:r>
              <w:rPr>
                <w:color w:val="auto"/>
                <w:sz w:val="24"/>
                <w:szCs w:val="28"/>
                <w:highlight w:val="none"/>
                <w:lang w:bidi="en-US"/>
              </w:rPr>
              <w:t>直排前河总量，对河流水质改善起着有力的作用，对整个河流域的水环境质量有很大的改善，项目的建设对环境是有利的，对保护前河及改善当地水环境方面将发挥重要作用，环境正效益明显。</w:t>
            </w:r>
          </w:p>
          <w:p>
            <w:pPr>
              <w:pageBreakBefore w:val="0"/>
              <w:kinsoku/>
              <w:wordWrap/>
              <w:topLinePunct w:val="0"/>
              <w:bidi w:val="0"/>
              <w:spacing w:line="360" w:lineRule="auto"/>
              <w:ind w:left="0" w:leftChars="0" w:right="0" w:rightChars="0" w:firstLine="482" w:firstLineChars="200"/>
              <w:rPr>
                <w:b/>
                <w:color w:val="auto"/>
                <w:sz w:val="24"/>
                <w:szCs w:val="24"/>
                <w:highlight w:val="none"/>
              </w:rPr>
            </w:pPr>
            <w:r>
              <w:rPr>
                <w:b/>
                <w:color w:val="auto"/>
                <w:sz w:val="24"/>
                <w:szCs w:val="24"/>
                <w:highlight w:val="none"/>
              </w:rPr>
              <w:t>（2）经济正效益</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污水处理厂属于减排类项目，项目建成后，</w:t>
            </w:r>
            <w:r>
              <w:rPr>
                <w:color w:val="auto"/>
                <w:sz w:val="24"/>
                <w:szCs w:val="24"/>
                <w:highlight w:val="none"/>
                <w:lang w:bidi="ar"/>
              </w:rPr>
              <w:t>南坝镇</w:t>
            </w:r>
            <w:r>
              <w:rPr>
                <w:color w:val="auto"/>
                <w:sz w:val="24"/>
                <w:szCs w:val="32"/>
                <w:highlight w:val="none"/>
                <w:lang w:bidi="ar"/>
              </w:rPr>
              <w:t>南、北两大排水区域生活污水与</w:t>
            </w:r>
            <w:r>
              <w:rPr>
                <w:color w:val="auto"/>
                <w:sz w:val="24"/>
                <w:szCs w:val="24"/>
                <w:highlight w:val="none"/>
                <w:lang w:bidi="ar"/>
              </w:rPr>
              <w:t>南坝工业园区工业废水</w:t>
            </w:r>
            <w:r>
              <w:rPr>
                <w:color w:val="auto"/>
                <w:sz w:val="24"/>
                <w:szCs w:val="24"/>
                <w:highlight w:val="none"/>
              </w:rPr>
              <w:t>将通过污水管道引至项目污水处理厂，不会直接排入地表水体，将减少对地表水体的污染整治，同时，工程的实施确保工程区域内河段不受污水直排的污染，对维护南坝镇的生态平衡、促进人与自然和谐共处起着重要作用，具有长远的经济效益。</w:t>
            </w:r>
          </w:p>
          <w:p>
            <w:pPr>
              <w:pageBreakBefore w:val="0"/>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6、运营期地表水环境影响分析</w:t>
            </w:r>
          </w:p>
          <w:p>
            <w:pPr>
              <w:pageBreakBefore w:val="0"/>
              <w:kinsoku/>
              <w:wordWrap/>
              <w:topLinePunct w:val="0"/>
              <w:bidi w:val="0"/>
              <w:spacing w:line="360" w:lineRule="auto"/>
              <w:ind w:left="0" w:leftChars="0" w:right="0" w:rightChars="0" w:firstLine="480" w:firstLineChars="200"/>
              <w:rPr>
                <w:rFonts w:hint="eastAsia" w:eastAsia="宋体"/>
                <w:b/>
                <w:bCs/>
                <w:color w:val="auto"/>
                <w:sz w:val="24"/>
                <w:szCs w:val="24"/>
                <w:highlight w:val="none"/>
                <w:lang w:eastAsia="zh-CN"/>
              </w:rPr>
            </w:pPr>
            <w:r>
              <w:rPr>
                <w:color w:val="auto"/>
                <w:sz w:val="24"/>
                <w:szCs w:val="24"/>
                <w:highlight w:val="none"/>
              </w:rPr>
              <w:t>本项目运行后，出水水质满足</w:t>
            </w:r>
            <w:r>
              <w:rPr>
                <w:color w:val="auto"/>
                <w:sz w:val="24"/>
                <w:szCs w:val="32"/>
                <w:highlight w:val="none"/>
                <w:lang w:bidi="ar"/>
              </w:rPr>
              <w:t>《城镇污水处理厂污染物排放标准》（GB18918-2002）一级A标准排放。</w:t>
            </w:r>
            <w:r>
              <w:rPr>
                <w:rFonts w:hint="eastAsia"/>
                <w:color w:val="auto"/>
                <w:sz w:val="24"/>
                <w:szCs w:val="32"/>
                <w:highlight w:val="none"/>
                <w:lang w:val="en-US" w:eastAsia="zh-CN" w:bidi="ar"/>
              </w:rPr>
              <w:t>地表水环境影响分析</w:t>
            </w:r>
            <w:r>
              <w:rPr>
                <w:b/>
                <w:bCs/>
                <w:color w:val="auto"/>
                <w:sz w:val="24"/>
                <w:szCs w:val="24"/>
                <w:highlight w:val="none"/>
              </w:rPr>
              <w:t>详见“地表水环境影响专项评价”章节</w:t>
            </w:r>
            <w:r>
              <w:rPr>
                <w:rFonts w:hint="eastAsia"/>
                <w:b/>
                <w:bCs/>
                <w:color w:val="auto"/>
                <w:sz w:val="24"/>
                <w:szCs w:val="24"/>
                <w:highlight w:val="none"/>
                <w:lang w:eastAsia="zh-CN"/>
              </w:rPr>
              <w:t>。</w:t>
            </w:r>
          </w:p>
          <w:p>
            <w:pPr>
              <w:pageBreakBefore w:val="0"/>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根据专项评价结论：</w:t>
            </w:r>
          </w:p>
          <w:p>
            <w:pPr>
              <w:pageBreakBefore w:val="0"/>
              <w:kinsoku/>
              <w:wordWrap/>
              <w:topLinePunct w:val="0"/>
              <w:bidi w:val="0"/>
              <w:spacing w:line="360" w:lineRule="auto"/>
              <w:ind w:left="0" w:leftChars="0" w:right="0" w:rightChars="0" w:firstLine="482" w:firstLineChars="200"/>
              <w:rPr>
                <w:b/>
                <w:color w:val="auto"/>
                <w:sz w:val="24"/>
                <w:szCs w:val="24"/>
                <w:highlight w:val="none"/>
              </w:rPr>
            </w:pPr>
            <w:r>
              <w:rPr>
                <w:b/>
                <w:bCs/>
                <w:color w:val="auto"/>
                <w:sz w:val="24"/>
                <w:szCs w:val="24"/>
                <w:highlight w:val="none"/>
              </w:rPr>
              <w:t>正常工况下</w:t>
            </w:r>
            <w:r>
              <w:rPr>
                <w:rFonts w:hint="eastAsia"/>
                <w:b/>
                <w:bCs/>
                <w:color w:val="auto"/>
                <w:sz w:val="24"/>
                <w:szCs w:val="24"/>
                <w:highlight w:val="none"/>
              </w:rPr>
              <w:t>，</w:t>
            </w:r>
            <w:r>
              <w:rPr>
                <w:bCs/>
                <w:color w:val="auto"/>
                <w:sz w:val="24"/>
                <w:szCs w:val="24"/>
                <w:highlight w:val="none"/>
              </w:rPr>
              <w:t>前河枯水期最不利水文条件，</w:t>
            </w:r>
            <w:r>
              <w:rPr>
                <w:color w:val="auto"/>
                <w:sz w:val="24"/>
                <w:highlight w:val="none"/>
              </w:rPr>
              <w:t>枯水期尾水正常排放情况下，排污口附近COD浓度值为8.48mg/L，氨氮浓度值为0.43mg/L，总磷浓度值为0.06mg/L，水质能够满足《地表水环境质量标准》（GB3838-2002）Ⅲ类标准。</w:t>
            </w:r>
            <w:r>
              <w:rPr>
                <w:b/>
                <w:color w:val="auto"/>
                <w:sz w:val="24"/>
                <w:szCs w:val="24"/>
                <w:highlight w:val="none"/>
              </w:rPr>
              <w:t>综上所述，尾水正常排放下不会改变地表水水体水环境功能，对地表水水体影响较小。</w:t>
            </w:r>
          </w:p>
          <w:p>
            <w:pPr>
              <w:pageBreakBefore w:val="0"/>
              <w:kinsoku/>
              <w:wordWrap/>
              <w:topLinePunct w:val="0"/>
              <w:bidi w:val="0"/>
              <w:spacing w:line="360" w:lineRule="auto"/>
              <w:ind w:left="0" w:leftChars="0" w:right="0" w:rightChars="0" w:firstLine="482" w:firstLineChars="200"/>
              <w:rPr>
                <w:color w:val="auto"/>
                <w:sz w:val="24"/>
                <w:szCs w:val="24"/>
                <w:highlight w:val="none"/>
              </w:rPr>
            </w:pPr>
            <w:r>
              <w:rPr>
                <w:b/>
                <w:bCs/>
                <w:color w:val="auto"/>
                <w:sz w:val="24"/>
                <w:szCs w:val="24"/>
                <w:highlight w:val="none"/>
              </w:rPr>
              <w:t>非正常工况下</w:t>
            </w:r>
            <w:r>
              <w:rPr>
                <w:rFonts w:hint="eastAsia"/>
                <w:b/>
                <w:bCs/>
                <w:color w:val="auto"/>
                <w:sz w:val="24"/>
                <w:szCs w:val="24"/>
                <w:highlight w:val="none"/>
              </w:rPr>
              <w:t>，</w:t>
            </w:r>
            <w:r>
              <w:rPr>
                <w:rFonts w:hint="eastAsia"/>
                <w:color w:val="auto"/>
                <w:sz w:val="24"/>
                <w:szCs w:val="24"/>
                <w:highlight w:val="none"/>
              </w:rPr>
              <w:t>前河枯水期最不利水文条件，枯水期尾水非正常排放情况下，排污口附近COD浓度值为16.37mg/L，氨氮浓度值为1.46mg/L，总磷浓度值为0.19mg/L，COD、总磷水质能够满足《地表水环境质量标准》（GB3838-2002）Ⅲ类标准，氨氮超标1.46倍，形成污染带长度约19400m。</w:t>
            </w:r>
            <w:r>
              <w:rPr>
                <w:rFonts w:hint="eastAsia"/>
                <w:b/>
                <w:bCs/>
                <w:color w:val="auto"/>
                <w:sz w:val="24"/>
                <w:szCs w:val="24"/>
                <w:highlight w:val="none"/>
              </w:rPr>
              <w:t>由此可看出，前河最枯月平均流量时，非正常排放情况下，对前河水体环境将造成显著污染影响。</w:t>
            </w:r>
          </w:p>
          <w:p>
            <w:pPr>
              <w:pageBreakBefore w:val="0"/>
              <w:kinsoku/>
              <w:wordWrap/>
              <w:topLinePunct w:val="0"/>
              <w:bidi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7、废水环境影响结论</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rPr>
              <w:t>项目污水处理厂属于减排类项目，项目建成后，</w:t>
            </w:r>
            <w:r>
              <w:rPr>
                <w:color w:val="auto"/>
                <w:sz w:val="24"/>
                <w:szCs w:val="24"/>
                <w:highlight w:val="none"/>
                <w:lang w:bidi="ar"/>
              </w:rPr>
              <w:t>南坝镇</w:t>
            </w:r>
            <w:r>
              <w:rPr>
                <w:color w:val="auto"/>
                <w:sz w:val="24"/>
                <w:szCs w:val="32"/>
                <w:highlight w:val="none"/>
                <w:lang w:bidi="ar"/>
              </w:rPr>
              <w:t>南、北两大排水区域生活污水与</w:t>
            </w:r>
            <w:r>
              <w:rPr>
                <w:color w:val="auto"/>
                <w:sz w:val="24"/>
                <w:szCs w:val="24"/>
                <w:highlight w:val="none"/>
                <w:lang w:bidi="ar"/>
              </w:rPr>
              <w:t>南坝工业园区工业废水</w:t>
            </w:r>
            <w:r>
              <w:rPr>
                <w:color w:val="auto"/>
                <w:sz w:val="24"/>
                <w:szCs w:val="24"/>
                <w:highlight w:val="none"/>
              </w:rPr>
              <w:t>将通过污水管道引至项目污水处理厂，不会直接排入地表水体，将减少对地表水体的污染整治，同时，工程的实施确保工程区域内河段不受污水直排的污染，对维护南坝镇的生态平衡、促进人与自然和谐共处起着重要作用，具有长远的经济效益。</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三、噪声</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1、噪声源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本项目运营期间噪声源主要是污水厂工程设备运行的噪声，其设备包括鼓风机、各类泵等，声源声级值在75～95dB（A）之间。污水处理设备产生的噪声见下表。</w:t>
            </w:r>
          </w:p>
        </w:tc>
      </w:tr>
    </w:tbl>
    <w:p>
      <w:pPr>
        <w:pStyle w:val="22"/>
        <w:pageBreakBefore w:val="0"/>
        <w:kinsoku/>
        <w:wordWrap/>
        <w:topLinePunct w:val="0"/>
        <w:bidi w:val="0"/>
        <w:spacing w:after="0" w:line="360" w:lineRule="auto"/>
        <w:ind w:left="0" w:leftChars="0" w:right="0" w:rightChars="0" w:firstLine="0"/>
        <w:jc w:val="center"/>
        <w:rPr>
          <w:color w:val="auto"/>
          <w:highlight w:val="none"/>
        </w:rPr>
        <w:sectPr>
          <w:pgSz w:w="11906" w:h="16838"/>
          <w:pgMar w:top="1440" w:right="1134" w:bottom="1440" w:left="1134" w:header="851" w:footer="992" w:gutter="0"/>
          <w:cols w:space="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3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运营期环境影响和保护措施</w:t>
            </w:r>
          </w:p>
        </w:tc>
        <w:tc>
          <w:tcPr>
            <w:tcW w:w="13693" w:type="dxa"/>
          </w:tcPr>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表4-15</w:t>
            </w:r>
            <w:r>
              <w:rPr>
                <w:rFonts w:hint="eastAsia" w:eastAsia="黑体"/>
                <w:color w:val="auto"/>
                <w:szCs w:val="22"/>
                <w:highlight w:val="none"/>
              </w:rPr>
              <w:t xml:space="preserve"> </w:t>
            </w:r>
            <w:r>
              <w:rPr>
                <w:rFonts w:eastAsia="黑体"/>
                <w:color w:val="auto"/>
                <w:szCs w:val="22"/>
                <w:highlight w:val="none"/>
              </w:rPr>
              <w:t>室外噪声源强及治理措施一览表</w:t>
            </w:r>
            <w:r>
              <w:rPr>
                <w:rFonts w:hint="eastAsia" w:eastAsia="黑体"/>
                <w:color w:val="auto"/>
                <w:szCs w:val="22"/>
                <w:highlight w:val="none"/>
              </w:rPr>
              <w:t xml:space="preserve"> </w:t>
            </w:r>
            <w:r>
              <w:rPr>
                <w:rFonts w:hint="eastAsia" w:eastAsia="黑体"/>
                <w:color w:val="auto"/>
                <w:szCs w:val="22"/>
                <w:highlight w:val="none"/>
                <w:lang w:val="en-US" w:eastAsia="zh-CN"/>
              </w:rPr>
              <w:t xml:space="preserve"> </w:t>
            </w:r>
            <w:r>
              <w:rPr>
                <w:rFonts w:eastAsia="黑体"/>
                <w:color w:val="auto"/>
                <w:szCs w:val="22"/>
                <w:highlight w:val="none"/>
              </w:rPr>
              <w:t>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08"/>
              <w:gridCol w:w="1221"/>
              <w:gridCol w:w="1840"/>
              <w:gridCol w:w="636"/>
              <w:gridCol w:w="863"/>
              <w:gridCol w:w="787"/>
              <w:gridCol w:w="601"/>
              <w:gridCol w:w="986"/>
              <w:gridCol w:w="989"/>
              <w:gridCol w:w="1167"/>
              <w:gridCol w:w="881"/>
              <w:gridCol w:w="1066"/>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序号</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声源名称</w:t>
                  </w:r>
                </w:p>
              </w:tc>
              <w:tc>
                <w:tcPr>
                  <w:tcW w:w="682"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设备名称</w:t>
                  </w:r>
                </w:p>
              </w:tc>
              <w:tc>
                <w:tcPr>
                  <w:tcW w:w="236"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数量</w:t>
                  </w:r>
                </w:p>
              </w:tc>
              <w:tc>
                <w:tcPr>
                  <w:tcW w:w="835" w:type="pct"/>
                  <w:gridSpan w:val="3"/>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空间相对位置/m</w:t>
                  </w:r>
                </w:p>
              </w:tc>
              <w:tc>
                <w:tcPr>
                  <w:tcW w:w="733" w:type="pct"/>
                  <w:gridSpan w:val="2"/>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声源源强声级功率</w:t>
                  </w:r>
                </w:p>
              </w:tc>
              <w:tc>
                <w:tcPr>
                  <w:tcW w:w="433"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声源控制措施</w:t>
                  </w:r>
                </w:p>
              </w:tc>
              <w:tc>
                <w:tcPr>
                  <w:tcW w:w="327"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降噪后声级</w:t>
                  </w:r>
                </w:p>
              </w:tc>
              <w:tc>
                <w:tcPr>
                  <w:tcW w:w="396"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运行时段</w:t>
                  </w:r>
                </w:p>
              </w:tc>
              <w:tc>
                <w:tcPr>
                  <w:tcW w:w="400"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236"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20"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X</w:t>
                  </w:r>
                </w:p>
              </w:tc>
              <w:tc>
                <w:tcPr>
                  <w:tcW w:w="292"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Y</w:t>
                  </w:r>
                </w:p>
              </w:tc>
              <w:tc>
                <w:tcPr>
                  <w:tcW w:w="222"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Z</w:t>
                  </w:r>
                </w:p>
              </w:tc>
              <w:tc>
                <w:tcPr>
                  <w:tcW w:w="366"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单台</w:t>
                  </w:r>
                </w:p>
              </w:tc>
              <w:tc>
                <w:tcPr>
                  <w:tcW w:w="366"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叠加</w:t>
                  </w:r>
                </w:p>
              </w:tc>
              <w:tc>
                <w:tcPr>
                  <w:tcW w:w="43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2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96"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00"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1</w:t>
                  </w:r>
                </w:p>
              </w:tc>
              <w:tc>
                <w:tcPr>
                  <w:tcW w:w="790" w:type="pct"/>
                  <w:gridSpan w:val="2"/>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粗格栅井及提升泵房</w:t>
                  </w:r>
                </w:p>
              </w:tc>
              <w:tc>
                <w:tcPr>
                  <w:tcW w:w="682"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潜水泵</w:t>
                  </w:r>
                </w:p>
              </w:tc>
              <w:tc>
                <w:tcPr>
                  <w:tcW w:w="236"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4台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-50.2</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60.6</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74.77</w:t>
                  </w:r>
                </w:p>
              </w:tc>
              <w:tc>
                <w:tcPr>
                  <w:tcW w:w="43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59.77</w:t>
                  </w:r>
                </w:p>
              </w:tc>
              <w:tc>
                <w:tcPr>
                  <w:tcW w:w="396"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昼夜持续</w:t>
                  </w:r>
                </w:p>
              </w:tc>
              <w:tc>
                <w:tcPr>
                  <w:tcW w:w="400"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3用1备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2</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细格栅及旋流沉砂池</w:t>
                  </w:r>
                </w:p>
              </w:tc>
              <w:tc>
                <w:tcPr>
                  <w:tcW w:w="682"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罗茨风机</w:t>
                  </w:r>
                </w:p>
              </w:tc>
              <w:tc>
                <w:tcPr>
                  <w:tcW w:w="236"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2台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-8.73</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44.87</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75</w:t>
                  </w:r>
                </w:p>
              </w:tc>
              <w:tc>
                <w:tcPr>
                  <w:tcW w:w="98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78.01</w:t>
                  </w:r>
                </w:p>
              </w:tc>
              <w:tc>
                <w:tcPr>
                  <w:tcW w:w="43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减振</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63.01</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螺旋砂水分离器</w:t>
                  </w:r>
                </w:p>
              </w:tc>
              <w:tc>
                <w:tcPr>
                  <w:tcW w:w="236"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1台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-2.11</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53.49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减振</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设备更换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3</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厌氧池</w:t>
                  </w:r>
                </w:p>
              </w:tc>
              <w:tc>
                <w:tcPr>
                  <w:tcW w:w="682"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潜水搅拌器</w:t>
                  </w:r>
                </w:p>
              </w:tc>
              <w:tc>
                <w:tcPr>
                  <w:tcW w:w="236"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2套</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-52.14</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23.59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p>
              </w:tc>
              <w:tc>
                <w:tcPr>
                  <w:tcW w:w="236"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-28.02</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23.55</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4</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氧化沟</w:t>
                  </w:r>
                </w:p>
              </w:tc>
              <w:tc>
                <w:tcPr>
                  <w:tcW w:w="682"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推进器</w:t>
                  </w:r>
                </w:p>
              </w:tc>
              <w:tc>
                <w:tcPr>
                  <w:tcW w:w="236" w:type="pct"/>
                  <w:vMerge w:val="restart"/>
                  <w:vAlign w:val="center"/>
                </w:tcPr>
                <w:p>
                  <w:pPr>
                    <w:pageBreakBefore w:val="0"/>
                    <w:kinsoku/>
                    <w:wordWrap/>
                    <w:topLinePunct w:val="0"/>
                    <w:bidi w:val="0"/>
                    <w:ind w:left="0" w:leftChars="0" w:right="0" w:rightChars="0"/>
                    <w:jc w:val="center"/>
                    <w:rPr>
                      <w:color w:val="auto"/>
                      <w:szCs w:val="22"/>
                      <w:highlight w:val="none"/>
                    </w:rPr>
                  </w:pPr>
                  <w:r>
                    <w:rPr>
                      <w:color w:val="auto"/>
                      <w:highlight w:val="none"/>
                    </w:rPr>
                    <w:t>6套</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-53.99</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5.63</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kinsoku/>
                    <w:wordWrap/>
                    <w:topLinePunct w:val="0"/>
                    <w:bidi w:val="0"/>
                    <w:ind w:left="0" w:leftChars="0" w:right="0" w:rightChars="0"/>
                    <w:jc w:val="center"/>
                    <w:rPr>
                      <w:color w:val="auto"/>
                      <w:highlight w:val="none"/>
                    </w:rPr>
                  </w:pPr>
                </w:p>
              </w:tc>
              <w:tc>
                <w:tcPr>
                  <w:tcW w:w="236" w:type="pct"/>
                  <w:vMerge w:val="continue"/>
                  <w:vAlign w:val="center"/>
                </w:tcPr>
                <w:p>
                  <w:pPr>
                    <w:pageBreakBefore w:val="0"/>
                    <w:kinsoku/>
                    <w:wordWrap/>
                    <w:topLinePunct w:val="0"/>
                    <w:bidi w:val="0"/>
                    <w:ind w:left="0" w:leftChars="0" w:right="0" w:rightChars="0"/>
                    <w:jc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-58.05</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-14.98</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kinsoku/>
                    <w:wordWrap/>
                    <w:topLinePunct w:val="0"/>
                    <w:bidi w:val="0"/>
                    <w:ind w:left="0" w:leftChars="0" w:right="0" w:rightChars="0"/>
                    <w:jc w:val="center"/>
                    <w:rPr>
                      <w:color w:val="auto"/>
                      <w:highlight w:val="none"/>
                    </w:rPr>
                  </w:pPr>
                </w:p>
              </w:tc>
              <w:tc>
                <w:tcPr>
                  <w:tcW w:w="236" w:type="pct"/>
                  <w:vMerge w:val="continue"/>
                  <w:vAlign w:val="center"/>
                </w:tcPr>
                <w:p>
                  <w:pPr>
                    <w:pageBreakBefore w:val="0"/>
                    <w:kinsoku/>
                    <w:wordWrap/>
                    <w:topLinePunct w:val="0"/>
                    <w:bidi w:val="0"/>
                    <w:ind w:left="0" w:leftChars="0" w:right="0" w:rightChars="0"/>
                    <w:jc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-50.01</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kinsoku/>
                    <w:wordWrap/>
                    <w:topLinePunct w:val="0"/>
                    <w:bidi w:val="0"/>
                    <w:ind w:left="0" w:leftChars="0" w:right="0" w:rightChars="0"/>
                    <w:jc w:val="center"/>
                    <w:rPr>
                      <w:color w:val="auto"/>
                      <w:highlight w:val="none"/>
                    </w:rPr>
                  </w:pPr>
                </w:p>
              </w:tc>
              <w:tc>
                <w:tcPr>
                  <w:tcW w:w="236" w:type="pct"/>
                  <w:vMerge w:val="continue"/>
                  <w:vAlign w:val="center"/>
                </w:tcPr>
                <w:p>
                  <w:pPr>
                    <w:pageBreakBefore w:val="0"/>
                    <w:kinsoku/>
                    <w:wordWrap/>
                    <w:topLinePunct w:val="0"/>
                    <w:bidi w:val="0"/>
                    <w:ind w:left="0" w:leftChars="0" w:right="0" w:rightChars="0"/>
                    <w:jc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-26.06</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5.63</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kinsoku/>
                    <w:wordWrap/>
                    <w:topLinePunct w:val="0"/>
                    <w:bidi w:val="0"/>
                    <w:ind w:left="0" w:leftChars="0" w:right="0" w:rightChars="0"/>
                    <w:jc w:val="center"/>
                    <w:rPr>
                      <w:color w:val="auto"/>
                      <w:highlight w:val="none"/>
                    </w:rPr>
                  </w:pPr>
                </w:p>
              </w:tc>
              <w:tc>
                <w:tcPr>
                  <w:tcW w:w="236" w:type="pct"/>
                  <w:vMerge w:val="continue"/>
                  <w:vAlign w:val="center"/>
                </w:tcPr>
                <w:p>
                  <w:pPr>
                    <w:pageBreakBefore w:val="0"/>
                    <w:kinsoku/>
                    <w:wordWrap/>
                    <w:topLinePunct w:val="0"/>
                    <w:bidi w:val="0"/>
                    <w:ind w:left="0" w:leftChars="0" w:right="0" w:rightChars="0"/>
                    <w:jc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-30.04</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kinsoku/>
                    <w:wordWrap/>
                    <w:topLinePunct w:val="0"/>
                    <w:bidi w:val="0"/>
                    <w:ind w:left="0" w:leftChars="0" w:right="0" w:rightChars="0"/>
                    <w:jc w:val="center"/>
                    <w:rPr>
                      <w:color w:val="auto"/>
                      <w:highlight w:val="none"/>
                    </w:rPr>
                  </w:pPr>
                </w:p>
              </w:tc>
              <w:tc>
                <w:tcPr>
                  <w:tcW w:w="236" w:type="pct"/>
                  <w:vMerge w:val="continue"/>
                  <w:vAlign w:val="center"/>
                </w:tcPr>
                <w:p>
                  <w:pPr>
                    <w:pageBreakBefore w:val="0"/>
                    <w:kinsoku/>
                    <w:wordWrap/>
                    <w:topLinePunct w:val="0"/>
                    <w:bidi w:val="0"/>
                    <w:ind w:left="0" w:leftChars="0" w:right="0" w:rightChars="0"/>
                    <w:jc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-22.08</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-14.82</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5</w:t>
                  </w:r>
                </w:p>
              </w:tc>
              <w:tc>
                <w:tcPr>
                  <w:tcW w:w="337"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MBBR池</w:t>
                  </w:r>
                </w:p>
              </w:tc>
              <w:tc>
                <w:tcPr>
                  <w:tcW w:w="452"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highlight w:val="none"/>
                      <w:lang w:bidi="ar"/>
                    </w:rPr>
                    <w:t>预脱硝区</w:t>
                  </w:r>
                </w:p>
              </w:tc>
              <w:tc>
                <w:tcPr>
                  <w:tcW w:w="68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水下搅拌器</w:t>
                  </w:r>
                </w:p>
              </w:tc>
              <w:tc>
                <w:tcPr>
                  <w:tcW w:w="23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15.36</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19.3</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68.01</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53.01</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highlight w:val="none"/>
                      <w:lang w:bidi="ar"/>
                    </w:rPr>
                    <w:t>厌氧区</w:t>
                  </w: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水下搅拌器</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9.1</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19.43</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65</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lang w:bidi="ar"/>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21.82</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19.39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highlight w:val="none"/>
                      <w:lang w:bidi="ar"/>
                    </w:rPr>
                    <w:t>缺氧区</w:t>
                  </w: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潜水推流器</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7.12</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14.52</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68.01</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53.01</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lang w:bidi="ar"/>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23.56</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14.42</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68.01</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53.01</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highlight w:val="none"/>
                      <w:lang w:bidi="ar"/>
                    </w:rPr>
                    <w:t>好氧区</w:t>
                  </w: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潜水推流器</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7.37</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4.52</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68.01</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53.01</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lang w:bidi="ar"/>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23.36</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4.47</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68.01</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53.01</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内回流泵</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（浆叶式）</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1.58</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-1.05</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58.01</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29.01</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-0.98</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58.01</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回流污泥泵</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（轴流泵）</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6.67</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-6.55</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58.01</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23.86</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-6.28</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58.01</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337"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452"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剩余污泥泵</w:t>
                  </w:r>
                </w:p>
              </w:tc>
              <w:tc>
                <w:tcPr>
                  <w:tcW w:w="23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18.22</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-7.58</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58.01</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6</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二沉池及污泥回流泵井（一期）</w:t>
                  </w:r>
                </w:p>
              </w:tc>
              <w:tc>
                <w:tcPr>
                  <w:tcW w:w="68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剩余污泥泵</w:t>
                  </w:r>
                </w:p>
              </w:tc>
              <w:tc>
                <w:tcPr>
                  <w:tcW w:w="23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2台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-40</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-26.82</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highlight w:val="none"/>
                    </w:rPr>
                    <w:t>冷备一台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潜污泵</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2台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-54.08</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-33.86</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-25.97</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-34.05</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7</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二沉池及污泥泵井（二期）</w:t>
                  </w:r>
                </w:p>
              </w:tc>
              <w:tc>
                <w:tcPr>
                  <w:tcW w:w="682"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剩余污泥泵</w:t>
                  </w:r>
                </w:p>
              </w:tc>
              <w:tc>
                <w:tcPr>
                  <w:tcW w:w="23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22.48</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-15.87</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kern w:val="0"/>
                      <w:highlight w:val="none"/>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682"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污泥回流泵</w:t>
                  </w:r>
                </w:p>
              </w:tc>
              <w:tc>
                <w:tcPr>
                  <w:tcW w:w="236"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3台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8.85</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-29.99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Merge w:val="restart"/>
                  <w:vAlign w:val="center"/>
                </w:tcPr>
                <w:p>
                  <w:pPr>
                    <w:pageBreakBefore w:val="0"/>
                    <w:widowControl/>
                    <w:kinsoku/>
                    <w:wordWrap/>
                    <w:topLinePunct w:val="0"/>
                    <w:bidi w:val="0"/>
                    <w:ind w:left="0" w:leftChars="0" w:right="0" w:rightChars="0"/>
                    <w:jc w:val="center"/>
                    <w:rPr>
                      <w:color w:val="auto"/>
                      <w:szCs w:val="22"/>
                      <w:highlight w:val="none"/>
                    </w:rPr>
                  </w:pPr>
                  <w:r>
                    <w:rPr>
                      <w:color w:val="auto"/>
                      <w:kern w:val="0"/>
                      <w:highlight w:val="none"/>
                      <w:lang w:bidi="ar"/>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p>
              </w:tc>
              <w:tc>
                <w:tcPr>
                  <w:tcW w:w="682" w:type="pct"/>
                  <w:vMerge w:val="continue"/>
                  <w:vAlign w:val="center"/>
                </w:tcPr>
                <w:p>
                  <w:pPr>
                    <w:pageBreakBefore w:val="0"/>
                    <w:widowControl/>
                    <w:kinsoku/>
                    <w:wordWrap/>
                    <w:topLinePunct w:val="0"/>
                    <w:bidi w:val="0"/>
                    <w:ind w:left="0" w:leftChars="0" w:right="0" w:rightChars="0"/>
                    <w:jc w:val="center"/>
                    <w:textAlignment w:val="center"/>
                    <w:rPr>
                      <w:rStyle w:val="46"/>
                      <w:rFonts w:hint="default" w:ascii="Times New Roman" w:hAnsi="Times New Roman" w:cs="Times New Roman"/>
                      <w:color w:val="auto"/>
                      <w:sz w:val="21"/>
                      <w:szCs w:val="21"/>
                      <w:highlight w:val="none"/>
                      <w:lang w:bidi="ar"/>
                    </w:rPr>
                  </w:pPr>
                </w:p>
              </w:tc>
              <w:tc>
                <w:tcPr>
                  <w:tcW w:w="236" w:type="pct"/>
                  <w:vMerge w:val="continue"/>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35.98</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-29.92</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Merge w:val="continue"/>
                  <w:vAlign w:val="center"/>
                </w:tcPr>
                <w:p>
                  <w:pPr>
                    <w:pageBreakBefore w:val="0"/>
                    <w:widowControl/>
                    <w:kinsoku/>
                    <w:wordWrap/>
                    <w:topLinePunct w:val="0"/>
                    <w:bidi w:val="0"/>
                    <w:ind w:left="0" w:leftChars="0" w:right="0" w:rightChars="0"/>
                    <w:jc w:val="center"/>
                    <w:rPr>
                      <w:color w:val="auto"/>
                      <w:szCs w:val="22"/>
                      <w:highlight w:val="none"/>
                    </w:rPr>
                  </w:pPr>
                </w:p>
              </w:tc>
              <w:tc>
                <w:tcPr>
                  <w:tcW w:w="400" w:type="pct"/>
                  <w:vMerge w:val="continue"/>
                  <w:vAlign w:val="center"/>
                </w:tcPr>
                <w:p>
                  <w:pPr>
                    <w:pageBreakBefore w:val="0"/>
                    <w:widowControl/>
                    <w:kinsoku/>
                    <w:wordWrap/>
                    <w:topLinePunct w:val="0"/>
                    <w:bidi w:val="0"/>
                    <w:ind w:left="0" w:leftChars="0" w:right="0" w:rightChars="0"/>
                    <w:jc w:val="center"/>
                    <w:rPr>
                      <w:color w:val="auto"/>
                      <w:kern w:val="0"/>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8</w:t>
                  </w:r>
                </w:p>
              </w:tc>
              <w:tc>
                <w:tcPr>
                  <w:tcW w:w="790" w:type="pct"/>
                  <w:gridSpan w:val="2"/>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絮凝池</w:t>
                  </w:r>
                </w:p>
              </w:tc>
              <w:tc>
                <w:tcPr>
                  <w:tcW w:w="68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立轴式搅拌机</w:t>
                  </w:r>
                </w:p>
              </w:tc>
              <w:tc>
                <w:tcPr>
                  <w:tcW w:w="23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1套</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0.71</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-64.4</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9</w:t>
                  </w:r>
                </w:p>
              </w:tc>
              <w:tc>
                <w:tcPr>
                  <w:tcW w:w="790" w:type="pct"/>
                  <w:gridSpan w:val="2"/>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转鼓滤池间</w:t>
                  </w:r>
                </w:p>
              </w:tc>
              <w:tc>
                <w:tcPr>
                  <w:tcW w:w="68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反冲洗系统</w:t>
                  </w:r>
                </w:p>
              </w:tc>
              <w:tc>
                <w:tcPr>
                  <w:tcW w:w="23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2套</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11.33</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-64.39</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78.01</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63.01</w:t>
                  </w:r>
                </w:p>
              </w:tc>
              <w:tc>
                <w:tcPr>
                  <w:tcW w:w="39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10</w:t>
                  </w:r>
                </w:p>
              </w:tc>
              <w:tc>
                <w:tcPr>
                  <w:tcW w:w="790" w:type="pct"/>
                  <w:gridSpan w:val="2"/>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紫外线消毒渠</w:t>
                  </w:r>
                </w:p>
              </w:tc>
              <w:tc>
                <w:tcPr>
                  <w:tcW w:w="68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rStyle w:val="48"/>
                      <w:rFonts w:hint="default" w:ascii="Times New Roman" w:hAnsi="Times New Roman" w:cs="Times New Roman"/>
                      <w:color w:val="auto"/>
                      <w:sz w:val="21"/>
                      <w:szCs w:val="21"/>
                      <w:highlight w:val="none"/>
                      <w:lang w:bidi="ar"/>
                    </w:rPr>
                    <w:t>回用潜水泵</w:t>
                  </w:r>
                </w:p>
              </w:tc>
              <w:tc>
                <w:tcPr>
                  <w:tcW w:w="23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w:t>
                  </w:r>
                  <w:r>
                    <w:rPr>
                      <w:rStyle w:val="48"/>
                      <w:rFonts w:hint="default" w:ascii="Times New Roman" w:hAnsi="Times New Roman" w:cs="Times New Roman"/>
                      <w:color w:val="auto"/>
                      <w:sz w:val="21"/>
                      <w:szCs w:val="21"/>
                      <w:highlight w:val="none"/>
                      <w:lang w:bidi="ar"/>
                    </w:rPr>
                    <w:t>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30.7</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-68.23</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8"/>
                      <w:rFonts w:hint="default" w:ascii="Times New Roman" w:hAnsi="Times New Roman" w:cs="Times New Roman"/>
                      <w:color w:val="auto"/>
                      <w:sz w:val="21"/>
                      <w:szCs w:val="21"/>
                      <w:highlight w:val="none"/>
                      <w:lang w:bidi="ar"/>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sz w:val="21"/>
                      <w:szCs w:val="22"/>
                      <w:highlight w:val="none"/>
                    </w:rPr>
                    <w:t>11</w:t>
                  </w:r>
                </w:p>
              </w:tc>
              <w:tc>
                <w:tcPr>
                  <w:tcW w:w="790" w:type="pct"/>
                  <w:gridSpan w:val="2"/>
                  <w:vMerge w:val="restart"/>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r>
                    <w:rPr>
                      <w:color w:val="auto"/>
                      <w:kern w:val="2"/>
                      <w:sz w:val="21"/>
                      <w:highlight w:val="none"/>
                    </w:rPr>
                    <w:t>贮泥池</w:t>
                  </w:r>
                </w:p>
              </w:tc>
              <w:tc>
                <w:tcPr>
                  <w:tcW w:w="68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污泥螺杆泵</w:t>
                  </w:r>
                </w:p>
              </w:tc>
              <w:tc>
                <w:tcPr>
                  <w:tcW w:w="23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2台</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-14.21</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-65.25</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70</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55</w:t>
                  </w:r>
                </w:p>
              </w:tc>
              <w:tc>
                <w:tcPr>
                  <w:tcW w:w="39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 w:type="pct"/>
                  <w:vMerge w:val="continue"/>
                  <w:vAlign w:val="center"/>
                </w:tcPr>
                <w:p>
                  <w:pPr>
                    <w:pStyle w:val="22"/>
                    <w:pageBreakBefore w:val="0"/>
                    <w:kinsoku/>
                    <w:wordWrap/>
                    <w:topLinePunct w:val="0"/>
                    <w:bidi w:val="0"/>
                    <w:spacing w:after="0"/>
                    <w:ind w:left="0" w:leftChars="0" w:right="0" w:rightChars="0" w:firstLine="0"/>
                    <w:jc w:val="center"/>
                    <w:rPr>
                      <w:color w:val="auto"/>
                      <w:sz w:val="21"/>
                      <w:szCs w:val="22"/>
                      <w:highlight w:val="none"/>
                    </w:rPr>
                  </w:pPr>
                </w:p>
              </w:tc>
              <w:tc>
                <w:tcPr>
                  <w:tcW w:w="790" w:type="pct"/>
                  <w:gridSpan w:val="2"/>
                  <w:vMerge w:val="continue"/>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p>
              </w:tc>
              <w:tc>
                <w:tcPr>
                  <w:tcW w:w="682"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潜水搅拌机</w:t>
                  </w:r>
                </w:p>
              </w:tc>
              <w:tc>
                <w:tcPr>
                  <w:tcW w:w="236"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highlight w:val="none"/>
                    </w:rPr>
                    <w:t>1套</w:t>
                  </w:r>
                </w:p>
              </w:tc>
              <w:tc>
                <w:tcPr>
                  <w:tcW w:w="86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-14.07</w:t>
                  </w:r>
                </w:p>
              </w:tc>
              <w:tc>
                <w:tcPr>
                  <w:tcW w:w="787"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-69.51</w:t>
                  </w:r>
                </w:p>
              </w:tc>
              <w:tc>
                <w:tcPr>
                  <w:tcW w:w="600"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0.3</w:t>
                  </w:r>
                </w:p>
              </w:tc>
              <w:tc>
                <w:tcPr>
                  <w:tcW w:w="366"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65</w:t>
                  </w:r>
                </w:p>
              </w:tc>
              <w:tc>
                <w:tcPr>
                  <w:tcW w:w="988"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65</w:t>
                  </w:r>
                </w:p>
              </w:tc>
              <w:tc>
                <w:tcPr>
                  <w:tcW w:w="43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水下安装</w:t>
                  </w:r>
                </w:p>
              </w:tc>
              <w:tc>
                <w:tcPr>
                  <w:tcW w:w="883"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50</w:t>
                  </w:r>
                </w:p>
              </w:tc>
              <w:tc>
                <w:tcPr>
                  <w:tcW w:w="39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szCs w:val="22"/>
                      <w:highlight w:val="none"/>
                    </w:rPr>
                    <w:t>昼夜持续</w:t>
                  </w:r>
                </w:p>
              </w:tc>
              <w:tc>
                <w:tcPr>
                  <w:tcW w:w="400"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kern w:val="0"/>
                      <w:highlight w:val="none"/>
                      <w:lang w:bidi="ar"/>
                    </w:rPr>
                    <w:t>1用1备</w:t>
                  </w:r>
                </w:p>
              </w:tc>
            </w:tr>
          </w:tbl>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表4-16</w:t>
            </w:r>
            <w:r>
              <w:rPr>
                <w:rFonts w:hint="eastAsia" w:eastAsia="黑体"/>
                <w:color w:val="auto"/>
                <w:szCs w:val="22"/>
                <w:highlight w:val="none"/>
              </w:rPr>
              <w:t xml:space="preserve"> </w:t>
            </w:r>
            <w:r>
              <w:rPr>
                <w:rFonts w:eastAsia="黑体"/>
                <w:color w:val="auto"/>
                <w:szCs w:val="22"/>
                <w:highlight w:val="none"/>
              </w:rPr>
              <w:t>室内噪声源强及治理措施一览表</w:t>
            </w:r>
            <w:r>
              <w:rPr>
                <w:rFonts w:hint="eastAsia" w:eastAsia="黑体"/>
                <w:color w:val="auto"/>
                <w:szCs w:val="22"/>
                <w:highlight w:val="none"/>
                <w:lang w:val="en-US" w:eastAsia="zh-CN"/>
              </w:rPr>
              <w:t xml:space="preserve"> </w:t>
            </w:r>
            <w:r>
              <w:rPr>
                <w:rFonts w:hint="eastAsia" w:eastAsia="黑体"/>
                <w:color w:val="auto"/>
                <w:szCs w:val="22"/>
                <w:highlight w:val="none"/>
              </w:rPr>
              <w:t xml:space="preserve"> </w:t>
            </w:r>
            <w:r>
              <w:rPr>
                <w:rFonts w:eastAsia="黑体"/>
                <w:color w:val="auto"/>
                <w:szCs w:val="22"/>
                <w:highlight w:val="none"/>
              </w:rPr>
              <w:t>单位：dB（A）</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
              <w:gridCol w:w="669"/>
              <w:gridCol w:w="1940"/>
              <w:gridCol w:w="696"/>
              <w:gridCol w:w="682"/>
              <w:gridCol w:w="771"/>
              <w:gridCol w:w="1198"/>
              <w:gridCol w:w="808"/>
              <w:gridCol w:w="824"/>
              <w:gridCol w:w="617"/>
              <w:gridCol w:w="899"/>
              <w:gridCol w:w="673"/>
              <w:gridCol w:w="956"/>
              <w:gridCol w:w="843"/>
              <w:gridCol w:w="918"/>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restart"/>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序号</w:t>
                  </w:r>
                </w:p>
              </w:tc>
              <w:tc>
                <w:tcPr>
                  <w:tcW w:w="248" w:type="pct"/>
                  <w:vMerge w:val="restart"/>
                  <w:vAlign w:val="center"/>
                </w:tcPr>
                <w:p>
                  <w:pPr>
                    <w:pStyle w:val="22"/>
                    <w:pageBreakBefore w:val="0"/>
                    <w:kinsoku/>
                    <w:wordWrap/>
                    <w:topLinePunct w:val="0"/>
                    <w:bidi w:val="0"/>
                    <w:spacing w:after="0"/>
                    <w:ind w:left="0" w:leftChars="0" w:right="0" w:rightChars="0" w:firstLine="0"/>
                    <w:jc w:val="center"/>
                    <w:rPr>
                      <w:b/>
                      <w:bCs/>
                      <w:color w:val="auto"/>
                      <w:kern w:val="2"/>
                      <w:sz w:val="21"/>
                      <w:highlight w:val="none"/>
                    </w:rPr>
                  </w:pPr>
                  <w:r>
                    <w:rPr>
                      <w:b/>
                      <w:bCs/>
                      <w:color w:val="auto"/>
                      <w:kern w:val="2"/>
                      <w:sz w:val="21"/>
                      <w:highlight w:val="none"/>
                    </w:rPr>
                    <w:t>建筑物名称</w:t>
                  </w:r>
                </w:p>
              </w:tc>
              <w:tc>
                <w:tcPr>
                  <w:tcW w:w="719" w:type="pct"/>
                  <w:vMerge w:val="restart"/>
                  <w:vAlign w:val="center"/>
                </w:tcPr>
                <w:p>
                  <w:pPr>
                    <w:pageBreakBefore w:val="0"/>
                    <w:widowControl/>
                    <w:kinsoku/>
                    <w:wordWrap/>
                    <w:topLinePunct w:val="0"/>
                    <w:bidi w:val="0"/>
                    <w:ind w:left="0" w:leftChars="0" w:right="0" w:rightChars="0"/>
                    <w:jc w:val="center"/>
                    <w:textAlignment w:val="center"/>
                    <w:rPr>
                      <w:color w:val="auto"/>
                      <w:highlight w:val="none"/>
                    </w:rPr>
                  </w:pPr>
                  <w:r>
                    <w:rPr>
                      <w:b/>
                      <w:bCs/>
                      <w:color w:val="auto"/>
                      <w:highlight w:val="none"/>
                    </w:rPr>
                    <w:t>声源名称</w:t>
                  </w:r>
                </w:p>
              </w:tc>
              <w:tc>
                <w:tcPr>
                  <w:tcW w:w="258" w:type="pct"/>
                  <w:vMerge w:val="restar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b/>
                      <w:bCs/>
                      <w:color w:val="auto"/>
                      <w:highlight w:val="none"/>
                    </w:rPr>
                    <w:t>数量</w:t>
                  </w:r>
                </w:p>
              </w:tc>
              <w:tc>
                <w:tcPr>
                  <w:tcW w:w="539" w:type="pct"/>
                  <w:gridSpan w:val="2"/>
                  <w:vAlign w:val="center"/>
                </w:tcPr>
                <w:p>
                  <w:pPr>
                    <w:pStyle w:val="22"/>
                    <w:pageBreakBefore w:val="0"/>
                    <w:kinsoku/>
                    <w:wordWrap/>
                    <w:topLinePunct w:val="0"/>
                    <w:bidi w:val="0"/>
                    <w:spacing w:after="0"/>
                    <w:ind w:left="0" w:leftChars="0" w:right="0" w:rightChars="0" w:firstLine="0"/>
                    <w:jc w:val="center"/>
                    <w:rPr>
                      <w:b/>
                      <w:bCs/>
                      <w:color w:val="auto"/>
                      <w:sz w:val="21"/>
                      <w:highlight w:val="none"/>
                    </w:rPr>
                  </w:pPr>
                  <w:r>
                    <w:rPr>
                      <w:b/>
                      <w:bCs/>
                      <w:color w:val="auto"/>
                      <w:sz w:val="21"/>
                      <w:highlight w:val="none"/>
                    </w:rPr>
                    <w:t>声源源强声级功率</w:t>
                  </w:r>
                </w:p>
              </w:tc>
              <w:tc>
                <w:tcPr>
                  <w:tcW w:w="44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声源控制措施</w:t>
                  </w:r>
                </w:p>
              </w:tc>
              <w:tc>
                <w:tcPr>
                  <w:tcW w:w="835" w:type="pct"/>
                  <w:gridSpan w:val="3"/>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空间相对位置/m</w:t>
                  </w:r>
                </w:p>
              </w:tc>
              <w:tc>
                <w:tcPr>
                  <w:tcW w:w="334" w:type="pct"/>
                  <w:vMerge w:val="restar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距室内边界距离/m</w:t>
                  </w:r>
                </w:p>
              </w:tc>
              <w:tc>
                <w:tcPr>
                  <w:tcW w:w="250" w:type="pct"/>
                  <w:vMerge w:val="restar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运行时段</w:t>
                  </w:r>
                </w:p>
              </w:tc>
              <w:tc>
                <w:tcPr>
                  <w:tcW w:w="355" w:type="pct"/>
                  <w:vMerge w:val="restar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建筑物插入损失</w:t>
                  </w:r>
                </w:p>
              </w:tc>
              <w:tc>
                <w:tcPr>
                  <w:tcW w:w="654" w:type="pct"/>
                  <w:gridSpan w:val="2"/>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建筑物外噪声</w:t>
                  </w:r>
                </w:p>
              </w:tc>
              <w:tc>
                <w:tcPr>
                  <w:tcW w:w="245" w:type="pct"/>
                  <w:vMerge w:val="restar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kern w:val="2"/>
                      <w:sz w:val="21"/>
                      <w:highlight w:val="none"/>
                    </w:rPr>
                  </w:pPr>
                </w:p>
              </w:tc>
              <w:tc>
                <w:tcPr>
                  <w:tcW w:w="719" w:type="pct"/>
                  <w:vMerge w:val="continue"/>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258" w:type="pct"/>
                  <w:vMerge w:val="continue"/>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p>
              </w:tc>
              <w:tc>
                <w:tcPr>
                  <w:tcW w:w="253"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单台</w:t>
                  </w:r>
                </w:p>
              </w:tc>
              <w:tc>
                <w:tcPr>
                  <w:tcW w:w="285" w:type="pct"/>
                  <w:vAlign w:val="center"/>
                </w:tcPr>
                <w:p>
                  <w:pPr>
                    <w:pStyle w:val="22"/>
                    <w:pageBreakBefore w:val="0"/>
                    <w:kinsoku/>
                    <w:wordWrap/>
                    <w:topLinePunct w:val="0"/>
                    <w:bidi w:val="0"/>
                    <w:spacing w:after="0"/>
                    <w:ind w:left="0" w:leftChars="0" w:right="0" w:rightChars="0" w:firstLine="0"/>
                    <w:jc w:val="center"/>
                    <w:rPr>
                      <w:b/>
                      <w:bCs/>
                      <w:color w:val="auto"/>
                      <w:sz w:val="21"/>
                      <w:szCs w:val="22"/>
                      <w:highlight w:val="none"/>
                    </w:rPr>
                  </w:pPr>
                  <w:r>
                    <w:rPr>
                      <w:b/>
                      <w:bCs/>
                      <w:color w:val="auto"/>
                      <w:sz w:val="21"/>
                      <w:szCs w:val="22"/>
                      <w:highlight w:val="none"/>
                    </w:rPr>
                    <w:t>叠加</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300"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X</w:t>
                  </w:r>
                </w:p>
              </w:tc>
              <w:tc>
                <w:tcPr>
                  <w:tcW w:w="306"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Y</w:t>
                  </w:r>
                </w:p>
              </w:tc>
              <w:tc>
                <w:tcPr>
                  <w:tcW w:w="228"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b/>
                      <w:bCs/>
                      <w:color w:val="auto"/>
                      <w:sz w:val="21"/>
                      <w:highlight w:val="none"/>
                    </w:rPr>
                    <w:t>Z</w:t>
                  </w:r>
                </w:p>
              </w:tc>
              <w:tc>
                <w:tcPr>
                  <w:tcW w:w="334"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13" w:type="pc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声压级</w:t>
                  </w:r>
                </w:p>
              </w:tc>
              <w:tc>
                <w:tcPr>
                  <w:tcW w:w="341" w:type="pct"/>
                  <w:vAlign w:val="center"/>
                </w:tcPr>
                <w:p>
                  <w:pPr>
                    <w:pageBreakBefore w:val="0"/>
                    <w:widowControl/>
                    <w:kinsoku/>
                    <w:wordWrap/>
                    <w:topLinePunct w:val="0"/>
                    <w:bidi w:val="0"/>
                    <w:ind w:left="0" w:leftChars="0" w:right="0" w:rightChars="0"/>
                    <w:jc w:val="center"/>
                    <w:rPr>
                      <w:b/>
                      <w:bCs/>
                      <w:color w:val="auto"/>
                      <w:highlight w:val="none"/>
                    </w:rPr>
                  </w:pPr>
                  <w:r>
                    <w:rPr>
                      <w:b/>
                      <w:bCs/>
                      <w:color w:val="auto"/>
                      <w:highlight w:val="none"/>
                    </w:rPr>
                    <w:t>建筑物外距离</w:t>
                  </w:r>
                </w:p>
              </w:tc>
              <w:tc>
                <w:tcPr>
                  <w:tcW w:w="245" w:type="pct"/>
                  <w:vMerge w:val="continue"/>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1</w:t>
                  </w:r>
                </w:p>
              </w:tc>
              <w:tc>
                <w:tcPr>
                  <w:tcW w:w="24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kern w:val="2"/>
                      <w:sz w:val="21"/>
                      <w:highlight w:val="none"/>
                    </w:rPr>
                    <w:t>脱水机房</w:t>
                  </w: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椭叠式污泥浓缩机</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85</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88.01</w:t>
                  </w:r>
                </w:p>
              </w:tc>
              <w:tc>
                <w:tcPr>
                  <w:tcW w:w="44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室内安装、减振、厂房隔声</w:t>
                  </w: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-26.25</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-67.19</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1.2</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4.41</w:t>
                  </w:r>
                </w:p>
              </w:tc>
              <w:tc>
                <w:tcPr>
                  <w:tcW w:w="250" w:type="pct"/>
                  <w:vMerge w:val="restar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昼间</w:t>
                  </w: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50.98</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PAM螺杆泵</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70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-22.64</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-60.68</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1.2</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2.85</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36.08</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压榨机进料螺杆泵</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2套</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70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73.01</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-33.91</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-67.37</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4.24</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36.21</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textAlignment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侧杠式隔膜板框压滤机</w:t>
                  </w:r>
                </w:p>
              </w:tc>
              <w:tc>
                <w:tcPr>
                  <w:tcW w:w="25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3套</w:t>
                  </w:r>
                </w:p>
              </w:tc>
              <w:tc>
                <w:tcPr>
                  <w:tcW w:w="253"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80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84.77</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-41.87</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-67.15</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1.2</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4.47</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47.74</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textAlignment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高压清洗水泵</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70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-31.56</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-58.27</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0.3</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1.90</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34.23</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隔膜挤压水泵</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1套</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70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-42.05</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-62.08</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0.3</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5.39</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33.09</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空压机</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80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80</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-31.38</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-61.32</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1.2</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4.95</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42.96</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冷干机</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1台</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70</w:t>
                  </w:r>
                </w:p>
              </w:tc>
              <w:tc>
                <w:tcPr>
                  <w:tcW w:w="770" w:type="dxa"/>
                  <w:vAlign w:val="center"/>
                </w:tcPr>
                <w:p>
                  <w:pPr>
                    <w:pageBreakBefore w:val="0"/>
                    <w:widowControl/>
                    <w:kinsoku/>
                    <w:wordWrap/>
                    <w:topLinePunct w:val="0"/>
                    <w:bidi w:val="0"/>
                    <w:ind w:left="0" w:leftChars="0" w:right="0" w:rightChars="0"/>
                    <w:jc w:val="center"/>
                    <w:textAlignment w:val="center"/>
                    <w:rPr>
                      <w:color w:val="auto"/>
                      <w:szCs w:val="22"/>
                      <w:highlight w:val="none"/>
                    </w:rPr>
                  </w:pPr>
                  <w:r>
                    <w:rPr>
                      <w:color w:val="auto"/>
                      <w:kern w:val="0"/>
                      <w:highlight w:val="none"/>
                      <w:lang w:bidi="ar"/>
                    </w:rPr>
                    <w:t>70</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-26.76</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-61.1</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4.74</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32.96</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2</w:t>
                  </w:r>
                </w:p>
              </w:tc>
              <w:tc>
                <w:tcPr>
                  <w:tcW w:w="248"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kern w:val="2"/>
                      <w:sz w:val="21"/>
                      <w:highlight w:val="none"/>
                    </w:rPr>
                    <w:t>鼓风机房</w:t>
                  </w: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正压容积式无油变频螺杆鼓风机</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w:t>
                  </w:r>
                  <w:r>
                    <w:rPr>
                      <w:rStyle w:val="46"/>
                      <w:rFonts w:hint="default" w:ascii="Times New Roman" w:hAnsi="Times New Roman" w:cs="Times New Roman"/>
                      <w:color w:val="auto"/>
                      <w:sz w:val="21"/>
                      <w:szCs w:val="21"/>
                      <w:highlight w:val="none"/>
                      <w:lang w:bidi="ar"/>
                    </w:rPr>
                    <w:t>台</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85</w:t>
                  </w:r>
                </w:p>
              </w:tc>
              <w:tc>
                <w:tcPr>
                  <w:tcW w:w="28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85</w:t>
                  </w:r>
                </w:p>
              </w:tc>
              <w:tc>
                <w:tcPr>
                  <w:tcW w:w="445" w:type="pct"/>
                  <w:vMerge w:val="restar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独立风机房、进口处设置带过滤器的消音器等</w:t>
                  </w: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43</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4.86</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5.04</w:t>
                  </w:r>
                </w:p>
              </w:tc>
              <w:tc>
                <w:tcPr>
                  <w:tcW w:w="250" w:type="pct"/>
                  <w:vMerge w:val="restar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昼夜持续</w:t>
                  </w: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51.95</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r>
                    <w:rPr>
                      <w:rStyle w:val="46"/>
                      <w:rFonts w:hint="default" w:ascii="Times New Roman" w:hAnsi="Times New Roman" w:cs="Times New Roman"/>
                      <w:color w:val="auto"/>
                      <w:sz w:val="21"/>
                      <w:szCs w:val="21"/>
                      <w:highlight w:val="none"/>
                      <w:lang w:bidi="ar"/>
                    </w:rPr>
                    <w:t>1用</w:t>
                  </w:r>
                  <w:r>
                    <w:rPr>
                      <w:color w:val="auto"/>
                      <w:kern w:val="0"/>
                      <w:highlight w:val="none"/>
                      <w:lang w:bidi="ar"/>
                    </w:rPr>
                    <w:t>1</w:t>
                  </w:r>
                  <w:r>
                    <w:rPr>
                      <w:rStyle w:val="46"/>
                      <w:rFonts w:hint="default" w:ascii="Times New Roman" w:hAnsi="Times New Roman" w:cs="Times New Roman"/>
                      <w:color w:val="auto"/>
                      <w:sz w:val="21"/>
                      <w:szCs w:val="21"/>
                      <w:highlight w:val="none"/>
                      <w:lang w:bidi="ar"/>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正压容积式无油变频螺杆鼓风机</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w:t>
                  </w:r>
                  <w:r>
                    <w:rPr>
                      <w:rStyle w:val="46"/>
                      <w:rFonts w:hint="default" w:ascii="Times New Roman" w:hAnsi="Times New Roman" w:cs="Times New Roman"/>
                      <w:color w:val="auto"/>
                      <w:sz w:val="21"/>
                      <w:szCs w:val="21"/>
                      <w:highlight w:val="none"/>
                      <w:lang w:bidi="ar"/>
                    </w:rPr>
                    <w:t>台</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85</w:t>
                  </w:r>
                </w:p>
              </w:tc>
              <w:tc>
                <w:tcPr>
                  <w:tcW w:w="28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85</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43.07</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7.72</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5.13</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84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51.95</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248"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719" w:type="pct"/>
                  <w:vAlign w:val="center"/>
                </w:tcPr>
                <w:p>
                  <w:pPr>
                    <w:pageBreakBefore w:val="0"/>
                    <w:widowControl/>
                    <w:kinsoku/>
                    <w:wordWrap/>
                    <w:topLinePunct w:val="0"/>
                    <w:bidi w:val="0"/>
                    <w:ind w:left="0" w:leftChars="0" w:right="0" w:rightChars="0"/>
                    <w:jc w:val="center"/>
                    <w:textAlignment w:val="center"/>
                    <w:rPr>
                      <w:color w:val="auto"/>
                      <w:highlight w:val="none"/>
                    </w:rPr>
                  </w:pPr>
                  <w:r>
                    <w:rPr>
                      <w:rStyle w:val="46"/>
                      <w:rFonts w:hint="default" w:ascii="Times New Roman" w:hAnsi="Times New Roman" w:cs="Times New Roman"/>
                      <w:color w:val="auto"/>
                      <w:sz w:val="21"/>
                      <w:szCs w:val="21"/>
                      <w:highlight w:val="none"/>
                      <w:lang w:bidi="ar"/>
                    </w:rPr>
                    <w:t>轴流风机</w:t>
                  </w:r>
                </w:p>
              </w:tc>
              <w:tc>
                <w:tcPr>
                  <w:tcW w:w="258"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w:t>
                  </w:r>
                  <w:r>
                    <w:rPr>
                      <w:rStyle w:val="46"/>
                      <w:rFonts w:hint="default" w:ascii="Times New Roman" w:hAnsi="Times New Roman" w:cs="Times New Roman"/>
                      <w:color w:val="auto"/>
                      <w:sz w:val="21"/>
                      <w:szCs w:val="21"/>
                      <w:highlight w:val="none"/>
                      <w:lang w:bidi="ar"/>
                    </w:rPr>
                    <w:t>台</w:t>
                  </w:r>
                </w:p>
              </w:tc>
              <w:tc>
                <w:tcPr>
                  <w:tcW w:w="253" w:type="pct"/>
                  <w:vAlign w:val="center"/>
                </w:tcPr>
                <w:p>
                  <w:pPr>
                    <w:pageBreakBefore w:val="0"/>
                    <w:widowControl/>
                    <w:kinsoku/>
                    <w:wordWrap/>
                    <w:topLinePunct w:val="0"/>
                    <w:bidi w:val="0"/>
                    <w:ind w:left="0" w:leftChars="0" w:right="0" w:rightChars="0"/>
                    <w:jc w:val="center"/>
                    <w:rPr>
                      <w:color w:val="auto"/>
                      <w:highlight w:val="none"/>
                    </w:rPr>
                  </w:pPr>
                  <w:r>
                    <w:rPr>
                      <w:color w:val="auto"/>
                      <w:szCs w:val="22"/>
                      <w:highlight w:val="none"/>
                    </w:rPr>
                    <w:t>70</w:t>
                  </w:r>
                </w:p>
              </w:tc>
              <w:tc>
                <w:tcPr>
                  <w:tcW w:w="285" w:type="pct"/>
                  <w:vAlign w:val="center"/>
                </w:tcPr>
                <w:p>
                  <w:pPr>
                    <w:pageBreakBefore w:val="0"/>
                    <w:widowControl/>
                    <w:kinsoku/>
                    <w:wordWrap/>
                    <w:topLinePunct w:val="0"/>
                    <w:bidi w:val="0"/>
                    <w:ind w:left="0" w:leftChars="0" w:right="0" w:rightChars="0"/>
                    <w:jc w:val="center"/>
                    <w:rPr>
                      <w:color w:val="auto"/>
                      <w:szCs w:val="22"/>
                      <w:highlight w:val="none"/>
                    </w:rPr>
                  </w:pPr>
                  <w:r>
                    <w:rPr>
                      <w:color w:val="auto"/>
                      <w:szCs w:val="22"/>
                      <w:highlight w:val="none"/>
                    </w:rPr>
                    <w:t>76.02</w:t>
                  </w:r>
                </w:p>
              </w:tc>
              <w:tc>
                <w:tcPr>
                  <w:tcW w:w="445" w:type="pct"/>
                  <w:vMerge w:val="continue"/>
                  <w:vAlign w:val="center"/>
                </w:tcPr>
                <w:p>
                  <w:pPr>
                    <w:pStyle w:val="22"/>
                    <w:pageBreakBefore w:val="0"/>
                    <w:kinsoku/>
                    <w:wordWrap/>
                    <w:topLinePunct w:val="0"/>
                    <w:bidi w:val="0"/>
                    <w:spacing w:after="0"/>
                    <w:ind w:left="0" w:leftChars="0" w:right="0" w:rightChars="0" w:firstLine="0"/>
                    <w:jc w:val="center"/>
                    <w:rPr>
                      <w:color w:val="auto"/>
                      <w:sz w:val="21"/>
                      <w:highlight w:val="none"/>
                    </w:rPr>
                  </w:pP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43.22</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2</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0.5</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3.46</w:t>
                  </w:r>
                </w:p>
              </w:tc>
              <w:tc>
                <w:tcPr>
                  <w:tcW w:w="250" w:type="pct"/>
                  <w:vMerge w:val="continue"/>
                  <w:vAlign w:val="center"/>
                </w:tcPr>
                <w:p>
                  <w:pPr>
                    <w:pageBreakBefore w:val="0"/>
                    <w:widowControl/>
                    <w:kinsoku/>
                    <w:wordWrap/>
                    <w:topLinePunct w:val="0"/>
                    <w:bidi w:val="0"/>
                    <w:ind w:left="0" w:leftChars="0" w:right="0" w:rightChars="0"/>
                    <w:jc w:val="center"/>
                    <w:rPr>
                      <w:color w:val="auto"/>
                      <w:highlight w:val="none"/>
                    </w:rPr>
                  </w:pP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313"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43.07</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3</w:t>
                  </w:r>
                </w:p>
              </w:tc>
              <w:tc>
                <w:tcPr>
                  <w:tcW w:w="248"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发电机房</w:t>
                  </w:r>
                </w:p>
              </w:tc>
              <w:tc>
                <w:tcPr>
                  <w:tcW w:w="719" w:type="pct"/>
                  <w:vAlign w:val="center"/>
                </w:tcPr>
                <w:p>
                  <w:pPr>
                    <w:pageBreakBefore w:val="0"/>
                    <w:widowControl/>
                    <w:kinsoku/>
                    <w:wordWrap/>
                    <w:topLinePunct w:val="0"/>
                    <w:bidi w:val="0"/>
                    <w:ind w:left="0" w:leftChars="0" w:right="0" w:rightChars="0"/>
                    <w:jc w:val="center"/>
                    <w:textAlignment w:val="center"/>
                    <w:rPr>
                      <w:rStyle w:val="46"/>
                      <w:rFonts w:hint="default" w:ascii="Times New Roman" w:hAnsi="Times New Roman" w:cs="Times New Roman"/>
                      <w:color w:val="auto"/>
                      <w:sz w:val="21"/>
                      <w:szCs w:val="21"/>
                      <w:highlight w:val="none"/>
                      <w:lang w:bidi="ar"/>
                    </w:rPr>
                  </w:pPr>
                  <w:r>
                    <w:rPr>
                      <w:rStyle w:val="46"/>
                      <w:rFonts w:hint="default" w:ascii="Times New Roman" w:hAnsi="Times New Roman" w:cs="Times New Roman"/>
                      <w:color w:val="auto"/>
                      <w:sz w:val="21"/>
                      <w:szCs w:val="21"/>
                      <w:highlight w:val="none"/>
                      <w:lang w:bidi="ar"/>
                    </w:rPr>
                    <w:t>柴油发电机</w:t>
                  </w:r>
                </w:p>
              </w:tc>
              <w:tc>
                <w:tcPr>
                  <w:tcW w:w="258" w:type="pct"/>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1台</w:t>
                  </w:r>
                </w:p>
              </w:tc>
              <w:tc>
                <w:tcPr>
                  <w:tcW w:w="253"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95</w:t>
                  </w:r>
                </w:p>
              </w:tc>
              <w:tc>
                <w:tcPr>
                  <w:tcW w:w="28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95</w:t>
                  </w:r>
                </w:p>
              </w:tc>
              <w:tc>
                <w:tcPr>
                  <w:tcW w:w="445" w:type="pct"/>
                  <w:vAlign w:val="center"/>
                </w:tcPr>
                <w:p>
                  <w:pPr>
                    <w:pStyle w:val="22"/>
                    <w:pageBreakBefore w:val="0"/>
                    <w:kinsoku/>
                    <w:wordWrap/>
                    <w:topLinePunct w:val="0"/>
                    <w:bidi w:val="0"/>
                    <w:spacing w:after="0"/>
                    <w:ind w:left="0" w:leftChars="0" w:right="0" w:rightChars="0" w:firstLine="0"/>
                    <w:jc w:val="center"/>
                    <w:rPr>
                      <w:color w:val="auto"/>
                      <w:sz w:val="21"/>
                      <w:highlight w:val="none"/>
                    </w:rPr>
                  </w:pPr>
                  <w:r>
                    <w:rPr>
                      <w:color w:val="auto"/>
                      <w:sz w:val="21"/>
                      <w:highlight w:val="none"/>
                    </w:rPr>
                    <w:t>室内安装、隔声、减振</w:t>
                  </w:r>
                </w:p>
              </w:tc>
              <w:tc>
                <w:tcPr>
                  <w:tcW w:w="809"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60.26</w:t>
                  </w:r>
                </w:p>
              </w:tc>
              <w:tc>
                <w:tcPr>
                  <w:tcW w:w="82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-6.24</w:t>
                  </w:r>
                </w:p>
              </w:tc>
              <w:tc>
                <w:tcPr>
                  <w:tcW w:w="615" w:type="dxa"/>
                  <w:vAlign w:val="center"/>
                </w:tcPr>
                <w:p>
                  <w:pPr>
                    <w:pageBreakBefore w:val="0"/>
                    <w:widowControl/>
                    <w:kinsoku/>
                    <w:wordWrap/>
                    <w:topLinePunct w:val="0"/>
                    <w:bidi w:val="0"/>
                    <w:ind w:left="0" w:leftChars="0" w:right="0" w:rightChars="0"/>
                    <w:jc w:val="center"/>
                    <w:textAlignment w:val="center"/>
                    <w:rPr>
                      <w:color w:val="auto"/>
                      <w:kern w:val="0"/>
                      <w:highlight w:val="none"/>
                      <w:lang w:bidi="ar"/>
                    </w:rPr>
                  </w:pPr>
                  <w:r>
                    <w:rPr>
                      <w:color w:val="auto"/>
                      <w:kern w:val="0"/>
                      <w:highlight w:val="none"/>
                      <w:lang w:bidi="ar"/>
                    </w:rPr>
                    <w:t>1</w:t>
                  </w:r>
                </w:p>
              </w:tc>
              <w:tc>
                <w:tcPr>
                  <w:tcW w:w="90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3.64</w:t>
                  </w:r>
                </w:p>
              </w:tc>
              <w:tc>
                <w:tcPr>
                  <w:tcW w:w="250"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偶发</w:t>
                  </w:r>
                </w:p>
              </w:tc>
              <w:tc>
                <w:tcPr>
                  <w:tcW w:w="355"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25</w:t>
                  </w:r>
                </w:p>
              </w:tc>
              <w:tc>
                <w:tcPr>
                  <w:tcW w:w="313"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64.29</w:t>
                  </w:r>
                </w:p>
              </w:tc>
              <w:tc>
                <w:tcPr>
                  <w:tcW w:w="341" w:type="pct"/>
                  <w:vAlign w:val="center"/>
                </w:tcPr>
                <w:p>
                  <w:pPr>
                    <w:pageBreakBefore w:val="0"/>
                    <w:widowControl/>
                    <w:kinsoku/>
                    <w:wordWrap/>
                    <w:topLinePunct w:val="0"/>
                    <w:bidi w:val="0"/>
                    <w:ind w:left="0" w:leftChars="0" w:right="0" w:rightChars="0"/>
                    <w:jc w:val="center"/>
                    <w:rPr>
                      <w:color w:val="auto"/>
                      <w:highlight w:val="none"/>
                    </w:rPr>
                  </w:pPr>
                  <w:r>
                    <w:rPr>
                      <w:color w:val="auto"/>
                      <w:highlight w:val="none"/>
                    </w:rPr>
                    <w:t>1</w:t>
                  </w:r>
                </w:p>
              </w:tc>
              <w:tc>
                <w:tcPr>
                  <w:tcW w:w="245" w:type="pct"/>
                  <w:vAlign w:val="center"/>
                </w:tcPr>
                <w:p>
                  <w:pPr>
                    <w:pageBreakBefore w:val="0"/>
                    <w:widowControl/>
                    <w:kinsoku/>
                    <w:wordWrap/>
                    <w:topLinePunct w:val="0"/>
                    <w:bidi w:val="0"/>
                    <w:ind w:left="0" w:leftChars="0" w:right="0" w:rightChars="0"/>
                    <w:jc w:val="center"/>
                    <w:rPr>
                      <w:color w:val="auto"/>
                      <w:highlight w:val="none"/>
                    </w:rPr>
                  </w:pPr>
                </w:p>
              </w:tc>
            </w:tr>
          </w:tbl>
          <w:p>
            <w:pPr>
              <w:pStyle w:val="22"/>
              <w:pageBreakBefore w:val="0"/>
              <w:kinsoku/>
              <w:wordWrap/>
              <w:topLinePunct w:val="0"/>
              <w:bidi w:val="0"/>
              <w:spacing w:after="0" w:line="360" w:lineRule="auto"/>
              <w:ind w:left="0" w:leftChars="0" w:right="0" w:rightChars="0" w:firstLine="0"/>
              <w:jc w:val="both"/>
              <w:rPr>
                <w:color w:val="auto"/>
                <w:highlight w:val="none"/>
              </w:rPr>
            </w:pPr>
          </w:p>
        </w:tc>
      </w:tr>
    </w:tbl>
    <w:p>
      <w:pPr>
        <w:pStyle w:val="22"/>
        <w:pageBreakBefore w:val="0"/>
        <w:kinsoku/>
        <w:wordWrap/>
        <w:topLinePunct w:val="0"/>
        <w:bidi w:val="0"/>
        <w:spacing w:after="0" w:line="360" w:lineRule="auto"/>
        <w:ind w:left="0" w:leftChars="0" w:right="0" w:rightChars="0" w:firstLine="0"/>
        <w:jc w:val="center"/>
        <w:rPr>
          <w:color w:val="auto"/>
          <w:highlight w:val="none"/>
        </w:rPr>
        <w:sectPr>
          <w:pgSz w:w="16838" w:h="11906" w:orient="landscape"/>
          <w:pgMar w:top="1134" w:right="1440" w:bottom="1134" w:left="1440" w:header="851" w:footer="992" w:gutter="0"/>
          <w:cols w:space="0"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 w:type="dxa"/>
            <w:vAlign w:val="center"/>
          </w:tcPr>
          <w:p>
            <w:pPr>
              <w:pageBreakBefore w:val="0"/>
              <w:kinsoku/>
              <w:wordWrap/>
              <w:topLinePunct w:val="0"/>
              <w:bidi w:val="0"/>
              <w:spacing w:line="360" w:lineRule="auto"/>
              <w:ind w:left="0" w:leftChars="0" w:right="0" w:rightChars="0"/>
              <w:jc w:val="center"/>
              <w:rPr>
                <w:color w:val="auto"/>
                <w:sz w:val="24"/>
                <w:szCs w:val="24"/>
                <w:highlight w:val="none"/>
                <w:lang w:bidi="ar"/>
              </w:rPr>
            </w:pPr>
            <w:r>
              <w:rPr>
                <w:color w:val="auto"/>
                <w:sz w:val="24"/>
                <w:szCs w:val="24"/>
                <w:highlight w:val="none"/>
                <w:lang w:bidi="ar"/>
              </w:rPr>
              <w:t>运营期环境影响和保护措施</w:t>
            </w:r>
          </w:p>
        </w:tc>
        <w:tc>
          <w:tcPr>
            <w:tcW w:w="9373" w:type="dxa"/>
          </w:tcPr>
          <w:p>
            <w:pPr>
              <w:pageBreakBefore w:val="0"/>
              <w:kinsoku/>
              <w:wordWrap/>
              <w:topLinePunct w:val="0"/>
              <w:bidi w:val="0"/>
              <w:adjustRightIn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2、预测模式</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本次评价采用《环境影响评价技术导则声环境》（HJ2.4-2021）中推荐模式进行预测，用A声级计算，模式如下：</w:t>
            </w:r>
          </w:p>
          <w:p>
            <w:pPr>
              <w:pageBreakBefore w:val="0"/>
              <w:kinsoku/>
              <w:wordWrap/>
              <w:topLinePunct w:val="0"/>
              <w:bidi w:val="0"/>
              <w:adjustRightInd w:val="0"/>
              <w:spacing w:line="360" w:lineRule="auto"/>
              <w:ind w:left="0" w:leftChars="0" w:right="0" w:rightChars="0" w:firstLine="482" w:firstLineChars="200"/>
              <w:rPr>
                <w:color w:val="auto"/>
                <w:sz w:val="24"/>
                <w:szCs w:val="24"/>
                <w:highlight w:val="none"/>
              </w:rPr>
            </w:pPr>
            <w:r>
              <w:rPr>
                <w:b/>
                <w:bCs/>
                <w:color w:val="auto"/>
                <w:sz w:val="24"/>
                <w:szCs w:val="24"/>
                <w:highlight w:val="none"/>
              </w:rPr>
              <w:t>（1）室外声源</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在预测点的声压级计算：</w:t>
            </w:r>
          </w:p>
          <w:p>
            <w:pPr>
              <w:pageBreakBefore w:val="0"/>
              <w:kinsoku/>
              <w:wordWrap/>
              <w:topLinePunct w:val="0"/>
              <w:bidi w:val="0"/>
              <w:spacing w:line="360" w:lineRule="auto"/>
              <w:ind w:left="0" w:leftChars="0" w:right="0" w:rightChars="0" w:firstLine="480" w:firstLineChars="200"/>
              <w:jc w:val="center"/>
              <w:rPr>
                <w:color w:val="auto"/>
                <w:sz w:val="24"/>
                <w:szCs w:val="24"/>
                <w:highlight w:val="none"/>
              </w:rPr>
            </w:pPr>
            <w:r>
              <w:rPr>
                <w:color w:val="auto"/>
                <w:sz w:val="24"/>
                <w:szCs w:val="24"/>
                <w:highlight w:val="none"/>
              </w:rPr>
              <w:t>L</w:t>
            </w:r>
            <w:r>
              <w:rPr>
                <w:color w:val="auto"/>
                <w:sz w:val="24"/>
                <w:szCs w:val="24"/>
                <w:highlight w:val="none"/>
                <w:vertAlign w:val="subscript"/>
              </w:rPr>
              <w:t>p</w:t>
            </w:r>
            <w:r>
              <w:rPr>
                <w:color w:val="auto"/>
                <w:sz w:val="24"/>
                <w:szCs w:val="24"/>
                <w:highlight w:val="none"/>
              </w:rPr>
              <w:t>（r）＝L</w:t>
            </w:r>
            <w:r>
              <w:rPr>
                <w:color w:val="auto"/>
                <w:sz w:val="24"/>
                <w:szCs w:val="24"/>
                <w:highlight w:val="none"/>
                <w:vertAlign w:val="subscript"/>
              </w:rPr>
              <w:t>w</w:t>
            </w:r>
            <w:r>
              <w:rPr>
                <w:color w:val="auto"/>
                <w:sz w:val="24"/>
                <w:szCs w:val="24"/>
                <w:highlight w:val="none"/>
              </w:rPr>
              <w:t>+D</w:t>
            </w:r>
            <w:r>
              <w:rPr>
                <w:color w:val="auto"/>
                <w:sz w:val="24"/>
                <w:szCs w:val="24"/>
                <w:highlight w:val="none"/>
                <w:vertAlign w:val="subscript"/>
              </w:rPr>
              <w:t>C</w:t>
            </w:r>
            <w:r>
              <w:rPr>
                <w:color w:val="auto"/>
                <w:sz w:val="24"/>
                <w:szCs w:val="24"/>
                <w:highlight w:val="none"/>
              </w:rPr>
              <w:t>－（A</w:t>
            </w:r>
            <w:r>
              <w:rPr>
                <w:color w:val="auto"/>
                <w:sz w:val="24"/>
                <w:szCs w:val="24"/>
                <w:highlight w:val="none"/>
                <w:vertAlign w:val="subscript"/>
              </w:rPr>
              <w:t>dⅣ</w:t>
            </w:r>
            <w:r>
              <w:rPr>
                <w:color w:val="auto"/>
                <w:sz w:val="24"/>
                <w:szCs w:val="24"/>
                <w:highlight w:val="none"/>
              </w:rPr>
              <w:t>＋A</w:t>
            </w:r>
            <w:r>
              <w:rPr>
                <w:color w:val="auto"/>
                <w:sz w:val="24"/>
                <w:szCs w:val="24"/>
                <w:highlight w:val="none"/>
                <w:vertAlign w:val="subscript"/>
              </w:rPr>
              <w:t>atm</w:t>
            </w:r>
            <w:r>
              <w:rPr>
                <w:color w:val="auto"/>
                <w:sz w:val="24"/>
                <w:szCs w:val="24"/>
                <w:highlight w:val="none"/>
              </w:rPr>
              <w:t>＋A</w:t>
            </w:r>
            <w:r>
              <w:rPr>
                <w:color w:val="auto"/>
                <w:sz w:val="24"/>
                <w:szCs w:val="24"/>
                <w:highlight w:val="none"/>
                <w:vertAlign w:val="subscript"/>
              </w:rPr>
              <w:t>gr</w:t>
            </w:r>
            <w:r>
              <w:rPr>
                <w:color w:val="auto"/>
                <w:sz w:val="24"/>
                <w:szCs w:val="24"/>
                <w:highlight w:val="none"/>
              </w:rPr>
              <w:t>＋A</w:t>
            </w:r>
            <w:r>
              <w:rPr>
                <w:color w:val="auto"/>
                <w:sz w:val="24"/>
                <w:szCs w:val="24"/>
                <w:highlight w:val="none"/>
                <w:vertAlign w:val="subscript"/>
              </w:rPr>
              <w:t>bar</w:t>
            </w:r>
            <w:r>
              <w:rPr>
                <w:color w:val="auto"/>
                <w:sz w:val="24"/>
                <w:szCs w:val="24"/>
                <w:highlight w:val="none"/>
              </w:rPr>
              <w:t>＋A</w:t>
            </w:r>
            <w:r>
              <w:rPr>
                <w:color w:val="auto"/>
                <w:sz w:val="24"/>
                <w:szCs w:val="24"/>
                <w:highlight w:val="none"/>
                <w:vertAlign w:val="subscript"/>
              </w:rPr>
              <w:t>misc</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式中：L</w:t>
            </w:r>
            <w:r>
              <w:rPr>
                <w:color w:val="auto"/>
                <w:sz w:val="24"/>
                <w:szCs w:val="24"/>
                <w:highlight w:val="none"/>
                <w:vertAlign w:val="subscript"/>
              </w:rPr>
              <w:t>p</w:t>
            </w:r>
            <w:r>
              <w:rPr>
                <w:color w:val="auto"/>
                <w:sz w:val="24"/>
                <w:szCs w:val="24"/>
                <w:highlight w:val="none"/>
              </w:rPr>
              <w:t>（r）——预测点处声压级，dB；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w</w:t>
            </w:r>
            <w:r>
              <w:rPr>
                <w:color w:val="auto"/>
                <w:sz w:val="24"/>
                <w:szCs w:val="24"/>
                <w:highlight w:val="none"/>
              </w:rPr>
              <w:t>——由点声源产生的声功率级（A计权或倍频带），dB；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D</w:t>
            </w:r>
            <w:r>
              <w:rPr>
                <w:color w:val="auto"/>
                <w:sz w:val="24"/>
                <w:szCs w:val="24"/>
                <w:highlight w:val="none"/>
                <w:vertAlign w:val="subscript"/>
              </w:rPr>
              <w:t>C</w:t>
            </w:r>
            <w:r>
              <w:rPr>
                <w:color w:val="auto"/>
                <w:sz w:val="24"/>
                <w:szCs w:val="24"/>
                <w:highlight w:val="none"/>
              </w:rPr>
              <w:t>——指向性校正，它描述点声源的等效连续声压级与产生声功率级L</w:t>
            </w:r>
            <w:r>
              <w:rPr>
                <w:color w:val="auto"/>
                <w:sz w:val="24"/>
                <w:szCs w:val="24"/>
                <w:highlight w:val="none"/>
                <w:vertAlign w:val="subscript"/>
              </w:rPr>
              <w:t>w</w:t>
            </w:r>
            <w:r>
              <w:rPr>
                <w:color w:val="auto"/>
                <w:sz w:val="24"/>
                <w:szCs w:val="24"/>
                <w:highlight w:val="none"/>
              </w:rPr>
              <w:t>的全向点声源在规定方向的声级的偏差程度，dB；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A</w:t>
            </w:r>
            <w:r>
              <w:rPr>
                <w:color w:val="auto"/>
                <w:sz w:val="24"/>
                <w:szCs w:val="24"/>
                <w:highlight w:val="none"/>
                <w:vertAlign w:val="subscript"/>
              </w:rPr>
              <w:t>dⅣ</w:t>
            </w:r>
            <w:r>
              <w:rPr>
                <w:color w:val="auto"/>
                <w:sz w:val="24"/>
                <w:szCs w:val="24"/>
                <w:highlight w:val="none"/>
              </w:rPr>
              <w:t>——几何发散引起的衰减，dB；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A</w:t>
            </w:r>
            <w:r>
              <w:rPr>
                <w:color w:val="auto"/>
                <w:sz w:val="24"/>
                <w:szCs w:val="24"/>
                <w:highlight w:val="none"/>
                <w:vertAlign w:val="subscript"/>
              </w:rPr>
              <w:t>atm</w:t>
            </w:r>
            <w:r>
              <w:rPr>
                <w:color w:val="auto"/>
                <w:sz w:val="24"/>
                <w:szCs w:val="24"/>
                <w:highlight w:val="none"/>
              </w:rPr>
              <w:t>——大气吸收引起的衰减，dB；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A</w:t>
            </w:r>
            <w:r>
              <w:rPr>
                <w:color w:val="auto"/>
                <w:sz w:val="24"/>
                <w:szCs w:val="24"/>
                <w:highlight w:val="none"/>
                <w:vertAlign w:val="subscript"/>
              </w:rPr>
              <w:t>gr</w:t>
            </w:r>
            <w:r>
              <w:rPr>
                <w:color w:val="auto"/>
                <w:sz w:val="24"/>
                <w:szCs w:val="24"/>
                <w:highlight w:val="none"/>
              </w:rPr>
              <w:t>——地面效应引起的衰减，dB；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A</w:t>
            </w:r>
            <w:r>
              <w:rPr>
                <w:color w:val="auto"/>
                <w:sz w:val="24"/>
                <w:szCs w:val="24"/>
                <w:highlight w:val="none"/>
                <w:vertAlign w:val="subscript"/>
              </w:rPr>
              <w:t>bar</w:t>
            </w:r>
            <w:r>
              <w:rPr>
                <w:color w:val="auto"/>
                <w:sz w:val="24"/>
                <w:szCs w:val="24"/>
                <w:highlight w:val="none"/>
              </w:rPr>
              <w:t>——障碍物屏蔽引起的衰减，dB；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A</w:t>
            </w:r>
            <w:r>
              <w:rPr>
                <w:color w:val="auto"/>
                <w:sz w:val="24"/>
                <w:szCs w:val="24"/>
                <w:highlight w:val="none"/>
                <w:vertAlign w:val="subscript"/>
              </w:rPr>
              <w:t>misc</w:t>
            </w:r>
            <w:r>
              <w:rPr>
                <w:color w:val="auto"/>
                <w:sz w:val="24"/>
                <w:szCs w:val="24"/>
                <w:highlight w:val="none"/>
              </w:rPr>
              <w:t>——其他多方面效应引起的衰减，dB。</w:t>
            </w:r>
          </w:p>
          <w:p>
            <w:pPr>
              <w:pageBreakBefore w:val="0"/>
              <w:kinsoku/>
              <w:wordWrap/>
              <w:topLinePunct w:val="0"/>
              <w:bidi w:val="0"/>
              <w:adjustRightIn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（2）室内声源在预测点的声压级计算</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①首先计算某个室内声源在靠近围护结构处的声压级：</w:t>
            </w:r>
          </w:p>
          <w:p>
            <w:pPr>
              <w:pageBreakBefore w:val="0"/>
              <w:kinsoku/>
              <w:wordWrap/>
              <w:topLinePunct w:val="0"/>
              <w:bidi w:val="0"/>
              <w:adjustRightInd w:val="0"/>
              <w:spacing w:line="360" w:lineRule="auto"/>
              <w:ind w:left="0" w:leftChars="0" w:right="0" w:rightChars="0"/>
              <w:jc w:val="center"/>
              <w:rPr>
                <w:color w:val="auto"/>
                <w:sz w:val="24"/>
                <w:szCs w:val="24"/>
                <w:highlight w:val="none"/>
              </w:rPr>
            </w:pPr>
            <w:r>
              <w:rPr>
                <w:color w:val="auto"/>
                <w:highlight w:val="none"/>
              </w:rPr>
              <w:drawing>
                <wp:inline distT="0" distB="0" distL="114300" distR="114300">
                  <wp:extent cx="3302635" cy="775970"/>
                  <wp:effectExtent l="0" t="0" r="12065" b="508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29"/>
                          <a:stretch>
                            <a:fillRect/>
                          </a:stretch>
                        </pic:blipFill>
                        <pic:spPr>
                          <a:xfrm>
                            <a:off x="0" y="0"/>
                            <a:ext cx="3302635" cy="77597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p1</w:t>
            </w:r>
            <w:r>
              <w:rPr>
                <w:color w:val="auto"/>
                <w:sz w:val="24"/>
                <w:szCs w:val="24"/>
                <w:highlight w:val="none"/>
              </w:rPr>
              <w:t>——靠近开口处（或窗户）室内某倍频带的声压级或A声级，dB；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Lw——点声源声功率级（A计权或倍频带），dB；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Q——指向性因数；通常对无指向性声源，当声源放在房间中心时，Q=1；当放在一面墙的中心时，Q=2；当放在两面墙夹角处时，Q=4；当放在三面墙夹角处时，Q=8；</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R——房间常数；R=Sα/（1-α），S为房间内表面面积，m</w:t>
            </w:r>
            <w:r>
              <w:rPr>
                <w:color w:val="auto"/>
                <w:sz w:val="24"/>
                <w:szCs w:val="24"/>
                <w:highlight w:val="none"/>
                <w:vertAlign w:val="superscript"/>
              </w:rPr>
              <w:t>2</w:t>
            </w:r>
            <w:r>
              <w:rPr>
                <w:color w:val="auto"/>
                <w:sz w:val="24"/>
                <w:szCs w:val="24"/>
                <w:highlight w:val="none"/>
              </w:rPr>
              <w:t>；α为平均吸声系数；</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r——声源到靠近围护结构某点处的距离，m。</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②然后计算出所有室内声源在围护结构处产生的i倍频带叠加声压级：</w:t>
            </w:r>
          </w:p>
          <w:p>
            <w:pPr>
              <w:pageBreakBefore w:val="0"/>
              <w:kinsoku/>
              <w:wordWrap/>
              <w:topLinePunct w:val="0"/>
              <w:bidi w:val="0"/>
              <w:spacing w:line="360" w:lineRule="auto"/>
              <w:ind w:left="0" w:leftChars="0" w:right="0" w:rightChars="0"/>
              <w:jc w:val="center"/>
              <w:rPr>
                <w:color w:val="auto"/>
                <w:sz w:val="24"/>
                <w:szCs w:val="24"/>
                <w:highlight w:val="none"/>
              </w:rPr>
            </w:pPr>
            <w:r>
              <w:rPr>
                <w:color w:val="auto"/>
                <w:sz w:val="24"/>
                <w:szCs w:val="24"/>
                <w:highlight w:val="none"/>
              </w:rPr>
              <w:drawing>
                <wp:inline distT="0" distB="0" distL="114300" distR="114300">
                  <wp:extent cx="3327400" cy="863600"/>
                  <wp:effectExtent l="0" t="0" r="6350" b="1270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0"/>
                          <a:stretch>
                            <a:fillRect/>
                          </a:stretch>
                        </pic:blipFill>
                        <pic:spPr>
                          <a:xfrm>
                            <a:off x="0" y="0"/>
                            <a:ext cx="3327400" cy="86360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pli（T）</w:t>
            </w:r>
            <w:r>
              <w:rPr>
                <w:color w:val="auto"/>
                <w:sz w:val="24"/>
                <w:szCs w:val="24"/>
                <w:highlight w:val="none"/>
              </w:rPr>
              <w:t>——靠近围护结构处室内N个声源i倍频带的叠加声压级，dB；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pli</w:t>
            </w:r>
            <w:r>
              <w:rPr>
                <w:color w:val="auto"/>
                <w:sz w:val="24"/>
                <w:szCs w:val="24"/>
                <w:highlight w:val="none"/>
              </w:rPr>
              <w:t>——室内j声源i倍频带的声压级，dB；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N——室内声源总数。</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③计算出室外靠近围护结构处的声压级：</w:t>
            </w:r>
          </w:p>
          <w:p>
            <w:pPr>
              <w:pageBreakBefore w:val="0"/>
              <w:kinsoku/>
              <w:wordWrap/>
              <w:topLinePunct w:val="0"/>
              <w:bidi w:val="0"/>
              <w:spacing w:line="360" w:lineRule="auto"/>
              <w:ind w:left="0" w:leftChars="0" w:right="0" w:rightChars="0" w:firstLine="480" w:firstLineChars="200"/>
              <w:jc w:val="center"/>
              <w:rPr>
                <w:color w:val="auto"/>
                <w:sz w:val="24"/>
                <w:szCs w:val="24"/>
                <w:highlight w:val="none"/>
              </w:rPr>
            </w:pPr>
            <w:r>
              <w:rPr>
                <w:color w:val="auto"/>
                <w:sz w:val="24"/>
                <w:szCs w:val="24"/>
                <w:highlight w:val="none"/>
              </w:rPr>
              <w:t>L</w:t>
            </w:r>
            <w:r>
              <w:rPr>
                <w:color w:val="auto"/>
                <w:sz w:val="24"/>
                <w:szCs w:val="24"/>
                <w:highlight w:val="none"/>
                <w:vertAlign w:val="subscript"/>
              </w:rPr>
              <w:t>p2i</w:t>
            </w:r>
            <w:r>
              <w:rPr>
                <w:color w:val="auto"/>
                <w:sz w:val="24"/>
                <w:szCs w:val="24"/>
                <w:highlight w:val="none"/>
              </w:rPr>
              <w:t>（T）=L</w:t>
            </w:r>
            <w:r>
              <w:rPr>
                <w:color w:val="auto"/>
                <w:sz w:val="24"/>
                <w:szCs w:val="24"/>
                <w:highlight w:val="none"/>
                <w:vertAlign w:val="subscript"/>
              </w:rPr>
              <w:t>pli</w:t>
            </w:r>
            <w:r>
              <w:rPr>
                <w:color w:val="auto"/>
                <w:sz w:val="24"/>
                <w:szCs w:val="24"/>
                <w:highlight w:val="none"/>
              </w:rPr>
              <w:t>（T）-（TL</w:t>
            </w:r>
            <w:r>
              <w:rPr>
                <w:color w:val="auto"/>
                <w:sz w:val="24"/>
                <w:szCs w:val="24"/>
                <w:highlight w:val="none"/>
                <w:vertAlign w:val="subscript"/>
              </w:rPr>
              <w:t>i</w:t>
            </w:r>
            <w:r>
              <w:rPr>
                <w:color w:val="auto"/>
                <w:sz w:val="24"/>
                <w:szCs w:val="24"/>
                <w:highlight w:val="none"/>
              </w:rPr>
              <w:t>+6）</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p2i</w:t>
            </w:r>
            <w:r>
              <w:rPr>
                <w:color w:val="auto"/>
                <w:sz w:val="24"/>
                <w:szCs w:val="24"/>
                <w:highlight w:val="none"/>
              </w:rPr>
              <w:t>（T）——靠近围护结构处室外N个声源i倍频带的叠加声压级，dB；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pli</w:t>
            </w:r>
            <w:r>
              <w:rPr>
                <w:color w:val="auto"/>
                <w:sz w:val="24"/>
                <w:szCs w:val="24"/>
                <w:highlight w:val="none"/>
              </w:rPr>
              <w:t>（T）——靠近围护结构处室内N个声源i倍频带的叠加声压级，dB；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TL</w:t>
            </w:r>
            <w:r>
              <w:rPr>
                <w:color w:val="auto"/>
                <w:sz w:val="24"/>
                <w:szCs w:val="24"/>
                <w:highlight w:val="none"/>
                <w:vertAlign w:val="subscript"/>
              </w:rPr>
              <w:t>i</w:t>
            </w:r>
            <w:r>
              <w:rPr>
                <w:color w:val="auto"/>
                <w:sz w:val="24"/>
                <w:szCs w:val="24"/>
                <w:highlight w:val="none"/>
              </w:rPr>
              <w:t>——围护结构i倍频带的隔声量，dB。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④将室外声级和透声面积换算成等效的室外声源，计算出等效声源第i个倍频带的声功率级：</w:t>
            </w:r>
          </w:p>
          <w:p>
            <w:pPr>
              <w:pageBreakBefore w:val="0"/>
              <w:kinsoku/>
              <w:wordWrap/>
              <w:topLinePunct w:val="0"/>
              <w:bidi w:val="0"/>
              <w:spacing w:line="360" w:lineRule="auto"/>
              <w:ind w:left="0" w:leftChars="0" w:right="0" w:rightChars="0" w:firstLine="480" w:firstLineChars="200"/>
              <w:jc w:val="center"/>
              <w:rPr>
                <w:color w:val="auto"/>
                <w:sz w:val="24"/>
                <w:szCs w:val="24"/>
                <w:highlight w:val="none"/>
              </w:rPr>
            </w:pPr>
            <w:r>
              <w:rPr>
                <w:color w:val="auto"/>
                <w:sz w:val="24"/>
                <w:szCs w:val="24"/>
                <w:highlight w:val="none"/>
              </w:rPr>
              <w:t>L</w:t>
            </w:r>
            <w:r>
              <w:rPr>
                <w:color w:val="auto"/>
                <w:sz w:val="24"/>
                <w:szCs w:val="24"/>
                <w:highlight w:val="none"/>
                <w:vertAlign w:val="subscript"/>
              </w:rPr>
              <w:t>w</w:t>
            </w:r>
            <w:r>
              <w:rPr>
                <w:color w:val="auto"/>
                <w:sz w:val="24"/>
                <w:szCs w:val="24"/>
                <w:highlight w:val="none"/>
              </w:rPr>
              <w:t>=L</w:t>
            </w:r>
            <w:r>
              <w:rPr>
                <w:color w:val="auto"/>
                <w:sz w:val="24"/>
                <w:szCs w:val="24"/>
                <w:highlight w:val="none"/>
                <w:vertAlign w:val="subscript"/>
              </w:rPr>
              <w:t>p2</w:t>
            </w:r>
            <w:r>
              <w:rPr>
                <w:color w:val="auto"/>
                <w:sz w:val="24"/>
                <w:szCs w:val="24"/>
                <w:highlight w:val="none"/>
              </w:rPr>
              <w:t>（T）+10lgS</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w</w:t>
            </w:r>
            <w:r>
              <w:rPr>
                <w:color w:val="auto"/>
                <w:sz w:val="24"/>
                <w:szCs w:val="24"/>
                <w:highlight w:val="none"/>
              </w:rPr>
              <w:t>——中心位置位于透声面积（S）处的等效声源的倍频带声功率级，dB；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p2</w:t>
            </w:r>
            <w:r>
              <w:rPr>
                <w:color w:val="auto"/>
                <w:sz w:val="24"/>
                <w:szCs w:val="24"/>
                <w:highlight w:val="none"/>
              </w:rPr>
              <w:t>（T）——靠近围护结构处室外声源的声压级，dB；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S——透声面积，m</w:t>
            </w:r>
            <w:r>
              <w:rPr>
                <w:color w:val="auto"/>
                <w:sz w:val="24"/>
                <w:szCs w:val="24"/>
                <w:highlight w:val="none"/>
                <w:vertAlign w:val="superscript"/>
              </w:rPr>
              <w:t>2</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⑤等效室外声源的位置为围护结构的位置，其声功率级为L</w:t>
            </w:r>
            <w:r>
              <w:rPr>
                <w:color w:val="auto"/>
                <w:sz w:val="24"/>
                <w:szCs w:val="24"/>
                <w:highlight w:val="none"/>
                <w:vertAlign w:val="subscript"/>
              </w:rPr>
              <w:t>w</w:t>
            </w:r>
            <w:r>
              <w:rPr>
                <w:color w:val="auto"/>
                <w:sz w:val="24"/>
                <w:szCs w:val="24"/>
                <w:highlight w:val="none"/>
              </w:rPr>
              <w:t>，由此计算等效声源在预测点产生的声级。</w:t>
            </w:r>
          </w:p>
          <w:p>
            <w:pPr>
              <w:pageBreakBefore w:val="0"/>
              <w:kinsoku/>
              <w:wordWrap/>
              <w:topLinePunct w:val="0"/>
              <w:bidi w:val="0"/>
              <w:adjustRightIn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（3）总声级的计算</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设第i个室外声源在预测点产生的A声级为L</w:t>
            </w:r>
            <w:r>
              <w:rPr>
                <w:color w:val="auto"/>
                <w:sz w:val="24"/>
                <w:szCs w:val="24"/>
                <w:highlight w:val="none"/>
                <w:vertAlign w:val="subscript"/>
              </w:rPr>
              <w:t>Ai</w:t>
            </w:r>
            <w:r>
              <w:rPr>
                <w:color w:val="auto"/>
                <w:sz w:val="24"/>
                <w:szCs w:val="24"/>
                <w:highlight w:val="none"/>
              </w:rPr>
              <w:t>，在T时间内该声源工作时间为t</w:t>
            </w:r>
            <w:r>
              <w:rPr>
                <w:color w:val="auto"/>
                <w:sz w:val="24"/>
                <w:szCs w:val="24"/>
                <w:highlight w:val="none"/>
                <w:vertAlign w:val="subscript"/>
              </w:rPr>
              <w:t>i</w:t>
            </w:r>
            <w:r>
              <w:rPr>
                <w:color w:val="auto"/>
                <w:sz w:val="24"/>
                <w:szCs w:val="24"/>
                <w:highlight w:val="none"/>
              </w:rPr>
              <w:t>；第j个等效室外声源在预测点产生的A声级为L</w:t>
            </w:r>
            <w:r>
              <w:rPr>
                <w:color w:val="auto"/>
                <w:sz w:val="24"/>
                <w:szCs w:val="24"/>
                <w:highlight w:val="none"/>
                <w:vertAlign w:val="subscript"/>
              </w:rPr>
              <w:t>Aj</w:t>
            </w:r>
            <w:r>
              <w:rPr>
                <w:color w:val="auto"/>
                <w:sz w:val="24"/>
                <w:szCs w:val="24"/>
                <w:highlight w:val="none"/>
              </w:rPr>
              <w:t>，在T时间内该声源工作时间为t</w:t>
            </w:r>
            <w:r>
              <w:rPr>
                <w:color w:val="auto"/>
                <w:sz w:val="24"/>
                <w:szCs w:val="24"/>
                <w:highlight w:val="none"/>
                <w:vertAlign w:val="subscript"/>
              </w:rPr>
              <w:t>j</w:t>
            </w:r>
            <w:r>
              <w:rPr>
                <w:color w:val="auto"/>
                <w:sz w:val="24"/>
                <w:szCs w:val="24"/>
                <w:highlight w:val="none"/>
              </w:rPr>
              <w:t>，则拟建工程声源对预测点产生的贡献值（L</w:t>
            </w:r>
            <w:r>
              <w:rPr>
                <w:color w:val="auto"/>
                <w:sz w:val="24"/>
                <w:szCs w:val="24"/>
                <w:highlight w:val="none"/>
                <w:vertAlign w:val="subscript"/>
              </w:rPr>
              <w:t>eqg</w:t>
            </w:r>
            <w:r>
              <w:rPr>
                <w:color w:val="auto"/>
                <w:sz w:val="24"/>
                <w:szCs w:val="24"/>
                <w:highlight w:val="none"/>
              </w:rPr>
              <w:t>）为：</w:t>
            </w:r>
          </w:p>
          <w:p>
            <w:pPr>
              <w:pageBreakBefore w:val="0"/>
              <w:kinsoku/>
              <w:wordWrap/>
              <w:topLinePunct w:val="0"/>
              <w:bidi w:val="0"/>
              <w:spacing w:line="360" w:lineRule="auto"/>
              <w:ind w:left="0" w:leftChars="0" w:right="0" w:rightChars="0"/>
              <w:jc w:val="center"/>
              <w:rPr>
                <w:color w:val="auto"/>
                <w:sz w:val="24"/>
                <w:szCs w:val="24"/>
                <w:highlight w:val="none"/>
              </w:rPr>
            </w:pPr>
            <w:r>
              <w:rPr>
                <w:color w:val="auto"/>
                <w:sz w:val="24"/>
                <w:szCs w:val="24"/>
                <w:highlight w:val="none"/>
              </w:rPr>
              <w:drawing>
                <wp:inline distT="0" distB="0" distL="114300" distR="114300">
                  <wp:extent cx="3433445" cy="715010"/>
                  <wp:effectExtent l="0" t="0" r="1460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1"/>
                          <a:stretch>
                            <a:fillRect/>
                          </a:stretch>
                        </pic:blipFill>
                        <pic:spPr>
                          <a:xfrm>
                            <a:off x="0" y="0"/>
                            <a:ext cx="3433445" cy="71501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式中：</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L</w:t>
            </w:r>
            <w:r>
              <w:rPr>
                <w:color w:val="auto"/>
                <w:sz w:val="24"/>
                <w:szCs w:val="24"/>
                <w:highlight w:val="none"/>
                <w:vertAlign w:val="subscript"/>
              </w:rPr>
              <w:t>eqg</w:t>
            </w:r>
            <w:r>
              <w:rPr>
                <w:color w:val="auto"/>
                <w:sz w:val="24"/>
                <w:szCs w:val="24"/>
                <w:highlight w:val="none"/>
              </w:rPr>
              <w:t>——建设项目声源在预测点产生的噪声贡献值，dB；</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T——用于计算等效声级的时间，s；</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N——室外声源个数；</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t</w:t>
            </w:r>
            <w:r>
              <w:rPr>
                <w:color w:val="auto"/>
                <w:sz w:val="24"/>
                <w:szCs w:val="24"/>
                <w:highlight w:val="none"/>
                <w:vertAlign w:val="subscript"/>
              </w:rPr>
              <w:t>i</w:t>
            </w:r>
            <w:r>
              <w:rPr>
                <w:color w:val="auto"/>
                <w:sz w:val="24"/>
                <w:szCs w:val="24"/>
                <w:highlight w:val="none"/>
              </w:rPr>
              <w:t>——在T时间内i声源工作时间，s；</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M——等效室外声源个数；</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t</w:t>
            </w:r>
            <w:r>
              <w:rPr>
                <w:color w:val="auto"/>
                <w:sz w:val="24"/>
                <w:szCs w:val="24"/>
                <w:highlight w:val="none"/>
                <w:vertAlign w:val="subscript"/>
              </w:rPr>
              <w:t>j</w:t>
            </w:r>
            <w:r>
              <w:rPr>
                <w:color w:val="auto"/>
                <w:sz w:val="24"/>
                <w:szCs w:val="24"/>
                <w:highlight w:val="none"/>
              </w:rPr>
              <w:t>——在T时间内j声源工作时间，s。</w:t>
            </w:r>
          </w:p>
          <w:p>
            <w:pPr>
              <w:pageBreakBefore w:val="0"/>
              <w:kinsoku/>
              <w:wordWrap/>
              <w:topLinePunct w:val="0"/>
              <w:bidi w:val="0"/>
              <w:adjustRightIn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2、参数确定</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（1）声波几何发散引起的A声级衰减量：</w:t>
            </w:r>
          </w:p>
          <w:p>
            <w:pPr>
              <w:pageBreakBefore w:val="0"/>
              <w:kinsoku/>
              <w:wordWrap/>
              <w:topLinePunct w:val="0"/>
              <w:bidi w:val="0"/>
              <w:spacing w:line="360" w:lineRule="auto"/>
              <w:ind w:left="0" w:leftChars="0" w:right="0" w:rightChars="0" w:firstLine="480" w:firstLineChars="200"/>
              <w:jc w:val="center"/>
              <w:rPr>
                <w:color w:val="auto"/>
                <w:sz w:val="24"/>
                <w:szCs w:val="24"/>
                <w:highlight w:val="none"/>
              </w:rPr>
            </w:pPr>
            <w:r>
              <w:rPr>
                <w:color w:val="auto"/>
                <w:sz w:val="24"/>
                <w:szCs w:val="24"/>
                <w:highlight w:val="none"/>
              </w:rPr>
              <w:t>点声源A</w:t>
            </w:r>
            <w:r>
              <w:rPr>
                <w:color w:val="auto"/>
                <w:sz w:val="24"/>
                <w:szCs w:val="24"/>
                <w:highlight w:val="none"/>
                <w:vertAlign w:val="subscript"/>
              </w:rPr>
              <w:t>dⅣ</w:t>
            </w:r>
            <w:r>
              <w:rPr>
                <w:color w:val="auto"/>
                <w:sz w:val="24"/>
                <w:szCs w:val="24"/>
                <w:highlight w:val="none"/>
              </w:rPr>
              <w:t>=201g（r/r</w:t>
            </w:r>
            <w:r>
              <w:rPr>
                <w:color w:val="auto"/>
                <w:sz w:val="24"/>
                <w:szCs w:val="24"/>
                <w:highlight w:val="none"/>
                <w:vertAlign w:val="subscript"/>
              </w:rPr>
              <w:t>0</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vertAlign w:val="subscript"/>
              </w:rPr>
            </w:pPr>
            <w:r>
              <w:rPr>
                <w:color w:val="auto"/>
                <w:sz w:val="24"/>
                <w:szCs w:val="24"/>
                <w:highlight w:val="none"/>
              </w:rPr>
              <w:t>（2）空气吸收衰减量A</w:t>
            </w:r>
            <w:r>
              <w:rPr>
                <w:color w:val="auto"/>
                <w:sz w:val="24"/>
                <w:szCs w:val="24"/>
                <w:highlight w:val="none"/>
                <w:vertAlign w:val="subscript"/>
              </w:rPr>
              <w:t>atm</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拟建项目噪声以中低频为主，空气吸收性衰减很少，预测时可忽略不计。</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（3）遮挡物引起的衰减量A</w:t>
            </w:r>
            <w:r>
              <w:rPr>
                <w:color w:val="auto"/>
                <w:sz w:val="24"/>
                <w:szCs w:val="24"/>
                <w:highlight w:val="none"/>
                <w:vertAlign w:val="subscript"/>
              </w:rPr>
              <w:t>bar</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噪声在向外传播过程中将受到厂房或其它车间的阻挡影响，从而引起声能量的衰减，具体衰减根据不同声级的传播途径而定，一般取0～30dB（A），本次环评取20。</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（4）地面效应引起的声级衰减量A</w:t>
            </w:r>
            <w:r>
              <w:rPr>
                <w:color w:val="auto"/>
                <w:sz w:val="24"/>
                <w:szCs w:val="24"/>
                <w:highlight w:val="none"/>
                <w:vertAlign w:val="subscript"/>
              </w:rPr>
              <w:t>gr</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根据项目总平面布置和噪声源强及外环境状况，可以忽略本项附加衰减量。</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（5）其他多方面效应引起的声级衰减量A</w:t>
            </w:r>
            <w:r>
              <w:rPr>
                <w:color w:val="auto"/>
                <w:sz w:val="24"/>
                <w:szCs w:val="24"/>
                <w:highlight w:val="none"/>
                <w:vertAlign w:val="subscript"/>
              </w:rPr>
              <w:t>misc</w:t>
            </w:r>
            <w:r>
              <w:rPr>
                <w:color w:val="auto"/>
                <w:sz w:val="24"/>
                <w:szCs w:val="24"/>
                <w:highlight w:val="none"/>
              </w:rPr>
              <w: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其他衰减包括通过工业场所的衰减，通过房屋群的衰减等。一般情况下，不考虑自然条件（如风、温度梯度、雾）变化引起的附加修正。</w:t>
            </w:r>
          </w:p>
          <w:p>
            <w:pPr>
              <w:pageBreakBefore w:val="0"/>
              <w:kinsoku/>
              <w:wordWrap/>
              <w:topLinePunct w:val="0"/>
              <w:bidi w:val="0"/>
              <w:adjustRightIn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3、预测结果</w:t>
            </w:r>
          </w:p>
          <w:p>
            <w:pPr>
              <w:pageBreakBefore w:val="0"/>
              <w:kinsoku/>
              <w:wordWrap/>
              <w:topLinePunct w:val="0"/>
              <w:bidi w:val="0"/>
              <w:adjustRightInd w:val="0"/>
              <w:spacing w:line="360" w:lineRule="auto"/>
              <w:ind w:left="0" w:leftChars="0" w:right="0" w:rightChars="0" w:firstLine="482" w:firstLineChars="200"/>
              <w:rPr>
                <w:color w:val="auto"/>
                <w:sz w:val="24"/>
                <w:szCs w:val="24"/>
                <w:highlight w:val="none"/>
              </w:rPr>
            </w:pPr>
            <w:r>
              <w:rPr>
                <w:b/>
                <w:color w:val="auto"/>
                <w:kern w:val="0"/>
                <w:sz w:val="24"/>
                <w:szCs w:val="24"/>
                <w:highlight w:val="none"/>
              </w:rPr>
              <w:t>本次评价进行保守预测，仅考虑噪声的距离衰减，不考虑地形高差、地面效应、温度梯度、植被阻隔以及受体建筑隔声等引起的噪声衰减。</w:t>
            </w:r>
            <w:r>
              <w:rPr>
                <w:color w:val="auto"/>
                <w:sz w:val="24"/>
                <w:szCs w:val="24"/>
                <w:highlight w:val="none"/>
              </w:rPr>
              <w:t>根据不同设备的噪声级、确定的预测模式以及拟采取的降噪措施计算出不同距离处的噪声值。项目厂界噪声贡预测结果如下表所示：</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表4-17</w:t>
            </w:r>
            <w:r>
              <w:rPr>
                <w:rFonts w:hint="eastAsia" w:eastAsia="黑体"/>
                <w:color w:val="auto"/>
                <w:szCs w:val="22"/>
                <w:highlight w:val="none"/>
              </w:rPr>
              <w:t xml:space="preserve"> </w:t>
            </w:r>
            <w:r>
              <w:rPr>
                <w:rFonts w:eastAsia="黑体"/>
                <w:color w:val="auto"/>
                <w:szCs w:val="22"/>
                <w:highlight w:val="none"/>
              </w:rPr>
              <w:t>设备噪声对厂界、环境敏感点影响分析结果表</w:t>
            </w:r>
            <w:r>
              <w:rPr>
                <w:rFonts w:hint="eastAsia" w:eastAsia="黑体"/>
                <w:color w:val="auto"/>
                <w:szCs w:val="22"/>
                <w:highlight w:val="none"/>
                <w:lang w:val="en-US" w:eastAsia="zh-CN"/>
              </w:rPr>
              <w:t xml:space="preserve"> </w:t>
            </w:r>
            <w:r>
              <w:rPr>
                <w:rFonts w:hint="eastAsia" w:eastAsia="黑体"/>
                <w:color w:val="auto"/>
                <w:szCs w:val="22"/>
                <w:highlight w:val="none"/>
              </w:rPr>
              <w:t xml:space="preserve"> </w:t>
            </w:r>
            <w:r>
              <w:rPr>
                <w:rFonts w:eastAsia="黑体"/>
                <w:color w:val="auto"/>
                <w:szCs w:val="22"/>
                <w:highlight w:val="none"/>
              </w:rPr>
              <w:t>单位：dB（A）</w:t>
            </w:r>
          </w:p>
          <w:tbl>
            <w:tblPr>
              <w:tblStyle w:val="2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34"/>
              <w:gridCol w:w="1602"/>
              <w:gridCol w:w="1602"/>
              <w:gridCol w:w="1602"/>
              <w:gridCol w:w="1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Merge w:val="restart"/>
                  <w:vAlign w:val="center"/>
                </w:tcPr>
                <w:p>
                  <w:pPr>
                    <w:pageBreakBefore w:val="0"/>
                    <w:kinsoku/>
                    <w:wordWrap/>
                    <w:topLinePunct w:val="0"/>
                    <w:bidi w:val="0"/>
                    <w:ind w:left="0" w:leftChars="0" w:right="0" w:rightChars="0"/>
                    <w:jc w:val="center"/>
                    <w:rPr>
                      <w:b/>
                      <w:color w:val="auto"/>
                      <w:highlight w:val="none"/>
                    </w:rPr>
                  </w:pPr>
                  <w:r>
                    <w:rPr>
                      <w:b/>
                      <w:color w:val="auto"/>
                      <w:highlight w:val="none"/>
                    </w:rPr>
                    <w:t>方位</w:t>
                  </w:r>
                </w:p>
              </w:tc>
              <w:tc>
                <w:tcPr>
                  <w:tcW w:w="1752" w:type="pct"/>
                  <w:gridSpan w:val="2"/>
                  <w:vAlign w:val="center"/>
                </w:tcPr>
                <w:p>
                  <w:pPr>
                    <w:pageBreakBefore w:val="0"/>
                    <w:kinsoku/>
                    <w:wordWrap/>
                    <w:topLinePunct w:val="0"/>
                    <w:bidi w:val="0"/>
                    <w:ind w:left="0" w:leftChars="0" w:right="0" w:rightChars="0"/>
                    <w:jc w:val="center"/>
                    <w:rPr>
                      <w:b/>
                      <w:color w:val="auto"/>
                      <w:highlight w:val="none"/>
                    </w:rPr>
                  </w:pPr>
                  <w:r>
                    <w:rPr>
                      <w:b/>
                      <w:color w:val="auto"/>
                      <w:highlight w:val="none"/>
                    </w:rPr>
                    <w:t>贡献值</w:t>
                  </w:r>
                </w:p>
              </w:tc>
              <w:tc>
                <w:tcPr>
                  <w:tcW w:w="1752" w:type="pct"/>
                  <w:gridSpan w:val="2"/>
                  <w:vAlign w:val="center"/>
                </w:tcPr>
                <w:p>
                  <w:pPr>
                    <w:pageBreakBefore w:val="0"/>
                    <w:kinsoku/>
                    <w:wordWrap/>
                    <w:topLinePunct w:val="0"/>
                    <w:bidi w:val="0"/>
                    <w:ind w:left="0" w:leftChars="0" w:right="0" w:rightChars="0"/>
                    <w:jc w:val="center"/>
                    <w:rPr>
                      <w:b/>
                      <w:color w:val="auto"/>
                      <w:highlight w:val="none"/>
                    </w:rPr>
                  </w:pPr>
                  <w:r>
                    <w:rPr>
                      <w:b/>
                      <w:color w:val="auto"/>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Merge w:val="continue"/>
                  <w:vAlign w:val="center"/>
                </w:tcPr>
                <w:p>
                  <w:pPr>
                    <w:pageBreakBefore w:val="0"/>
                    <w:kinsoku/>
                    <w:wordWrap/>
                    <w:topLinePunct w:val="0"/>
                    <w:bidi w:val="0"/>
                    <w:ind w:left="0" w:leftChars="0" w:right="0" w:rightChars="0"/>
                    <w:jc w:val="center"/>
                    <w:rPr>
                      <w:b/>
                      <w:color w:val="auto"/>
                      <w:highlight w:val="none"/>
                    </w:rPr>
                  </w:pPr>
                </w:p>
              </w:tc>
              <w:tc>
                <w:tcPr>
                  <w:tcW w:w="8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昼间</w:t>
                  </w:r>
                </w:p>
              </w:tc>
              <w:tc>
                <w:tcPr>
                  <w:tcW w:w="8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夜间</w:t>
                  </w:r>
                </w:p>
              </w:tc>
              <w:tc>
                <w:tcPr>
                  <w:tcW w:w="8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昼间</w:t>
                  </w:r>
                </w:p>
              </w:tc>
              <w:tc>
                <w:tcPr>
                  <w:tcW w:w="8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北厂界</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44.15</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44.04</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西厂界</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40.61</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38.86</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南厂界</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54.15</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45.90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东厂界</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43.89</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43.77</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厂界最大值</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58.05</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49.76</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厂界最小值</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33.92</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27.28</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西侧3m处居民</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42.27</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37.27</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87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bl>
          <w:p>
            <w:pPr>
              <w:pageBreakBefore w:val="0"/>
              <w:tabs>
                <w:tab w:val="left" w:pos="2010"/>
              </w:tabs>
              <w:kinsoku/>
              <w:wordWrap/>
              <w:topLinePunct w:val="0"/>
              <w:bidi w:val="0"/>
              <w:adjustRightInd w:val="0"/>
              <w:snapToGrid w:val="0"/>
              <w:spacing w:line="360" w:lineRule="auto"/>
              <w:ind w:left="0" w:leftChars="0" w:right="0" w:rightChars="0" w:firstLine="480" w:firstLineChars="200"/>
              <w:rPr>
                <w:rFonts w:hint="eastAsia"/>
                <w:bCs/>
                <w:color w:val="auto"/>
                <w:sz w:val="24"/>
                <w:szCs w:val="24"/>
                <w:highlight w:val="none"/>
                <w:lang w:val="en-US" w:eastAsia="zh-CN"/>
              </w:rPr>
            </w:pPr>
            <w:r>
              <w:rPr>
                <w:rFonts w:hint="eastAsia"/>
                <w:bCs/>
                <w:color w:val="auto"/>
                <w:sz w:val="24"/>
                <w:szCs w:val="24"/>
                <w:highlight w:val="none"/>
                <w:lang w:val="en-US" w:eastAsia="zh-CN"/>
              </w:rPr>
              <w:t>结合上表，可分析处项目敏感点处噪声预测值，详见下表：</w:t>
            </w:r>
          </w:p>
          <w:p>
            <w:pPr>
              <w:pageBreakBefore w:val="0"/>
              <w:tabs>
                <w:tab w:val="left" w:pos="2010"/>
              </w:tabs>
              <w:kinsoku/>
              <w:wordWrap/>
              <w:topLinePunct w:val="0"/>
              <w:bidi w:val="0"/>
              <w:adjustRightInd w:val="0"/>
              <w:snapToGrid w:val="0"/>
              <w:spacing w:line="360" w:lineRule="auto"/>
              <w:ind w:left="0" w:leftChars="0" w:right="0" w:rightChars="0"/>
              <w:jc w:val="center"/>
              <w:rPr>
                <w:rFonts w:eastAsia="黑体"/>
                <w:color w:val="auto"/>
                <w:szCs w:val="22"/>
                <w:highlight w:val="none"/>
              </w:rPr>
            </w:pPr>
            <w:r>
              <w:rPr>
                <w:rFonts w:eastAsia="黑体"/>
                <w:color w:val="auto"/>
                <w:szCs w:val="22"/>
                <w:highlight w:val="none"/>
              </w:rPr>
              <w:t>表4-1</w:t>
            </w:r>
            <w:r>
              <w:rPr>
                <w:rFonts w:hint="eastAsia" w:eastAsia="黑体"/>
                <w:color w:val="auto"/>
                <w:szCs w:val="22"/>
                <w:highlight w:val="none"/>
                <w:lang w:val="en-US" w:eastAsia="zh-CN"/>
              </w:rPr>
              <w:t>8</w:t>
            </w:r>
            <w:r>
              <w:rPr>
                <w:rFonts w:hint="eastAsia" w:eastAsia="黑体"/>
                <w:color w:val="auto"/>
                <w:szCs w:val="22"/>
                <w:highlight w:val="none"/>
              </w:rPr>
              <w:t xml:space="preserve"> </w:t>
            </w:r>
            <w:r>
              <w:rPr>
                <w:rFonts w:eastAsia="黑体"/>
                <w:color w:val="auto"/>
                <w:szCs w:val="22"/>
                <w:highlight w:val="none"/>
              </w:rPr>
              <w:t>环境敏感点</w:t>
            </w:r>
            <w:r>
              <w:rPr>
                <w:rFonts w:hint="eastAsia" w:eastAsia="黑体"/>
                <w:color w:val="auto"/>
                <w:szCs w:val="22"/>
                <w:highlight w:val="none"/>
                <w:lang w:val="en-US" w:eastAsia="zh-CN"/>
              </w:rPr>
              <w:t>噪声预测值</w:t>
            </w:r>
            <w:r>
              <w:rPr>
                <w:rFonts w:eastAsia="黑体"/>
                <w:color w:val="auto"/>
                <w:szCs w:val="22"/>
                <w:highlight w:val="none"/>
              </w:rPr>
              <w:t>分析结果表</w:t>
            </w:r>
            <w:r>
              <w:rPr>
                <w:rFonts w:hint="eastAsia" w:eastAsia="黑体"/>
                <w:color w:val="auto"/>
                <w:szCs w:val="22"/>
                <w:highlight w:val="none"/>
                <w:lang w:val="en-US" w:eastAsia="zh-CN"/>
              </w:rPr>
              <w:t xml:space="preserve"> </w:t>
            </w:r>
            <w:r>
              <w:rPr>
                <w:rFonts w:hint="eastAsia" w:eastAsia="黑体"/>
                <w:color w:val="auto"/>
                <w:szCs w:val="22"/>
                <w:highlight w:val="none"/>
              </w:rPr>
              <w:t xml:space="preserve"> </w:t>
            </w:r>
            <w:r>
              <w:rPr>
                <w:rFonts w:eastAsia="黑体"/>
                <w:color w:val="auto"/>
                <w:szCs w:val="22"/>
                <w:highlight w:val="none"/>
              </w:rPr>
              <w:t>单位：dB（A）</w:t>
            </w:r>
          </w:p>
          <w:tbl>
            <w:tblPr>
              <w:tblStyle w:val="23"/>
              <w:tblW w:w="91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8"/>
              <w:gridCol w:w="938"/>
              <w:gridCol w:w="938"/>
              <w:gridCol w:w="938"/>
              <w:gridCol w:w="938"/>
              <w:gridCol w:w="938"/>
              <w:gridCol w:w="938"/>
              <w:gridCol w:w="938"/>
              <w:gridCol w:w="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5" w:type="pct"/>
                  <w:vMerge w:val="restart"/>
                  <w:vAlign w:val="center"/>
                </w:tcPr>
                <w:p>
                  <w:pPr>
                    <w:pageBreakBefore w:val="0"/>
                    <w:kinsoku/>
                    <w:wordWrap/>
                    <w:topLinePunct w:val="0"/>
                    <w:bidi w:val="0"/>
                    <w:ind w:left="0" w:leftChars="0" w:right="0" w:rightChars="0"/>
                    <w:jc w:val="center"/>
                    <w:rPr>
                      <w:b/>
                      <w:color w:val="auto"/>
                      <w:highlight w:val="none"/>
                    </w:rPr>
                  </w:pPr>
                  <w:r>
                    <w:rPr>
                      <w:b/>
                      <w:color w:val="auto"/>
                      <w:highlight w:val="none"/>
                    </w:rPr>
                    <w:t>方位</w:t>
                  </w:r>
                </w:p>
              </w:tc>
              <w:tc>
                <w:tcPr>
                  <w:tcW w:w="1025" w:type="pct"/>
                  <w:gridSpan w:val="2"/>
                  <w:vAlign w:val="center"/>
                </w:tcPr>
                <w:p>
                  <w:pPr>
                    <w:pageBreakBefore w:val="0"/>
                    <w:kinsoku/>
                    <w:wordWrap/>
                    <w:topLinePunct w:val="0"/>
                    <w:bidi w:val="0"/>
                    <w:ind w:left="0" w:leftChars="0" w:right="0" w:rightChars="0"/>
                    <w:jc w:val="center"/>
                    <w:rPr>
                      <w:b/>
                      <w:color w:val="auto"/>
                      <w:highlight w:val="none"/>
                    </w:rPr>
                  </w:pPr>
                  <w:r>
                    <w:rPr>
                      <w:b/>
                      <w:color w:val="auto"/>
                      <w:highlight w:val="none"/>
                    </w:rPr>
                    <w:t>贡献值</w:t>
                  </w:r>
                </w:p>
              </w:tc>
              <w:tc>
                <w:tcPr>
                  <w:tcW w:w="1025" w:type="pct"/>
                  <w:gridSpan w:val="2"/>
                  <w:vAlign w:val="center"/>
                </w:tcPr>
                <w:p>
                  <w:pPr>
                    <w:pageBreakBefore w:val="0"/>
                    <w:kinsoku/>
                    <w:wordWrap/>
                    <w:topLinePunct w:val="0"/>
                    <w:bidi w:val="0"/>
                    <w:ind w:left="0" w:leftChars="0" w:right="0" w:right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背景值</w:t>
                  </w:r>
                </w:p>
              </w:tc>
              <w:tc>
                <w:tcPr>
                  <w:tcW w:w="1025" w:type="pct"/>
                  <w:gridSpan w:val="2"/>
                  <w:vAlign w:val="center"/>
                </w:tcPr>
                <w:p>
                  <w:pPr>
                    <w:pageBreakBefore w:val="0"/>
                    <w:kinsoku/>
                    <w:wordWrap/>
                    <w:topLinePunct w:val="0"/>
                    <w:bidi w:val="0"/>
                    <w:ind w:left="0" w:leftChars="0" w:right="0" w:right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预测值</w:t>
                  </w:r>
                </w:p>
              </w:tc>
              <w:tc>
                <w:tcPr>
                  <w:tcW w:w="1026" w:type="pct"/>
                  <w:gridSpan w:val="2"/>
                  <w:vAlign w:val="center"/>
                </w:tcPr>
                <w:p>
                  <w:pPr>
                    <w:pageBreakBefore w:val="0"/>
                    <w:kinsoku/>
                    <w:wordWrap/>
                    <w:topLinePunct w:val="0"/>
                    <w:bidi w:val="0"/>
                    <w:ind w:left="0" w:leftChars="0" w:right="0" w:rightChars="0"/>
                    <w:jc w:val="center"/>
                    <w:rPr>
                      <w:b/>
                      <w:color w:val="auto"/>
                      <w:highlight w:val="none"/>
                    </w:rPr>
                  </w:pPr>
                  <w:r>
                    <w:rPr>
                      <w:b/>
                      <w:color w:val="auto"/>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5" w:type="pct"/>
                  <w:vMerge w:val="continue"/>
                  <w:vAlign w:val="center"/>
                </w:tcPr>
                <w:p>
                  <w:pPr>
                    <w:pageBreakBefore w:val="0"/>
                    <w:kinsoku/>
                    <w:wordWrap/>
                    <w:topLinePunct w:val="0"/>
                    <w:bidi w:val="0"/>
                    <w:ind w:left="0" w:leftChars="0" w:right="0" w:rightChars="0"/>
                    <w:jc w:val="center"/>
                    <w:rPr>
                      <w:b/>
                      <w:color w:val="auto"/>
                      <w:highlight w:val="none"/>
                    </w:rPr>
                  </w:pPr>
                </w:p>
              </w:tc>
              <w:tc>
                <w:tcPr>
                  <w:tcW w:w="512" w:type="pct"/>
                  <w:vAlign w:val="center"/>
                </w:tcPr>
                <w:p>
                  <w:pPr>
                    <w:pageBreakBefore w:val="0"/>
                    <w:kinsoku/>
                    <w:wordWrap/>
                    <w:topLinePunct w:val="0"/>
                    <w:bidi w:val="0"/>
                    <w:ind w:left="0" w:leftChars="0" w:right="0" w:rightChars="0"/>
                    <w:jc w:val="center"/>
                    <w:rPr>
                      <w:b w:val="0"/>
                      <w:bCs/>
                      <w:color w:val="auto"/>
                      <w:highlight w:val="none"/>
                    </w:rPr>
                  </w:pPr>
                  <w:r>
                    <w:rPr>
                      <w:b/>
                      <w:color w:val="auto"/>
                      <w:highlight w:val="none"/>
                    </w:rPr>
                    <w:t>昼间</w:t>
                  </w:r>
                </w:p>
              </w:tc>
              <w:tc>
                <w:tcPr>
                  <w:tcW w:w="512" w:type="pct"/>
                  <w:vAlign w:val="center"/>
                </w:tcPr>
                <w:p>
                  <w:pPr>
                    <w:pageBreakBefore w:val="0"/>
                    <w:kinsoku/>
                    <w:wordWrap/>
                    <w:topLinePunct w:val="0"/>
                    <w:bidi w:val="0"/>
                    <w:ind w:left="0" w:leftChars="0" w:right="0" w:rightChars="0"/>
                    <w:jc w:val="center"/>
                    <w:rPr>
                      <w:b w:val="0"/>
                      <w:bCs/>
                      <w:color w:val="auto"/>
                      <w:highlight w:val="none"/>
                    </w:rPr>
                  </w:pPr>
                  <w:r>
                    <w:rPr>
                      <w:b/>
                      <w:color w:val="auto"/>
                      <w:highlight w:val="none"/>
                    </w:rPr>
                    <w:t>夜间</w:t>
                  </w:r>
                </w:p>
              </w:tc>
              <w:tc>
                <w:tcPr>
                  <w:tcW w:w="512" w:type="pct"/>
                  <w:vAlign w:val="center"/>
                </w:tcPr>
                <w:p>
                  <w:pPr>
                    <w:pageBreakBefore w:val="0"/>
                    <w:kinsoku/>
                    <w:wordWrap/>
                    <w:topLinePunct w:val="0"/>
                    <w:bidi w:val="0"/>
                    <w:ind w:left="0" w:leftChars="0" w:right="0" w:rightChars="0"/>
                    <w:jc w:val="center"/>
                    <w:rPr>
                      <w:rFonts w:ascii="Times New Roman" w:hAnsi="Times New Roman" w:eastAsia="宋体" w:cs="Times New Roman"/>
                      <w:b w:val="0"/>
                      <w:bCs/>
                      <w:color w:val="auto"/>
                      <w:kern w:val="2"/>
                      <w:sz w:val="21"/>
                      <w:szCs w:val="21"/>
                      <w:highlight w:val="none"/>
                      <w:lang w:val="en-US" w:eastAsia="zh-CN" w:bidi="ar-SA"/>
                    </w:rPr>
                  </w:pPr>
                  <w:r>
                    <w:rPr>
                      <w:b/>
                      <w:color w:val="auto"/>
                      <w:highlight w:val="none"/>
                    </w:rPr>
                    <w:t>昼间</w:t>
                  </w:r>
                </w:p>
              </w:tc>
              <w:tc>
                <w:tcPr>
                  <w:tcW w:w="512" w:type="pct"/>
                  <w:vAlign w:val="center"/>
                </w:tcPr>
                <w:p>
                  <w:pPr>
                    <w:pageBreakBefore w:val="0"/>
                    <w:kinsoku/>
                    <w:wordWrap/>
                    <w:topLinePunct w:val="0"/>
                    <w:bidi w:val="0"/>
                    <w:ind w:left="0" w:leftChars="0" w:right="0" w:rightChars="0"/>
                    <w:jc w:val="center"/>
                    <w:rPr>
                      <w:rFonts w:ascii="Times New Roman" w:hAnsi="Times New Roman" w:eastAsia="宋体" w:cs="Times New Roman"/>
                      <w:b w:val="0"/>
                      <w:bCs/>
                      <w:color w:val="auto"/>
                      <w:kern w:val="2"/>
                      <w:sz w:val="21"/>
                      <w:szCs w:val="21"/>
                      <w:highlight w:val="none"/>
                      <w:lang w:val="en-US" w:eastAsia="zh-CN" w:bidi="ar-SA"/>
                    </w:rPr>
                  </w:pPr>
                  <w:r>
                    <w:rPr>
                      <w:b/>
                      <w:color w:val="auto"/>
                      <w:highlight w:val="none"/>
                    </w:rPr>
                    <w:t>夜间</w:t>
                  </w:r>
                </w:p>
              </w:tc>
              <w:tc>
                <w:tcPr>
                  <w:tcW w:w="512" w:type="pct"/>
                  <w:vAlign w:val="center"/>
                </w:tcPr>
                <w:p>
                  <w:pPr>
                    <w:pageBreakBefore w:val="0"/>
                    <w:kinsoku/>
                    <w:wordWrap/>
                    <w:topLinePunct w:val="0"/>
                    <w:bidi w:val="0"/>
                    <w:ind w:left="0" w:leftChars="0" w:right="0" w:rightChars="0"/>
                    <w:jc w:val="center"/>
                    <w:rPr>
                      <w:rFonts w:ascii="Times New Roman" w:hAnsi="Times New Roman" w:eastAsia="宋体" w:cs="Times New Roman"/>
                      <w:b w:val="0"/>
                      <w:bCs/>
                      <w:color w:val="auto"/>
                      <w:kern w:val="2"/>
                      <w:sz w:val="21"/>
                      <w:szCs w:val="21"/>
                      <w:highlight w:val="none"/>
                      <w:lang w:val="en-US" w:eastAsia="zh-CN" w:bidi="ar-SA"/>
                    </w:rPr>
                  </w:pPr>
                  <w:r>
                    <w:rPr>
                      <w:b/>
                      <w:color w:val="auto"/>
                      <w:highlight w:val="none"/>
                    </w:rPr>
                    <w:t>昼间</w:t>
                  </w:r>
                </w:p>
              </w:tc>
              <w:tc>
                <w:tcPr>
                  <w:tcW w:w="512" w:type="pct"/>
                  <w:vAlign w:val="center"/>
                </w:tcPr>
                <w:p>
                  <w:pPr>
                    <w:pageBreakBefore w:val="0"/>
                    <w:kinsoku/>
                    <w:wordWrap/>
                    <w:topLinePunct w:val="0"/>
                    <w:bidi w:val="0"/>
                    <w:ind w:left="0" w:leftChars="0" w:right="0" w:rightChars="0"/>
                    <w:jc w:val="center"/>
                    <w:rPr>
                      <w:rFonts w:ascii="Times New Roman" w:hAnsi="Times New Roman" w:eastAsia="宋体" w:cs="Times New Roman"/>
                      <w:b w:val="0"/>
                      <w:bCs/>
                      <w:color w:val="auto"/>
                      <w:kern w:val="2"/>
                      <w:sz w:val="21"/>
                      <w:szCs w:val="21"/>
                      <w:highlight w:val="none"/>
                      <w:lang w:val="en-US" w:eastAsia="zh-CN" w:bidi="ar-SA"/>
                    </w:rPr>
                  </w:pPr>
                  <w:r>
                    <w:rPr>
                      <w:b/>
                      <w:color w:val="auto"/>
                      <w:highlight w:val="none"/>
                    </w:rPr>
                    <w:t>夜间</w:t>
                  </w:r>
                </w:p>
              </w:tc>
              <w:tc>
                <w:tcPr>
                  <w:tcW w:w="512"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昼间</w:t>
                  </w:r>
                </w:p>
              </w:tc>
              <w:tc>
                <w:tcPr>
                  <w:tcW w:w="513"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西侧3m处居民</w:t>
                  </w:r>
                </w:p>
              </w:tc>
              <w:tc>
                <w:tcPr>
                  <w:tcW w:w="51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42.27</w:t>
                  </w:r>
                </w:p>
              </w:tc>
              <w:tc>
                <w:tcPr>
                  <w:tcW w:w="51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37.27</w:t>
                  </w:r>
                </w:p>
              </w:tc>
              <w:tc>
                <w:tcPr>
                  <w:tcW w:w="51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52</w:t>
                  </w:r>
                </w:p>
              </w:tc>
              <w:tc>
                <w:tcPr>
                  <w:tcW w:w="512"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w:t>
                  </w:r>
                </w:p>
              </w:tc>
              <w:tc>
                <w:tcPr>
                  <w:tcW w:w="512"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52.44</w:t>
                  </w:r>
                </w:p>
              </w:tc>
              <w:tc>
                <w:tcPr>
                  <w:tcW w:w="512"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44.03</w:t>
                  </w:r>
                </w:p>
              </w:tc>
              <w:tc>
                <w:tcPr>
                  <w:tcW w:w="51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60</w:t>
                  </w:r>
                </w:p>
              </w:tc>
              <w:tc>
                <w:tcPr>
                  <w:tcW w:w="51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r>
          </w:tbl>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由上表以看出，通过对各噪声设备采取基础减振，隔声，设置独立房间等降噪措施后，污水处理厂厂界噪声预测值均能满足《工业企业厂界环境噪声排放标准》（GB12348-2008）2类标准要求。环境敏感点处噪声满足《声环境质量标准》（GB3096-2008）2类标准。</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为降低设备运行产生的噪声污染，减少噪声对周围环境的影响，本工程需采取的噪声治理措施有：</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①选择低噪声设备，合理布置声源。将高噪声源设备均设置在专用房间内，经隔声、减振后可有效减缓噪声影响程度。</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②水泵机组设置隔振基础，采用柔性接头，避免管道传声。在水泵的出水管上设置微阻缓闭式止回阀，消除停泵水锤的影响和水击产生的管道噪声。</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③将风机置于独立的风机隔声间内，在风机间内进行吸声、隔声处理；在风机排风口外安装消声器，内置消声插片，使噪声在通过特殊构造的消声器时削减。消声器是降低空气动力设备进、排气口辐射或沿管传递噪声的有效措施；地面层外百叶窗尽可能使用消声百叶；风机吊挂采用阻尼弹簧吊架减振器产生噪声的房间、墙面和天棚采用吸声材料。</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④发电机房的进风道与排风道采取消声措施，对柴油发电机房的排烟系统加装消声器，柴油发电机组加装防振垫圈，加之墙体隔声，柴油发电机的噪声级可降至70dB以下。</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⑤产生噪声的机电设备与地面柔性连接，设置隔振基础，并安装隔声屏障。</w:t>
            </w:r>
          </w:p>
          <w:p>
            <w:pPr>
              <w:pageBreakBefore w:val="0"/>
              <w:tabs>
                <w:tab w:val="left" w:pos="2010"/>
              </w:tabs>
              <w:kinsoku/>
              <w:wordWrap/>
              <w:topLinePunct w:val="0"/>
              <w:bidi w:val="0"/>
              <w:adjustRightInd w:val="0"/>
              <w:snapToGrid w:val="0"/>
              <w:spacing w:line="360" w:lineRule="auto"/>
              <w:ind w:left="0" w:leftChars="0" w:right="0" w:rightChars="0" w:firstLine="480" w:firstLineChars="200"/>
              <w:rPr>
                <w:bCs/>
                <w:color w:val="auto"/>
                <w:sz w:val="24"/>
                <w:szCs w:val="24"/>
                <w:highlight w:val="none"/>
              </w:rPr>
            </w:pPr>
            <w:r>
              <w:rPr>
                <w:bCs/>
                <w:color w:val="auto"/>
                <w:sz w:val="24"/>
                <w:szCs w:val="24"/>
                <w:highlight w:val="none"/>
              </w:rPr>
              <w:t>⑥设备定期进行维护和调试。</w:t>
            </w:r>
          </w:p>
          <w:p>
            <w:pPr>
              <w:pageBreakBefore w:val="0"/>
              <w:tabs>
                <w:tab w:val="left" w:pos="2010"/>
              </w:tabs>
              <w:kinsoku/>
              <w:wordWrap/>
              <w:topLinePunct w:val="0"/>
              <w:bidi w:val="0"/>
              <w:adjustRightInd w:val="0"/>
              <w:snapToGrid w:val="0"/>
              <w:spacing w:line="360" w:lineRule="auto"/>
              <w:ind w:left="0" w:leftChars="0" w:right="0" w:rightChars="0" w:firstLine="482" w:firstLineChars="200"/>
              <w:rPr>
                <w:b/>
                <w:color w:val="auto"/>
                <w:sz w:val="24"/>
                <w:szCs w:val="24"/>
                <w:highlight w:val="none"/>
              </w:rPr>
            </w:pPr>
            <w:r>
              <w:rPr>
                <w:b/>
                <w:color w:val="auto"/>
                <w:sz w:val="24"/>
                <w:szCs w:val="24"/>
                <w:highlight w:val="none"/>
              </w:rPr>
              <w:t>综上所述，本项目运营期厂界噪声经上述处理后能做到达标排放，对环境保护目标影响较小。</w:t>
            </w:r>
          </w:p>
          <w:p>
            <w:pPr>
              <w:pageBreakBefore w:val="0"/>
              <w:tabs>
                <w:tab w:val="left" w:pos="2010"/>
              </w:tabs>
              <w:kinsoku/>
              <w:wordWrap/>
              <w:topLinePunct w:val="0"/>
              <w:bidi w:val="0"/>
              <w:adjustRightInd w:val="0"/>
              <w:snapToGrid w:val="0"/>
              <w:spacing w:line="360" w:lineRule="auto"/>
              <w:ind w:left="0" w:leftChars="0" w:right="0" w:rightChars="0" w:firstLine="482" w:firstLineChars="200"/>
              <w:rPr>
                <w:b/>
                <w:color w:val="auto"/>
                <w:sz w:val="24"/>
                <w:szCs w:val="24"/>
                <w:highlight w:val="none"/>
              </w:rPr>
            </w:pPr>
            <w:r>
              <w:rPr>
                <w:b/>
                <w:color w:val="auto"/>
                <w:sz w:val="24"/>
                <w:szCs w:val="24"/>
                <w:highlight w:val="none"/>
              </w:rPr>
              <w:t>4、监测要求</w:t>
            </w:r>
          </w:p>
          <w:p>
            <w:pPr>
              <w:pageBreakBefore w:val="0"/>
              <w:kinsoku/>
              <w:wordWrap/>
              <w:topLinePunct w:val="0"/>
              <w:bidi w:val="0"/>
              <w:spacing w:line="360" w:lineRule="auto"/>
              <w:ind w:left="0" w:leftChars="0" w:right="0" w:rightChars="0" w:firstLine="480" w:firstLineChars="200"/>
              <w:rPr>
                <w:color w:val="auto"/>
                <w:highlight w:val="none"/>
              </w:rPr>
            </w:pPr>
            <w:r>
              <w:rPr>
                <w:color w:val="auto"/>
                <w:sz w:val="24"/>
                <w:highlight w:val="none"/>
              </w:rPr>
              <w:t>本次环评根据《排污单位自行监测技术指南总则》（HJ819-2017）、</w:t>
            </w:r>
            <w:r>
              <w:rPr>
                <w:bCs/>
                <w:color w:val="auto"/>
                <w:sz w:val="24"/>
                <w:highlight w:val="none"/>
              </w:rPr>
              <w:t>《排污许可证申请与核发技术规范水处理（试行）》（HJ978-2018）</w:t>
            </w:r>
            <w:r>
              <w:rPr>
                <w:color w:val="auto"/>
                <w:sz w:val="24"/>
                <w:highlight w:val="none"/>
              </w:rPr>
              <w:t>提出项目生产运行阶段的污染源监测计划，详见下表：</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表4-1</w:t>
            </w:r>
            <w:r>
              <w:rPr>
                <w:rFonts w:hint="eastAsia" w:eastAsia="黑体"/>
                <w:color w:val="auto"/>
                <w:szCs w:val="22"/>
                <w:highlight w:val="none"/>
                <w:lang w:val="en-US" w:eastAsia="zh-CN"/>
              </w:rPr>
              <w:t>9</w:t>
            </w:r>
            <w:r>
              <w:rPr>
                <w:rFonts w:hint="eastAsia" w:eastAsia="黑体"/>
                <w:color w:val="auto"/>
                <w:szCs w:val="22"/>
                <w:highlight w:val="none"/>
              </w:rPr>
              <w:t xml:space="preserve"> </w:t>
            </w:r>
            <w:r>
              <w:rPr>
                <w:rFonts w:eastAsia="黑体"/>
                <w:color w:val="auto"/>
                <w:szCs w:val="22"/>
                <w:highlight w:val="none"/>
              </w:rPr>
              <w:t>环境管理与监测计划一览表（污染源）</w:t>
            </w:r>
          </w:p>
          <w:tbl>
            <w:tblPr>
              <w:tblStyle w:val="23"/>
              <w:tblW w:w="904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53"/>
              <w:gridCol w:w="1110"/>
              <w:gridCol w:w="1170"/>
              <w:gridCol w:w="1677"/>
              <w:gridCol w:w="1142"/>
              <w:gridCol w:w="309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7" w:hRule="atLeast"/>
                <w:tblHeader/>
                <w:jc w:val="center"/>
              </w:trPr>
              <w:tc>
                <w:tcPr>
                  <w:tcW w:w="471" w:type="pct"/>
                  <w:tcBorders>
                    <w:top w:val="single" w:color="000000" w:sz="4" w:space="0"/>
                    <w:left w:val="single" w:color="auto" w:sz="0"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项目</w:t>
                  </w:r>
                </w:p>
              </w:tc>
              <w:tc>
                <w:tcPr>
                  <w:tcW w:w="613"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监测点位</w:t>
                  </w:r>
                </w:p>
              </w:tc>
              <w:tc>
                <w:tcPr>
                  <w:tcW w:w="646"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监测项目</w:t>
                  </w:r>
                </w:p>
              </w:tc>
              <w:tc>
                <w:tcPr>
                  <w:tcW w:w="926"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监测单位</w:t>
                  </w:r>
                </w:p>
              </w:tc>
              <w:tc>
                <w:tcPr>
                  <w:tcW w:w="631"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监测频次</w:t>
                  </w:r>
                </w:p>
              </w:tc>
              <w:tc>
                <w:tcPr>
                  <w:tcW w:w="1709"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7" w:hRule="atLeast"/>
                <w:tblHeader/>
                <w:jc w:val="center"/>
              </w:trPr>
              <w:tc>
                <w:tcPr>
                  <w:tcW w:w="471"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噪声</w:t>
                  </w:r>
                </w:p>
              </w:tc>
              <w:tc>
                <w:tcPr>
                  <w:tcW w:w="613"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四周厂界外1m处</w:t>
                  </w:r>
                </w:p>
              </w:tc>
              <w:tc>
                <w:tcPr>
                  <w:tcW w:w="646"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Leq（A）</w:t>
                  </w:r>
                </w:p>
              </w:tc>
              <w:tc>
                <w:tcPr>
                  <w:tcW w:w="926"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委托有资质单位代为监测</w:t>
                  </w:r>
                </w:p>
              </w:tc>
              <w:tc>
                <w:tcPr>
                  <w:tcW w:w="631"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1次/半年，昼夜各一次</w:t>
                  </w:r>
                </w:p>
              </w:tc>
              <w:tc>
                <w:tcPr>
                  <w:tcW w:w="1709" w:type="pct"/>
                  <w:tcBorders>
                    <w:top w:val="single" w:color="000000" w:sz="4" w:space="0"/>
                    <w:left w:val="single" w:color="000000" w:sz="4" w:space="0"/>
                    <w:bottom w:val="single" w:color="000000" w:sz="4" w:space="0"/>
                    <w:right w:val="single" w:color="000000"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《工业企业厂界环境噪声排放标准》（GB12348-2008）2类标准</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四、固体废弃物</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1、固废产生情况</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本项目运营期间产生的固体废弃物主要有工作人员产生的生活垃圾、餐厨垃圾、栅渣及沉砂、污泥、废包装材料、</w:t>
            </w:r>
            <w:r>
              <w:rPr>
                <w:color w:val="auto"/>
                <w:sz w:val="24"/>
                <w:szCs w:val="24"/>
                <w:highlight w:val="none"/>
                <w:lang w:bidi="ar"/>
              </w:rPr>
              <w:t>化验废液（包含化验室废液与在线监测系统废液）、废机油</w:t>
            </w:r>
            <w:r>
              <w:rPr>
                <w:rFonts w:hint="eastAsia"/>
                <w:color w:val="auto"/>
                <w:sz w:val="24"/>
                <w:szCs w:val="24"/>
                <w:highlight w:val="none"/>
                <w:lang w:eastAsia="zh-CN" w:bidi="ar"/>
              </w:rPr>
              <w:t>、</w:t>
            </w:r>
            <w:r>
              <w:rPr>
                <w:rFonts w:hint="eastAsia"/>
                <w:color w:val="auto"/>
                <w:sz w:val="24"/>
                <w:szCs w:val="24"/>
                <w:highlight w:val="none"/>
                <w:lang w:val="en-US" w:eastAsia="zh-CN" w:bidi="ar"/>
              </w:rPr>
              <w:t>废紫外灯管</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（1）生活垃圾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项目生活垃圾产生量按照0.5kg/d·人进行计算，原项目劳动定员20人，本项目不新增劳动定员，因此，项目实施后生活垃圾产生量为10kg/d（3.65t/a）。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（2）餐厨垃圾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食堂产生的餐厨废物和隔油设备浮油的产生量按0.1kg/人·d计，本项目食堂接待量20人/d，则营运期餐厨垃圾（含废油脂）产生量为2.0kg/d（0.73t/a）。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（3）栅渣及沉砂</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项目扩建前设计处理水量为1.0万m</w:t>
            </w:r>
            <w:r>
              <w:rPr>
                <w:color w:val="auto"/>
                <w:sz w:val="24"/>
                <w:szCs w:val="32"/>
                <w:highlight w:val="none"/>
                <w:vertAlign w:val="superscript"/>
                <w:lang w:bidi="ar"/>
              </w:rPr>
              <w:t>3</w:t>
            </w:r>
            <w:r>
              <w:rPr>
                <w:color w:val="auto"/>
                <w:sz w:val="24"/>
                <w:szCs w:val="32"/>
                <w:highlight w:val="none"/>
                <w:lang w:bidi="ar"/>
              </w:rPr>
              <w:t>/d，项目栅渣及沉砂量按0.1m</w:t>
            </w:r>
            <w:r>
              <w:rPr>
                <w:color w:val="auto"/>
                <w:sz w:val="24"/>
                <w:szCs w:val="32"/>
                <w:highlight w:val="none"/>
                <w:vertAlign w:val="superscript"/>
                <w:lang w:bidi="ar"/>
              </w:rPr>
              <w:t>3</w:t>
            </w:r>
            <w:r>
              <w:rPr>
                <w:color w:val="auto"/>
                <w:sz w:val="24"/>
                <w:szCs w:val="32"/>
                <w:highlight w:val="none"/>
                <w:lang w:bidi="ar"/>
              </w:rPr>
              <w:t>/1000m</w:t>
            </w:r>
            <w:r>
              <w:rPr>
                <w:color w:val="auto"/>
                <w:sz w:val="24"/>
                <w:szCs w:val="32"/>
                <w:highlight w:val="none"/>
                <w:vertAlign w:val="superscript"/>
                <w:lang w:bidi="ar"/>
              </w:rPr>
              <w:t>3</w:t>
            </w:r>
            <w:r>
              <w:rPr>
                <w:color w:val="auto"/>
                <w:sz w:val="24"/>
                <w:szCs w:val="32"/>
                <w:highlight w:val="none"/>
                <w:lang w:bidi="ar"/>
              </w:rPr>
              <w:t>·d污水计，密度约960kg/m</w:t>
            </w:r>
            <w:r>
              <w:rPr>
                <w:color w:val="auto"/>
                <w:sz w:val="24"/>
                <w:szCs w:val="32"/>
                <w:highlight w:val="none"/>
                <w:vertAlign w:val="superscript"/>
                <w:lang w:bidi="ar"/>
              </w:rPr>
              <w:t>3</w:t>
            </w:r>
            <w:r>
              <w:rPr>
                <w:color w:val="auto"/>
                <w:sz w:val="24"/>
                <w:szCs w:val="32"/>
                <w:highlight w:val="none"/>
                <w:lang w:bidi="ar"/>
              </w:rPr>
              <w:t>，则一期栅渣及沉砂总产生量为0.96t/d，350.4t/a；本项目设计处理水量为1.0万m</w:t>
            </w:r>
            <w:r>
              <w:rPr>
                <w:color w:val="auto"/>
                <w:sz w:val="24"/>
                <w:szCs w:val="32"/>
                <w:highlight w:val="none"/>
                <w:vertAlign w:val="superscript"/>
                <w:lang w:bidi="ar"/>
              </w:rPr>
              <w:t>3</w:t>
            </w:r>
            <w:r>
              <w:rPr>
                <w:color w:val="auto"/>
                <w:sz w:val="24"/>
                <w:szCs w:val="32"/>
                <w:highlight w:val="none"/>
                <w:lang w:bidi="ar"/>
              </w:rPr>
              <w:t>/d，则本项目栅渣及沉砂总产生量为0.96t/d，350.4t/a；因此，扩建后设计处理水量为2.0万m</w:t>
            </w:r>
            <w:r>
              <w:rPr>
                <w:color w:val="auto"/>
                <w:sz w:val="24"/>
                <w:szCs w:val="32"/>
                <w:highlight w:val="none"/>
                <w:vertAlign w:val="superscript"/>
                <w:lang w:bidi="ar"/>
              </w:rPr>
              <w:t>3</w:t>
            </w:r>
            <w:r>
              <w:rPr>
                <w:color w:val="auto"/>
                <w:sz w:val="24"/>
                <w:szCs w:val="32"/>
                <w:highlight w:val="none"/>
                <w:lang w:bidi="ar"/>
              </w:rPr>
              <w:t>/d时，栅渣及沉砂总产生量为1.92t/d，700.8t/a。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（4）污泥</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32"/>
                <w:highlight w:val="none"/>
                <w:lang w:bidi="ar"/>
              </w:rPr>
              <w:t>项目扩建前污泥量约为1.5</w:t>
            </w:r>
            <w:r>
              <w:rPr>
                <w:color w:val="auto"/>
                <w:sz w:val="24"/>
                <w:szCs w:val="24"/>
                <w:highlight w:val="none"/>
              </w:rPr>
              <w:t>t/d（547.5t/a）；</w:t>
            </w:r>
            <w:r>
              <w:rPr>
                <w:color w:val="auto"/>
                <w:sz w:val="24"/>
                <w:highlight w:val="none"/>
                <w:lang w:bidi="ar"/>
              </w:rPr>
              <w:t>根据项目可研报告，全厂</w:t>
            </w:r>
            <w:r>
              <w:rPr>
                <w:color w:val="auto"/>
                <w:sz w:val="24"/>
                <w:szCs w:val="24"/>
                <w:highlight w:val="none"/>
              </w:rPr>
              <w:t>剩余污泥干重为2.4t/d（876.0t/a）。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（5）废包装材料</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项目营运期产生的废药品包装材料主要是辅料废包装，包括PFS、PAM、石灰等包装，项目扩建前产生量约为0.1t/a，扩建后产生量约为0.2t/a。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（6）</w:t>
            </w:r>
            <w:r>
              <w:rPr>
                <w:b/>
                <w:bCs/>
                <w:color w:val="auto"/>
                <w:sz w:val="24"/>
                <w:szCs w:val="24"/>
                <w:highlight w:val="none"/>
                <w:lang w:bidi="ar"/>
              </w:rPr>
              <w:t>化验废液</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lang w:bidi="ar"/>
              </w:rPr>
              <w:t>本项目化验废液包含化验室废液与在线监测系统废液，</w:t>
            </w:r>
            <w:r>
              <w:rPr>
                <w:color w:val="auto"/>
                <w:sz w:val="24"/>
                <w:szCs w:val="32"/>
                <w:highlight w:val="none"/>
                <w:lang w:bidi="ar"/>
              </w:rPr>
              <w:t>扩建前化验废液产生量为1.35t/a。本次依托一期在线监测系统，且不新增化验种类，因此不会新增化验废液。</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（7）废机油</w:t>
            </w:r>
          </w:p>
          <w:p>
            <w:pPr>
              <w:pageBreakBefore w:val="0"/>
              <w:kinsoku/>
              <w:wordWrap/>
              <w:topLinePunct w:val="0"/>
              <w:bidi w:val="0"/>
              <w:spacing w:line="360" w:lineRule="auto"/>
              <w:ind w:left="0" w:leftChars="0" w:right="0" w:rightChars="0" w:firstLine="480" w:firstLineChars="200"/>
              <w:rPr>
                <w:rFonts w:hint="eastAsia"/>
                <w:color w:val="auto"/>
                <w:sz w:val="24"/>
                <w:szCs w:val="32"/>
                <w:highlight w:val="none"/>
                <w:lang w:eastAsia="zh-CN" w:bidi="ar"/>
              </w:rPr>
            </w:pPr>
            <w:r>
              <w:rPr>
                <w:color w:val="auto"/>
                <w:sz w:val="24"/>
                <w:szCs w:val="32"/>
                <w:highlight w:val="none"/>
                <w:lang w:bidi="ar"/>
              </w:rPr>
              <w:t>本项目废机油及含油废物主要来源于机械维护保养，扩建前废机油及含油废物产生量为0.1t/a，扩建后产生量约为0.2t/a</w:t>
            </w:r>
            <w:r>
              <w:rPr>
                <w:rFonts w:hint="eastAsia"/>
                <w:color w:val="auto"/>
                <w:sz w:val="24"/>
                <w:szCs w:val="32"/>
                <w:highlight w:val="none"/>
                <w:lang w:eastAsia="zh-CN" w:bidi="ar"/>
              </w:rPr>
              <w:t>。</w:t>
            </w:r>
          </w:p>
          <w:p>
            <w:pPr>
              <w:pageBreakBefore w:val="0"/>
              <w:kinsoku/>
              <w:wordWrap/>
              <w:topLinePunct w:val="0"/>
              <w:bidi w:val="0"/>
              <w:spacing w:line="360" w:lineRule="auto"/>
              <w:ind w:left="0" w:leftChars="0" w:right="0" w:rightChars="0" w:firstLine="482" w:firstLineChars="200"/>
              <w:rPr>
                <w:rFonts w:hint="eastAsia"/>
                <w:b/>
                <w:bCs/>
                <w:color w:val="auto"/>
                <w:sz w:val="24"/>
                <w:szCs w:val="32"/>
                <w:highlight w:val="none"/>
                <w:lang w:eastAsia="zh-CN" w:bidi="ar"/>
              </w:rPr>
            </w:pPr>
            <w:r>
              <w:rPr>
                <w:rFonts w:hint="eastAsia"/>
                <w:b/>
                <w:bCs/>
                <w:color w:val="auto"/>
                <w:sz w:val="24"/>
                <w:szCs w:val="32"/>
                <w:highlight w:val="none"/>
                <w:lang w:eastAsia="zh-CN" w:bidi="ar"/>
              </w:rPr>
              <w:t>（</w:t>
            </w:r>
            <w:r>
              <w:rPr>
                <w:rFonts w:hint="eastAsia"/>
                <w:b/>
                <w:bCs/>
                <w:color w:val="auto"/>
                <w:sz w:val="24"/>
                <w:szCs w:val="32"/>
                <w:highlight w:val="none"/>
                <w:lang w:val="en-US" w:eastAsia="zh-CN" w:bidi="ar"/>
              </w:rPr>
              <w:t>8</w:t>
            </w:r>
            <w:r>
              <w:rPr>
                <w:rFonts w:hint="eastAsia"/>
                <w:b/>
                <w:bCs/>
                <w:color w:val="auto"/>
                <w:sz w:val="24"/>
                <w:szCs w:val="32"/>
                <w:highlight w:val="none"/>
                <w:lang w:eastAsia="zh-CN" w:bidi="ar"/>
              </w:rPr>
              <w:t>）</w:t>
            </w:r>
            <w:r>
              <w:rPr>
                <w:rFonts w:hint="eastAsia"/>
                <w:b/>
                <w:bCs/>
                <w:color w:val="auto"/>
                <w:sz w:val="24"/>
                <w:szCs w:val="32"/>
                <w:highlight w:val="none"/>
                <w:lang w:val="en-US" w:eastAsia="zh-CN" w:bidi="ar"/>
              </w:rPr>
              <w:t>废紫外灯管</w:t>
            </w:r>
          </w:p>
          <w:p>
            <w:pPr>
              <w:pageBreakBefore w:val="0"/>
              <w:kinsoku/>
              <w:wordWrap/>
              <w:topLinePunct w:val="0"/>
              <w:bidi w:val="0"/>
              <w:spacing w:line="360" w:lineRule="auto"/>
              <w:ind w:left="0" w:leftChars="0" w:right="0" w:rightChars="0" w:firstLine="480" w:firstLineChars="200"/>
              <w:rPr>
                <w:rFonts w:hint="default"/>
                <w:color w:val="auto"/>
                <w:sz w:val="24"/>
                <w:szCs w:val="24"/>
                <w:highlight w:val="none"/>
                <w:lang w:val="en-US" w:eastAsia="zh-CN" w:bidi="ar"/>
              </w:rPr>
            </w:pPr>
            <w:r>
              <w:rPr>
                <w:rFonts w:hint="eastAsia"/>
                <w:color w:val="auto"/>
                <w:sz w:val="24"/>
                <w:szCs w:val="24"/>
                <w:highlight w:val="none"/>
                <w:lang w:val="en-US" w:eastAsia="zh-CN" w:bidi="ar"/>
              </w:rPr>
              <w:t>项目紫外灯管暂未更换，因此无废紫外灯管产生。扩建后，废紫外灯管产生量约为0.05t/a。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2、固废治理措施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（1）生活垃圾</w:t>
            </w:r>
          </w:p>
          <w:p>
            <w:pPr>
              <w:pageBreakBefore w:val="0"/>
              <w:kinsoku/>
              <w:wordWrap/>
              <w:topLinePunct w:val="0"/>
              <w:bidi w:val="0"/>
              <w:spacing w:line="360" w:lineRule="auto"/>
              <w:ind w:left="0" w:leftChars="0" w:right="0" w:rightChars="0" w:firstLine="480" w:firstLineChars="200"/>
              <w:rPr>
                <w:rFonts w:hint="eastAsia"/>
                <w:color w:val="auto"/>
                <w:sz w:val="24"/>
                <w:szCs w:val="32"/>
                <w:highlight w:val="none"/>
                <w:lang w:eastAsia="zh-CN" w:bidi="ar"/>
              </w:rPr>
            </w:pPr>
            <w:r>
              <w:rPr>
                <w:color w:val="auto"/>
                <w:sz w:val="24"/>
                <w:szCs w:val="32"/>
                <w:highlight w:val="none"/>
                <w:lang w:bidi="ar"/>
              </w:rPr>
              <w:t>项目运营期生活垃圾经设置的垃圾箱（桶）收集后</w:t>
            </w:r>
            <w:r>
              <w:rPr>
                <w:rFonts w:hint="eastAsia"/>
                <w:color w:val="auto"/>
                <w:sz w:val="24"/>
                <w:szCs w:val="32"/>
                <w:highlight w:val="none"/>
                <w:lang w:eastAsia="zh-CN" w:bidi="ar"/>
              </w:rPr>
              <w:t>交由环卫部门统一处置。</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（2）餐厨垃圾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项目运营期餐厨垃圾经桶装收集后</w:t>
            </w:r>
            <w:r>
              <w:rPr>
                <w:rFonts w:hint="eastAsia"/>
                <w:color w:val="auto"/>
                <w:sz w:val="24"/>
                <w:szCs w:val="32"/>
                <w:highlight w:val="none"/>
                <w:lang w:eastAsia="zh-CN" w:bidi="ar"/>
              </w:rPr>
              <w:t>交由</w:t>
            </w:r>
            <w:r>
              <w:rPr>
                <w:rFonts w:hint="eastAsia"/>
                <w:color w:val="auto"/>
                <w:sz w:val="24"/>
                <w:szCs w:val="32"/>
                <w:highlight w:val="none"/>
                <w:lang w:val="en-US" w:eastAsia="zh-CN" w:bidi="ar"/>
              </w:rPr>
              <w:t>有资质的单位处理</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（3）栅渣及沉砂</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项目营运期栅渣及沉砂经装袋收集后</w:t>
            </w:r>
            <w:r>
              <w:rPr>
                <w:rFonts w:hint="eastAsia"/>
                <w:color w:val="auto"/>
                <w:sz w:val="24"/>
                <w:szCs w:val="32"/>
                <w:highlight w:val="none"/>
                <w:lang w:eastAsia="zh-CN" w:bidi="ar"/>
              </w:rPr>
              <w:t>交由环卫部门统一处置</w:t>
            </w:r>
            <w:r>
              <w:rPr>
                <w:color w:val="auto"/>
                <w:sz w:val="24"/>
                <w:szCs w:val="32"/>
                <w:highlight w:val="none"/>
                <w:lang w:bidi="ar"/>
              </w:rPr>
              <w:t>。</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（4）污泥</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项目建成后</w:t>
            </w:r>
            <w:r>
              <w:rPr>
                <w:b/>
                <w:bCs/>
                <w:color w:val="auto"/>
                <w:sz w:val="24"/>
                <w:szCs w:val="32"/>
                <w:highlight w:val="none"/>
                <w:lang w:bidi="ar"/>
              </w:rPr>
              <w:t>该污水处理厂将会收纳</w:t>
            </w:r>
            <w:r>
              <w:rPr>
                <w:b/>
                <w:bCs/>
                <w:color w:val="auto"/>
                <w:sz w:val="24"/>
                <w:szCs w:val="24"/>
                <w:highlight w:val="none"/>
                <w:lang w:bidi="ar"/>
              </w:rPr>
              <w:t>南坝工业园区工业废水</w:t>
            </w:r>
            <w:r>
              <w:rPr>
                <w:b/>
                <w:bCs/>
                <w:color w:val="auto"/>
                <w:sz w:val="24"/>
                <w:szCs w:val="32"/>
                <w:highlight w:val="none"/>
                <w:lang w:bidi="ar"/>
              </w:rPr>
              <w:t>。因此，需对后期污泥进行危险特性鉴别。根据结果确定其最终处置方式。若不属于危险废物，则</w:t>
            </w:r>
            <w:r>
              <w:rPr>
                <w:rFonts w:hint="eastAsia"/>
                <w:b/>
                <w:bCs/>
                <w:color w:val="auto"/>
                <w:sz w:val="24"/>
                <w:szCs w:val="24"/>
                <w:highlight w:val="none"/>
                <w:lang w:eastAsia="zh-CN" w:bidi="ar"/>
              </w:rPr>
              <w:t>污泥脱水后（含水率控制在60%以内）交由宣汉海诺尔环保发电有限公司焚烧发电</w:t>
            </w:r>
            <w:r>
              <w:rPr>
                <w:b/>
                <w:bCs/>
                <w:color w:val="auto"/>
                <w:sz w:val="24"/>
                <w:szCs w:val="24"/>
                <w:highlight w:val="none"/>
                <w:lang w:bidi="ar"/>
              </w:rPr>
              <w:t>；若属于危险废物，则须委托有危废处理资质单位进行处置。</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（5）废包装材料</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废包装材料定期交由废品收购站回收。</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（6）</w:t>
            </w:r>
            <w:r>
              <w:rPr>
                <w:b/>
                <w:bCs/>
                <w:color w:val="auto"/>
                <w:sz w:val="24"/>
                <w:szCs w:val="24"/>
                <w:highlight w:val="none"/>
                <w:lang w:bidi="ar"/>
              </w:rPr>
              <w:t>化验废液</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24"/>
                <w:highlight w:val="none"/>
                <w:lang w:bidi="ar"/>
              </w:rPr>
              <w:t>本项目化验废液包含化验室废液与在线监测系统废液。根据《国家危险废物名录》（2021年版）化验废液属于危险废物（HW49其他废物，代码900-047-49），暂存于危废暂存间后，定期交由南充嘉源环保科技有限责任公司处置。</w:t>
            </w:r>
          </w:p>
          <w:p>
            <w:pPr>
              <w:pageBreakBefore w:val="0"/>
              <w:kinsoku/>
              <w:wordWrap/>
              <w:topLinePunct w:val="0"/>
              <w:bidi w:val="0"/>
              <w:spacing w:line="360" w:lineRule="auto"/>
              <w:ind w:left="0" w:leftChars="0" w:right="0" w:rightChars="0" w:firstLine="482" w:firstLineChars="200"/>
              <w:rPr>
                <w:color w:val="auto"/>
                <w:sz w:val="24"/>
                <w:szCs w:val="32"/>
                <w:highlight w:val="none"/>
                <w:lang w:bidi="ar"/>
              </w:rPr>
            </w:pPr>
            <w:r>
              <w:rPr>
                <w:b/>
                <w:bCs/>
                <w:color w:val="auto"/>
                <w:sz w:val="24"/>
                <w:szCs w:val="32"/>
                <w:highlight w:val="none"/>
                <w:lang w:bidi="ar"/>
              </w:rPr>
              <w:t>（7）废机油</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根据《国家危险废物名录》（2021年版）废机油属于危险废物（HW08废矿物油与含矿物油废物，代码900-214-08），暂存于危废暂存间后，定期交由南充嘉源环保科技有限责任公司处置。</w:t>
            </w:r>
          </w:p>
          <w:p>
            <w:pPr>
              <w:pageBreakBefore w:val="0"/>
              <w:kinsoku/>
              <w:wordWrap/>
              <w:topLinePunct w:val="0"/>
              <w:bidi w:val="0"/>
              <w:spacing w:line="360" w:lineRule="auto"/>
              <w:ind w:left="0" w:leftChars="0" w:right="0" w:rightChars="0" w:firstLine="482" w:firstLineChars="200"/>
              <w:rPr>
                <w:rFonts w:hint="eastAsia" w:eastAsia="宋体"/>
                <w:color w:val="auto"/>
                <w:sz w:val="24"/>
                <w:szCs w:val="24"/>
                <w:highlight w:val="none"/>
                <w:lang w:eastAsia="zh-CN" w:bidi="ar"/>
              </w:rPr>
            </w:pPr>
            <w:r>
              <w:rPr>
                <w:rFonts w:hint="eastAsia"/>
                <w:b/>
                <w:bCs/>
                <w:color w:val="auto"/>
                <w:sz w:val="24"/>
                <w:szCs w:val="24"/>
                <w:highlight w:val="none"/>
                <w:lang w:eastAsia="zh-CN" w:bidi="ar"/>
              </w:rPr>
              <w:t>（</w:t>
            </w:r>
            <w:r>
              <w:rPr>
                <w:rFonts w:hint="eastAsia"/>
                <w:b/>
                <w:bCs/>
                <w:color w:val="auto"/>
                <w:sz w:val="24"/>
                <w:szCs w:val="24"/>
                <w:highlight w:val="none"/>
                <w:lang w:val="en-US" w:eastAsia="zh-CN" w:bidi="ar"/>
              </w:rPr>
              <w:t>8</w:t>
            </w:r>
            <w:r>
              <w:rPr>
                <w:rFonts w:hint="eastAsia"/>
                <w:b/>
                <w:bCs/>
                <w:color w:val="auto"/>
                <w:sz w:val="24"/>
                <w:szCs w:val="24"/>
                <w:highlight w:val="none"/>
                <w:lang w:eastAsia="zh-CN" w:bidi="ar"/>
              </w:rPr>
              <w:t>）</w:t>
            </w:r>
            <w:r>
              <w:rPr>
                <w:rFonts w:hint="eastAsia"/>
                <w:b/>
                <w:bCs/>
                <w:color w:val="auto"/>
                <w:sz w:val="24"/>
                <w:szCs w:val="32"/>
                <w:highlight w:val="none"/>
                <w:lang w:val="en-US" w:eastAsia="zh-CN" w:bidi="ar"/>
              </w:rPr>
              <w:t>废紫外灯管</w:t>
            </w:r>
          </w:p>
          <w:p>
            <w:pPr>
              <w:pageBreakBefore w:val="0"/>
              <w:kinsoku/>
              <w:wordWrap/>
              <w:topLinePunct w:val="0"/>
              <w:bidi w:val="0"/>
              <w:spacing w:line="360" w:lineRule="auto"/>
              <w:ind w:left="0" w:leftChars="0" w:right="0" w:rightChars="0" w:firstLine="480" w:firstLineChars="200"/>
              <w:rPr>
                <w:rFonts w:hint="eastAsia"/>
                <w:color w:val="auto"/>
                <w:sz w:val="24"/>
                <w:szCs w:val="32"/>
                <w:highlight w:val="none"/>
                <w:lang w:val="en-US" w:eastAsia="zh-CN" w:bidi="ar"/>
              </w:rPr>
            </w:pPr>
            <w:r>
              <w:rPr>
                <w:color w:val="auto"/>
                <w:sz w:val="24"/>
                <w:szCs w:val="24"/>
                <w:highlight w:val="none"/>
                <w:lang w:bidi="ar"/>
              </w:rPr>
              <w:t>根据《国家危险废物名录》（2021年版）</w:t>
            </w:r>
            <w:r>
              <w:rPr>
                <w:rFonts w:hint="eastAsia"/>
                <w:color w:val="auto"/>
                <w:sz w:val="24"/>
                <w:szCs w:val="24"/>
                <w:highlight w:val="none"/>
                <w:lang w:val="en-US" w:eastAsia="zh-CN" w:bidi="ar"/>
              </w:rPr>
              <w:t>废紫外灯管属于危险废物（</w:t>
            </w:r>
            <w:r>
              <w:rPr>
                <w:color w:val="auto"/>
                <w:sz w:val="24"/>
                <w:szCs w:val="24"/>
                <w:highlight w:val="none"/>
                <w:lang w:bidi="ar"/>
              </w:rPr>
              <w:t>HW</w:t>
            </w:r>
            <w:r>
              <w:rPr>
                <w:rFonts w:hint="eastAsia"/>
                <w:color w:val="auto"/>
                <w:sz w:val="24"/>
                <w:szCs w:val="24"/>
                <w:highlight w:val="none"/>
                <w:lang w:val="en-US" w:eastAsia="zh-CN" w:bidi="ar"/>
              </w:rPr>
              <w:t>29含汞废物，代码900-023-29）。环评要求，后期更换下的废紫外灯管交由有资质的单位处理。</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项目固废产排情况汇总详见下表：</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w:t>
            </w:r>
            <w:r>
              <w:rPr>
                <w:rFonts w:hint="eastAsia" w:eastAsia="黑体"/>
                <w:color w:val="auto"/>
                <w:szCs w:val="22"/>
                <w:highlight w:val="none"/>
                <w:lang w:val="en-US" w:eastAsia="zh-CN"/>
              </w:rPr>
              <w:t>20</w:t>
            </w:r>
            <w:r>
              <w:rPr>
                <w:rFonts w:hint="eastAsia" w:eastAsia="黑体"/>
                <w:color w:val="auto"/>
                <w:szCs w:val="22"/>
                <w:highlight w:val="none"/>
              </w:rPr>
              <w:t xml:space="preserve"> </w:t>
            </w:r>
            <w:r>
              <w:rPr>
                <w:rFonts w:eastAsia="黑体"/>
                <w:color w:val="auto"/>
                <w:szCs w:val="22"/>
                <w:highlight w:val="none"/>
              </w:rPr>
              <w:t>固体废物治理措施及排放情况</w:t>
            </w:r>
            <w:r>
              <w:rPr>
                <w:rFonts w:hint="eastAsia" w:eastAsia="黑体"/>
                <w:color w:val="auto"/>
                <w:szCs w:val="22"/>
                <w:highlight w:val="none"/>
                <w:lang w:val="en-US" w:eastAsia="zh-CN"/>
              </w:rPr>
              <w:t xml:space="preserve"> </w:t>
            </w:r>
            <w:r>
              <w:rPr>
                <w:rFonts w:hint="eastAsia" w:eastAsia="黑体"/>
                <w:color w:val="auto"/>
                <w:szCs w:val="22"/>
                <w:highlight w:val="none"/>
              </w:rPr>
              <w:t xml:space="preserve"> </w:t>
            </w:r>
            <w:r>
              <w:rPr>
                <w:rFonts w:eastAsia="黑体"/>
                <w:color w:val="auto"/>
                <w:szCs w:val="22"/>
                <w:highlight w:val="none"/>
              </w:rPr>
              <w:t>单位：t/a</w:t>
            </w:r>
          </w:p>
          <w:tbl>
            <w:tblPr>
              <w:tblStyle w:val="2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285"/>
              <w:gridCol w:w="810"/>
              <w:gridCol w:w="750"/>
              <w:gridCol w:w="825"/>
              <w:gridCol w:w="1260"/>
              <w:gridCol w:w="765"/>
              <w:gridCol w:w="1095"/>
              <w:gridCol w:w="19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序号</w:t>
                  </w:r>
                </w:p>
              </w:tc>
              <w:tc>
                <w:tcPr>
                  <w:tcW w:w="702"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固废名称</w:t>
                  </w:r>
                </w:p>
              </w:tc>
              <w:tc>
                <w:tcPr>
                  <w:tcW w:w="44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属性</w:t>
                  </w:r>
                </w:p>
              </w:tc>
              <w:tc>
                <w:tcPr>
                  <w:tcW w:w="410"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产生工序</w:t>
                  </w:r>
                </w:p>
              </w:tc>
              <w:tc>
                <w:tcPr>
                  <w:tcW w:w="451"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废物</w:t>
                  </w:r>
                </w:p>
                <w:p>
                  <w:pPr>
                    <w:pageBreakBefore w:val="0"/>
                    <w:kinsoku/>
                    <w:wordWrap/>
                    <w:topLinePunct w:val="0"/>
                    <w:bidi w:val="0"/>
                    <w:ind w:left="0" w:leftChars="0" w:right="0" w:rightChars="0"/>
                    <w:jc w:val="center"/>
                    <w:rPr>
                      <w:b/>
                      <w:bCs/>
                      <w:color w:val="auto"/>
                      <w:highlight w:val="none"/>
                    </w:rPr>
                  </w:pPr>
                  <w:r>
                    <w:rPr>
                      <w:b/>
                      <w:bCs/>
                      <w:color w:val="auto"/>
                      <w:highlight w:val="none"/>
                    </w:rPr>
                    <w:t>类别</w:t>
                  </w:r>
                </w:p>
              </w:tc>
              <w:tc>
                <w:tcPr>
                  <w:tcW w:w="689"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废物代码</w:t>
                  </w:r>
                </w:p>
              </w:tc>
              <w:tc>
                <w:tcPr>
                  <w:tcW w:w="41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产生量</w:t>
                  </w:r>
                </w:p>
              </w:tc>
              <w:tc>
                <w:tcPr>
                  <w:tcW w:w="59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处置利用方式</w:t>
                  </w:r>
                </w:p>
              </w:tc>
              <w:tc>
                <w:tcPr>
                  <w:tcW w:w="105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处置方法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生活垃圾</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一般固废</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员工</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3.65</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highlight w:val="none"/>
                      <w:lang w:eastAsia="zh-CN"/>
                    </w:rPr>
                    <w:t>交由环卫部门统一处置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餐厨垃圾</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一般固废</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员工</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0.73</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交由有资质的单位回收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栅渣及沉砂</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一般固废</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格栅</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700.8</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Align w:val="center"/>
                </w:tcPr>
                <w:p>
                  <w:pPr>
                    <w:pageBreakBefore w:val="0"/>
                    <w:kinsoku/>
                    <w:wordWrap/>
                    <w:topLinePunct w:val="0"/>
                    <w:bidi w:val="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eastAsia="zh-CN"/>
                    </w:rPr>
                    <w:t>交由环卫部门统一处置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污泥</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污泥脱水</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876.0</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根据结果确定其最终处置方式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废包装材料</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一般固废</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包装</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废品收购站回收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化验废液</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危险废物</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在线监测</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HW49</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900-047-49</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1.35</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交由南充嘉源环保科技有限责任公司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废机油</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危险废物</w:t>
                  </w:r>
                </w:p>
              </w:tc>
              <w:tc>
                <w:tcPr>
                  <w:tcW w:w="41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机修</w:t>
                  </w:r>
                </w:p>
              </w:tc>
              <w:tc>
                <w:tcPr>
                  <w:tcW w:w="45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HW08</w:t>
                  </w:r>
                </w:p>
              </w:tc>
              <w:tc>
                <w:tcPr>
                  <w:tcW w:w="68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900-214-08</w:t>
                  </w:r>
                </w:p>
              </w:tc>
              <w:tc>
                <w:tcPr>
                  <w:tcW w:w="41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32"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8</w:t>
                  </w:r>
                </w:p>
              </w:tc>
              <w:tc>
                <w:tcPr>
                  <w:tcW w:w="702" w:type="pct"/>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废紫外灯管</w:t>
                  </w:r>
                </w:p>
              </w:tc>
              <w:tc>
                <w:tcPr>
                  <w:tcW w:w="44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危险废物</w:t>
                  </w:r>
                </w:p>
              </w:tc>
              <w:tc>
                <w:tcPr>
                  <w:tcW w:w="410"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紫外消毒</w:t>
                  </w:r>
                </w:p>
              </w:tc>
              <w:tc>
                <w:tcPr>
                  <w:tcW w:w="451"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HW29</w:t>
                  </w:r>
                </w:p>
              </w:tc>
              <w:tc>
                <w:tcPr>
                  <w:tcW w:w="689" w:type="pct"/>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900-023-29</w:t>
                  </w:r>
                </w:p>
              </w:tc>
              <w:tc>
                <w:tcPr>
                  <w:tcW w:w="418"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c>
                <w:tcPr>
                  <w:tcW w:w="59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委托处置</w:t>
                  </w:r>
                </w:p>
              </w:tc>
              <w:tc>
                <w:tcPr>
                  <w:tcW w:w="1053" w:type="pct"/>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交由有资质的单位处理</w:t>
                  </w:r>
                </w:p>
              </w:tc>
            </w:tr>
          </w:tbl>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根据《建设项目危险废物环境影响评价指南》危险废物污染防治措施情况汇总，详见下表：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表4-2</w:t>
            </w:r>
            <w:r>
              <w:rPr>
                <w:rFonts w:hint="eastAsia" w:eastAsia="黑体"/>
                <w:color w:val="auto"/>
                <w:highlight w:val="none"/>
                <w:lang w:val="en-US" w:eastAsia="zh-CN"/>
              </w:rPr>
              <w:t>1</w:t>
            </w:r>
            <w:r>
              <w:rPr>
                <w:rFonts w:hint="eastAsia" w:eastAsia="黑体"/>
                <w:color w:val="auto"/>
                <w:highlight w:val="none"/>
              </w:rPr>
              <w:t xml:space="preserve"> </w:t>
            </w:r>
            <w:r>
              <w:rPr>
                <w:rFonts w:eastAsia="黑体"/>
                <w:color w:val="auto"/>
                <w:highlight w:val="none"/>
              </w:rPr>
              <w:t>危险废物汇总表</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9"/>
              <w:gridCol w:w="780"/>
              <w:gridCol w:w="1245"/>
              <w:gridCol w:w="735"/>
              <w:gridCol w:w="645"/>
              <w:gridCol w:w="525"/>
              <w:gridCol w:w="720"/>
              <w:gridCol w:w="795"/>
              <w:gridCol w:w="675"/>
              <w:gridCol w:w="2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557"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名称</w:t>
                  </w:r>
                </w:p>
              </w:tc>
              <w:tc>
                <w:tcPr>
                  <w:tcW w:w="426"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危废类别</w:t>
                  </w:r>
                </w:p>
              </w:tc>
              <w:tc>
                <w:tcPr>
                  <w:tcW w:w="680"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危废代码</w:t>
                  </w:r>
                </w:p>
              </w:tc>
              <w:tc>
                <w:tcPr>
                  <w:tcW w:w="401"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年产量t/a</w:t>
                  </w:r>
                </w:p>
              </w:tc>
              <w:tc>
                <w:tcPr>
                  <w:tcW w:w="352"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生产工序</w:t>
                  </w:r>
                </w:p>
              </w:tc>
              <w:tc>
                <w:tcPr>
                  <w:tcW w:w="286"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形态</w:t>
                  </w:r>
                </w:p>
              </w:tc>
              <w:tc>
                <w:tcPr>
                  <w:tcW w:w="393"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有害成分</w:t>
                  </w:r>
                </w:p>
              </w:tc>
              <w:tc>
                <w:tcPr>
                  <w:tcW w:w="434"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产废周期</w:t>
                  </w:r>
                </w:p>
              </w:tc>
              <w:tc>
                <w:tcPr>
                  <w:tcW w:w="368"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危废特性</w:t>
                  </w:r>
                </w:p>
              </w:tc>
              <w:tc>
                <w:tcPr>
                  <w:tcW w:w="1097"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污染防治措施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化验废液</w:t>
                  </w:r>
                </w:p>
              </w:tc>
              <w:tc>
                <w:tcPr>
                  <w:tcW w:w="42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HW49</w:t>
                  </w:r>
                </w:p>
              </w:tc>
              <w:tc>
                <w:tcPr>
                  <w:tcW w:w="68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900-047-49</w:t>
                  </w:r>
                </w:p>
              </w:tc>
              <w:tc>
                <w:tcPr>
                  <w:tcW w:w="40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1.35</w:t>
                  </w:r>
                </w:p>
              </w:tc>
              <w:tc>
                <w:tcPr>
                  <w:tcW w:w="35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监测</w:t>
                  </w:r>
                </w:p>
              </w:tc>
              <w:tc>
                <w:tcPr>
                  <w:tcW w:w="28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液</w:t>
                  </w:r>
                </w:p>
              </w:tc>
              <w:tc>
                <w:tcPr>
                  <w:tcW w:w="39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含铬废液</w:t>
                  </w:r>
                </w:p>
              </w:tc>
              <w:tc>
                <w:tcPr>
                  <w:tcW w:w="43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年/次</w:t>
                  </w:r>
                </w:p>
              </w:tc>
              <w:tc>
                <w:tcPr>
                  <w:tcW w:w="36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T，I</w:t>
                  </w:r>
                </w:p>
              </w:tc>
              <w:tc>
                <w:tcPr>
                  <w:tcW w:w="1097"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暂存危废暂存间，交由南充嘉源环保科技有限责任公司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废机油</w:t>
                  </w:r>
                </w:p>
              </w:tc>
              <w:tc>
                <w:tcPr>
                  <w:tcW w:w="42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HW08</w:t>
                  </w:r>
                </w:p>
              </w:tc>
              <w:tc>
                <w:tcPr>
                  <w:tcW w:w="68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900-214-08</w:t>
                  </w:r>
                </w:p>
              </w:tc>
              <w:tc>
                <w:tcPr>
                  <w:tcW w:w="40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35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机修</w:t>
                  </w:r>
                </w:p>
              </w:tc>
              <w:tc>
                <w:tcPr>
                  <w:tcW w:w="28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液</w:t>
                  </w:r>
                </w:p>
              </w:tc>
              <w:tc>
                <w:tcPr>
                  <w:tcW w:w="39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石油类</w:t>
                  </w:r>
                </w:p>
              </w:tc>
              <w:tc>
                <w:tcPr>
                  <w:tcW w:w="43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年/次</w:t>
                  </w:r>
                </w:p>
              </w:tc>
              <w:tc>
                <w:tcPr>
                  <w:tcW w:w="36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T，I</w:t>
                  </w:r>
                </w:p>
              </w:tc>
              <w:tc>
                <w:tcPr>
                  <w:tcW w:w="1097"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7" w:type="pct"/>
                  <w:vAlign w:val="center"/>
                </w:tcPr>
                <w:p>
                  <w:pPr>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eastAsia="宋体"/>
                      <w:color w:val="auto"/>
                      <w:highlight w:val="none"/>
                      <w:lang w:val="en-US" w:eastAsia="zh-CN"/>
                    </w:rPr>
                    <w:t>废紫外灯管</w:t>
                  </w:r>
                </w:p>
              </w:tc>
              <w:tc>
                <w:tcPr>
                  <w:tcW w:w="426"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hint="eastAsia"/>
                      <w:color w:val="auto"/>
                      <w:highlight w:val="none"/>
                      <w:lang w:val="en-US" w:eastAsia="zh-CN"/>
                    </w:rPr>
                    <w:t>HW29</w:t>
                  </w:r>
                </w:p>
              </w:tc>
              <w:tc>
                <w:tcPr>
                  <w:tcW w:w="680"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hint="eastAsia"/>
                      <w:color w:val="auto"/>
                      <w:highlight w:val="none"/>
                      <w:lang w:val="en-US" w:eastAsia="zh-CN"/>
                    </w:rPr>
                    <w:t>900-023-29</w:t>
                  </w:r>
                </w:p>
              </w:tc>
              <w:tc>
                <w:tcPr>
                  <w:tcW w:w="401"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c>
                <w:tcPr>
                  <w:tcW w:w="352" w:type="pct"/>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紫外消毒</w:t>
                  </w:r>
                </w:p>
              </w:tc>
              <w:tc>
                <w:tcPr>
                  <w:tcW w:w="286"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固</w:t>
                  </w:r>
                </w:p>
              </w:tc>
              <w:tc>
                <w:tcPr>
                  <w:tcW w:w="393"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汞</w:t>
                  </w:r>
                </w:p>
              </w:tc>
              <w:tc>
                <w:tcPr>
                  <w:tcW w:w="43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年/次</w:t>
                  </w:r>
                </w:p>
              </w:tc>
              <w:tc>
                <w:tcPr>
                  <w:tcW w:w="36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T</w:t>
                  </w:r>
                </w:p>
              </w:tc>
              <w:tc>
                <w:tcPr>
                  <w:tcW w:w="109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暂存危废暂存间，交由有资质单位处置</w:t>
                  </w:r>
                </w:p>
              </w:tc>
            </w:tr>
          </w:tbl>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根据《建设项目危险废物环境影响评价指南》对危险废物贮存场所基本情况，详见下表：</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表4-2</w:t>
            </w:r>
            <w:r>
              <w:rPr>
                <w:rFonts w:hint="eastAsia" w:eastAsia="黑体"/>
                <w:color w:val="auto"/>
                <w:szCs w:val="22"/>
                <w:highlight w:val="none"/>
                <w:lang w:val="en-US" w:eastAsia="zh-CN"/>
              </w:rPr>
              <w:t>2</w:t>
            </w:r>
            <w:r>
              <w:rPr>
                <w:rFonts w:hint="eastAsia" w:eastAsia="黑体"/>
                <w:color w:val="auto"/>
                <w:szCs w:val="22"/>
                <w:highlight w:val="none"/>
              </w:rPr>
              <w:t xml:space="preserve"> </w:t>
            </w:r>
            <w:r>
              <w:rPr>
                <w:rFonts w:eastAsia="黑体"/>
                <w:color w:val="auto"/>
                <w:szCs w:val="22"/>
                <w:highlight w:val="none"/>
              </w:rPr>
              <w:t>危险废物贮存场所（设施）基本情况表</w:t>
            </w:r>
          </w:p>
          <w:tbl>
            <w:tblPr>
              <w:tblStyle w:val="2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7"/>
              <w:gridCol w:w="1290"/>
              <w:gridCol w:w="1125"/>
              <w:gridCol w:w="1200"/>
              <w:gridCol w:w="840"/>
              <w:gridCol w:w="713"/>
              <w:gridCol w:w="714"/>
              <w:gridCol w:w="897"/>
              <w:gridCol w:w="866"/>
              <w:gridCol w:w="7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贮存</w:t>
                  </w:r>
                </w:p>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场所</w:t>
                  </w:r>
                </w:p>
              </w:tc>
              <w:tc>
                <w:tcPr>
                  <w:tcW w:w="705"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名称</w:t>
                  </w:r>
                </w:p>
              </w:tc>
              <w:tc>
                <w:tcPr>
                  <w:tcW w:w="615"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危废类别</w:t>
                  </w:r>
                </w:p>
              </w:tc>
              <w:tc>
                <w:tcPr>
                  <w:tcW w:w="656"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危废代码</w:t>
                  </w:r>
                </w:p>
              </w:tc>
              <w:tc>
                <w:tcPr>
                  <w:tcW w:w="459"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位置</w:t>
                  </w:r>
                </w:p>
              </w:tc>
              <w:tc>
                <w:tcPr>
                  <w:tcW w:w="780" w:type="pct"/>
                  <w:gridSpan w:val="2"/>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占地面积</w:t>
                  </w:r>
                </w:p>
              </w:tc>
              <w:tc>
                <w:tcPr>
                  <w:tcW w:w="490"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贮存</w:t>
                  </w:r>
                </w:p>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方式</w:t>
                  </w:r>
                </w:p>
              </w:tc>
              <w:tc>
                <w:tcPr>
                  <w:tcW w:w="473"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贮存</w:t>
                  </w:r>
                </w:p>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能力</w:t>
                  </w:r>
                </w:p>
              </w:tc>
              <w:tc>
                <w:tcPr>
                  <w:tcW w:w="404" w:type="pct"/>
                  <w:vAlign w:val="center"/>
                </w:tcPr>
                <w:p>
                  <w:pPr>
                    <w:pageBreakBefore w:val="0"/>
                    <w:kinsoku/>
                    <w:wordWrap/>
                    <w:topLinePunct w:val="0"/>
                    <w:bidi w:val="0"/>
                    <w:adjustRightInd w:val="0"/>
                    <w:ind w:left="0" w:leftChars="0" w:right="0" w:rightChars="0"/>
                    <w:jc w:val="center"/>
                    <w:rPr>
                      <w:b/>
                      <w:bCs/>
                      <w:color w:val="auto"/>
                      <w:highlight w:val="none"/>
                    </w:rPr>
                  </w:pPr>
                  <w:r>
                    <w:rPr>
                      <w:b/>
                      <w:bCs/>
                      <w:color w:val="auto"/>
                      <w:highlight w:val="none"/>
                    </w:rPr>
                    <w:t>贮存周期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危废暂存间</w:t>
                  </w:r>
                </w:p>
              </w:tc>
              <w:tc>
                <w:tcPr>
                  <w:tcW w:w="7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化验废液</w:t>
                  </w:r>
                </w:p>
              </w:tc>
              <w:tc>
                <w:tcPr>
                  <w:tcW w:w="61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HW49</w:t>
                  </w:r>
                </w:p>
              </w:tc>
              <w:tc>
                <w:tcPr>
                  <w:tcW w:w="65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900-047-49</w:t>
                  </w:r>
                </w:p>
              </w:tc>
              <w:tc>
                <w:tcPr>
                  <w:tcW w:w="459"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厂区西北侧</w:t>
                  </w:r>
                </w:p>
              </w:tc>
              <w:tc>
                <w:tcPr>
                  <w:tcW w:w="780" w:type="pct"/>
                  <w:gridSpan w:val="2"/>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25</w:t>
                  </w:r>
                  <w:r>
                    <w:rPr>
                      <w:color w:val="auto"/>
                      <w:highlight w:val="none"/>
                    </w:rPr>
                    <w:t>m</w:t>
                  </w:r>
                  <w:r>
                    <w:rPr>
                      <w:color w:val="auto"/>
                      <w:highlight w:val="none"/>
                      <w:vertAlign w:val="superscript"/>
                    </w:rPr>
                    <w:t>2</w:t>
                  </w:r>
                </w:p>
              </w:tc>
              <w:tc>
                <w:tcPr>
                  <w:tcW w:w="49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桶装</w:t>
                  </w:r>
                </w:p>
              </w:tc>
              <w:tc>
                <w:tcPr>
                  <w:tcW w:w="4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2t</w:t>
                  </w:r>
                </w:p>
              </w:tc>
              <w:tc>
                <w:tcPr>
                  <w:tcW w:w="40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pPr>
                    <w:pageBreakBefore w:val="0"/>
                    <w:kinsoku/>
                    <w:wordWrap/>
                    <w:topLinePunct w:val="0"/>
                    <w:bidi w:val="0"/>
                    <w:ind w:left="0" w:leftChars="0" w:right="0" w:rightChars="0"/>
                    <w:jc w:val="center"/>
                    <w:rPr>
                      <w:color w:val="auto"/>
                      <w:highlight w:val="none"/>
                    </w:rPr>
                  </w:pPr>
                </w:p>
              </w:tc>
              <w:tc>
                <w:tcPr>
                  <w:tcW w:w="7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废机油</w:t>
                  </w:r>
                </w:p>
              </w:tc>
              <w:tc>
                <w:tcPr>
                  <w:tcW w:w="61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HW08</w:t>
                  </w:r>
                </w:p>
              </w:tc>
              <w:tc>
                <w:tcPr>
                  <w:tcW w:w="65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900-214-08</w:t>
                  </w:r>
                </w:p>
              </w:tc>
              <w:tc>
                <w:tcPr>
                  <w:tcW w:w="459" w:type="pct"/>
                  <w:vMerge w:val="continue"/>
                  <w:vAlign w:val="center"/>
                </w:tcPr>
                <w:p>
                  <w:pPr>
                    <w:pageBreakBefore w:val="0"/>
                    <w:kinsoku/>
                    <w:wordWrap/>
                    <w:topLinePunct w:val="0"/>
                    <w:bidi w:val="0"/>
                    <w:ind w:left="0" w:leftChars="0" w:right="0" w:rightChars="0"/>
                    <w:jc w:val="center"/>
                    <w:rPr>
                      <w:color w:val="auto"/>
                      <w:highlight w:val="none"/>
                    </w:rPr>
                  </w:pPr>
                </w:p>
              </w:tc>
              <w:tc>
                <w:tcPr>
                  <w:tcW w:w="389" w:type="pct"/>
                  <w:vMerge w:val="restart"/>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25</w:t>
                  </w:r>
                  <w:r>
                    <w:rPr>
                      <w:color w:val="auto"/>
                      <w:highlight w:val="none"/>
                    </w:rPr>
                    <w:t>m</w:t>
                  </w:r>
                  <w:r>
                    <w:rPr>
                      <w:color w:val="auto"/>
                      <w:highlight w:val="none"/>
                      <w:vertAlign w:val="superscript"/>
                    </w:rPr>
                    <w:t>2</w:t>
                  </w:r>
                </w:p>
              </w:tc>
              <w:tc>
                <w:tcPr>
                  <w:tcW w:w="390"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23</w:t>
                  </w:r>
                  <w:r>
                    <w:rPr>
                      <w:color w:val="auto"/>
                      <w:highlight w:val="none"/>
                    </w:rPr>
                    <w:t>m</w:t>
                  </w:r>
                  <w:r>
                    <w:rPr>
                      <w:color w:val="auto"/>
                      <w:highlight w:val="none"/>
                      <w:vertAlign w:val="superscript"/>
                    </w:rPr>
                    <w:t>2</w:t>
                  </w:r>
                </w:p>
              </w:tc>
              <w:tc>
                <w:tcPr>
                  <w:tcW w:w="49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桶装</w:t>
                  </w:r>
                </w:p>
              </w:tc>
              <w:tc>
                <w:tcPr>
                  <w:tcW w:w="47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1t</w:t>
                  </w:r>
                </w:p>
              </w:tc>
              <w:tc>
                <w:tcPr>
                  <w:tcW w:w="40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pPr>
                    <w:pageBreakBefore w:val="0"/>
                    <w:kinsoku/>
                    <w:wordWrap/>
                    <w:topLinePunct w:val="0"/>
                    <w:bidi w:val="0"/>
                    <w:ind w:left="0" w:leftChars="0" w:right="0" w:rightChars="0"/>
                    <w:jc w:val="center"/>
                    <w:rPr>
                      <w:color w:val="auto"/>
                      <w:highlight w:val="none"/>
                    </w:rPr>
                  </w:pPr>
                </w:p>
              </w:tc>
              <w:tc>
                <w:tcPr>
                  <w:tcW w:w="705" w:type="pct"/>
                  <w:vAlign w:val="center"/>
                </w:tcPr>
                <w:p>
                  <w:pPr>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eastAsia="宋体"/>
                      <w:color w:val="auto"/>
                      <w:highlight w:val="none"/>
                      <w:lang w:val="en-US" w:eastAsia="zh-CN"/>
                    </w:rPr>
                    <w:t>废紫外灯管</w:t>
                  </w:r>
                </w:p>
              </w:tc>
              <w:tc>
                <w:tcPr>
                  <w:tcW w:w="615"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hint="eastAsia"/>
                      <w:color w:val="auto"/>
                      <w:highlight w:val="none"/>
                      <w:lang w:val="en-US" w:eastAsia="zh-CN"/>
                    </w:rPr>
                    <w:t>HW29</w:t>
                  </w:r>
                </w:p>
              </w:tc>
              <w:tc>
                <w:tcPr>
                  <w:tcW w:w="656"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18"/>
                      <w:szCs w:val="18"/>
                      <w:highlight w:val="none"/>
                      <w:lang w:val="en-US" w:eastAsia="zh-CN" w:bidi="ar-SA"/>
                    </w:rPr>
                  </w:pPr>
                  <w:r>
                    <w:rPr>
                      <w:rFonts w:hint="eastAsia"/>
                      <w:color w:val="auto"/>
                      <w:highlight w:val="none"/>
                      <w:lang w:val="en-US" w:eastAsia="zh-CN"/>
                    </w:rPr>
                    <w:t>900-023-29</w:t>
                  </w:r>
                </w:p>
              </w:tc>
              <w:tc>
                <w:tcPr>
                  <w:tcW w:w="459" w:type="pct"/>
                  <w:vMerge w:val="continue"/>
                  <w:vAlign w:val="center"/>
                </w:tcPr>
                <w:p>
                  <w:pPr>
                    <w:pageBreakBefore w:val="0"/>
                    <w:kinsoku/>
                    <w:wordWrap/>
                    <w:topLinePunct w:val="0"/>
                    <w:bidi w:val="0"/>
                    <w:ind w:left="0" w:leftChars="0" w:right="0" w:rightChars="0"/>
                    <w:jc w:val="center"/>
                    <w:rPr>
                      <w:color w:val="auto"/>
                      <w:highlight w:val="none"/>
                    </w:rPr>
                  </w:pPr>
                </w:p>
              </w:tc>
              <w:tc>
                <w:tcPr>
                  <w:tcW w:w="389" w:type="pct"/>
                  <w:vMerge w:val="continue"/>
                  <w:vAlign w:val="center"/>
                </w:tcPr>
                <w:p>
                  <w:pPr>
                    <w:pageBreakBefore w:val="0"/>
                    <w:kinsoku/>
                    <w:wordWrap/>
                    <w:topLinePunct w:val="0"/>
                    <w:bidi w:val="0"/>
                    <w:ind w:left="0" w:leftChars="0" w:right="0" w:rightChars="0"/>
                    <w:jc w:val="center"/>
                    <w:rPr>
                      <w:color w:val="auto"/>
                      <w:highlight w:val="none"/>
                    </w:rPr>
                  </w:pPr>
                </w:p>
              </w:tc>
              <w:tc>
                <w:tcPr>
                  <w:tcW w:w="390"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2</w:t>
                  </w:r>
                  <w:r>
                    <w:rPr>
                      <w:color w:val="auto"/>
                      <w:highlight w:val="none"/>
                    </w:rPr>
                    <w:t>m</w:t>
                  </w:r>
                  <w:r>
                    <w:rPr>
                      <w:color w:val="auto"/>
                      <w:highlight w:val="none"/>
                      <w:vertAlign w:val="superscript"/>
                    </w:rPr>
                    <w:t>2</w:t>
                  </w:r>
                </w:p>
              </w:tc>
              <w:tc>
                <w:tcPr>
                  <w:tcW w:w="490" w:type="pct"/>
                  <w:vAlign w:val="center"/>
                </w:tcPr>
                <w:p>
                  <w:pPr>
                    <w:pageBreakBefore w:val="0"/>
                    <w:kinsoku/>
                    <w:wordWrap/>
                    <w:topLinePunct w:val="0"/>
                    <w:bidi w:val="0"/>
                    <w:ind w:left="0" w:leftChars="0" w:right="0" w:rightChars="0"/>
                    <w:jc w:val="center"/>
                    <w:rPr>
                      <w:rFonts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袋装</w:t>
                  </w:r>
                </w:p>
              </w:tc>
              <w:tc>
                <w:tcPr>
                  <w:tcW w:w="473" w:type="pct"/>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0.5t</w:t>
                  </w:r>
                </w:p>
              </w:tc>
              <w:tc>
                <w:tcPr>
                  <w:tcW w:w="40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1年</w:t>
                  </w:r>
                </w:p>
              </w:tc>
            </w:tr>
          </w:tbl>
          <w:p>
            <w:pPr>
              <w:pageBreakBefore w:val="0"/>
              <w:kinsoku/>
              <w:wordWrap/>
              <w:topLinePunct w:val="0"/>
              <w:bidi w:val="0"/>
              <w:spacing w:line="360" w:lineRule="auto"/>
              <w:ind w:left="0" w:leftChars="0" w:right="0" w:rightChars="0" w:firstLine="480" w:firstLineChars="200"/>
              <w:rPr>
                <w:rFonts w:hint="default" w:eastAsia="宋体"/>
                <w:color w:val="auto"/>
                <w:sz w:val="24"/>
                <w:szCs w:val="24"/>
                <w:highlight w:val="none"/>
                <w:lang w:val="en-US" w:eastAsia="zh-CN" w:bidi="ar"/>
              </w:rPr>
            </w:pPr>
            <w:r>
              <w:rPr>
                <w:color w:val="auto"/>
                <w:sz w:val="24"/>
                <w:szCs w:val="24"/>
                <w:highlight w:val="none"/>
                <w:lang w:bidi="ar"/>
              </w:rPr>
              <w:t>厂区已设2间建筑面积均为25m</w:t>
            </w:r>
            <w:r>
              <w:rPr>
                <w:color w:val="auto"/>
                <w:sz w:val="24"/>
                <w:szCs w:val="24"/>
                <w:highlight w:val="none"/>
                <w:vertAlign w:val="superscript"/>
                <w:lang w:bidi="ar"/>
              </w:rPr>
              <w:t>2</w:t>
            </w:r>
            <w:r>
              <w:rPr>
                <w:color w:val="auto"/>
                <w:sz w:val="24"/>
                <w:szCs w:val="24"/>
                <w:highlight w:val="none"/>
                <w:lang w:bidi="ar"/>
              </w:rPr>
              <w:t>的危废暂存间，分别用于暂存化验废液（包含化验室废液与在线监测系统废液）、废机油。危废暂存间已设置了警示标识，地面及墙裙已采取基础及底板垫层C15防水混凝土+P6等级的C30防水混凝土+2mm环氧树脂防腐层进行了重点防渗，但目前危废暂存间存在漏雨的情况，需对危废暂存间进行防雨改造，最终落实防风、防雨、防晒、防渗漏的“四防”措施。</w:t>
            </w:r>
            <w:r>
              <w:rPr>
                <w:rFonts w:hint="eastAsia"/>
                <w:color w:val="auto"/>
                <w:sz w:val="24"/>
                <w:szCs w:val="24"/>
                <w:highlight w:val="none"/>
                <w:lang w:val="en-US" w:eastAsia="zh-CN" w:bidi="ar"/>
              </w:rPr>
              <w:t>同时，在暂存化验废液的危废暂存间内划出2m</w:t>
            </w:r>
            <w:r>
              <w:rPr>
                <w:rFonts w:hint="eastAsia"/>
                <w:color w:val="auto"/>
                <w:sz w:val="24"/>
                <w:szCs w:val="24"/>
                <w:highlight w:val="none"/>
                <w:vertAlign w:val="superscript"/>
                <w:lang w:val="en-US" w:eastAsia="zh-CN" w:bidi="ar"/>
              </w:rPr>
              <w:t>2</w:t>
            </w:r>
            <w:r>
              <w:rPr>
                <w:rFonts w:hint="eastAsia"/>
                <w:color w:val="auto"/>
                <w:sz w:val="24"/>
                <w:szCs w:val="24"/>
                <w:highlight w:val="none"/>
                <w:lang w:val="en-US" w:eastAsia="zh-CN" w:bidi="ar"/>
              </w:rPr>
              <w:t>供后期废紫外灯管暂存使用，严禁混堆。</w:t>
            </w:r>
          </w:p>
          <w:tbl>
            <w:tblPr>
              <w:tblStyle w:val="2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5"/>
              <w:gridCol w:w="4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499" w:type="pc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drawing>
                      <wp:inline distT="0" distB="0" distL="114300" distR="114300">
                        <wp:extent cx="2765425" cy="2073910"/>
                        <wp:effectExtent l="0" t="0" r="2540" b="15875"/>
                        <wp:docPr id="39" name="图片 39" descr="IMG_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647"/>
                                <pic:cNvPicPr>
                                  <a:picLocks noChangeAspect="1"/>
                                </pic:cNvPicPr>
                              </pic:nvPicPr>
                              <pic:blipFill>
                                <a:blip r:embed="rId32"/>
                                <a:stretch>
                                  <a:fillRect/>
                                </a:stretch>
                              </pic:blipFill>
                              <pic:spPr>
                                <a:xfrm rot="5400000">
                                  <a:off x="0" y="0"/>
                                  <a:ext cx="2765425" cy="2073910"/>
                                </a:xfrm>
                                <a:prstGeom prst="rect">
                                  <a:avLst/>
                                </a:prstGeom>
                              </pic:spPr>
                            </pic:pic>
                          </a:graphicData>
                        </a:graphic>
                      </wp:inline>
                    </w:drawing>
                  </w:r>
                </w:p>
              </w:tc>
              <w:tc>
                <w:tcPr>
                  <w:tcW w:w="2500" w:type="pc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drawing>
                      <wp:inline distT="0" distB="0" distL="114300" distR="114300">
                        <wp:extent cx="2765425" cy="2073910"/>
                        <wp:effectExtent l="0" t="0" r="2540" b="15875"/>
                        <wp:docPr id="41" name="图片 41" descr="IMG_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659"/>
                                <pic:cNvPicPr>
                                  <a:picLocks noChangeAspect="1"/>
                                </pic:cNvPicPr>
                              </pic:nvPicPr>
                              <pic:blipFill>
                                <a:blip r:embed="rId33"/>
                                <a:stretch>
                                  <a:fillRect/>
                                </a:stretch>
                              </pic:blipFill>
                              <pic:spPr>
                                <a:xfrm rot="5400000">
                                  <a:off x="0" y="0"/>
                                  <a:ext cx="2765425" cy="20739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499" w:type="pc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危废暂存间（化验废液）</w:t>
                  </w:r>
                </w:p>
              </w:tc>
              <w:tc>
                <w:tcPr>
                  <w:tcW w:w="2500" w:type="pct"/>
                  <w:vAlign w:val="center"/>
                </w:tcPr>
                <w:p>
                  <w:pPr>
                    <w:pageBreakBefore w:val="0"/>
                    <w:kinsoku/>
                    <w:wordWrap/>
                    <w:topLinePunct w:val="0"/>
                    <w:bidi w:val="0"/>
                    <w:adjustRightInd w:val="0"/>
                    <w:snapToGrid w:val="0"/>
                    <w:ind w:left="0" w:leftChars="0" w:right="0" w:rightChars="0"/>
                    <w:jc w:val="center"/>
                    <w:rPr>
                      <w:rFonts w:eastAsia="黑体"/>
                      <w:color w:val="auto"/>
                      <w:kern w:val="24"/>
                      <w:highlight w:val="none"/>
                    </w:rPr>
                  </w:pPr>
                  <w:r>
                    <w:rPr>
                      <w:color w:val="auto"/>
                      <w:highlight w:val="none"/>
                    </w:rPr>
                    <w:t>危废暂存间（废机油）</w:t>
                  </w:r>
                </w:p>
              </w:tc>
            </w:tr>
          </w:tbl>
          <w:p>
            <w:pPr>
              <w:keepNext/>
              <w:keepLines/>
              <w:pageBreakBefore w:val="0"/>
              <w:kinsoku/>
              <w:wordWrap/>
              <w:topLinePunct w:val="0"/>
              <w:bidi w:val="0"/>
              <w:adjustRightInd w:val="0"/>
              <w:snapToGrid w:val="0"/>
              <w:spacing w:line="360" w:lineRule="auto"/>
              <w:ind w:left="0" w:leftChars="0" w:right="0" w:rightChars="0" w:firstLine="482" w:firstLineChars="200"/>
              <w:outlineLvl w:val="2"/>
              <w:rPr>
                <w:color w:val="auto"/>
                <w:sz w:val="24"/>
                <w:szCs w:val="28"/>
                <w:highlight w:val="none"/>
              </w:rPr>
            </w:pPr>
            <w:r>
              <w:rPr>
                <w:b/>
                <w:bCs/>
                <w:color w:val="auto"/>
                <w:sz w:val="24"/>
                <w:szCs w:val="32"/>
                <w:highlight w:val="none"/>
              </w:rPr>
              <w:t>3、管控措施</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8"/>
                <w:highlight w:val="none"/>
              </w:rPr>
            </w:pPr>
            <w:r>
              <w:rPr>
                <w:b/>
                <w:bCs/>
                <w:color w:val="auto"/>
                <w:sz w:val="24"/>
                <w:szCs w:val="28"/>
                <w:highlight w:val="none"/>
              </w:rPr>
              <w:t>（1）污泥的相关管理</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8"/>
                <w:highlight w:val="none"/>
              </w:rPr>
            </w:pPr>
            <w:r>
              <w:rPr>
                <w:b/>
                <w:bCs/>
                <w:color w:val="auto"/>
                <w:sz w:val="24"/>
                <w:szCs w:val="28"/>
                <w:highlight w:val="none"/>
              </w:rPr>
              <w:t>①污泥堆存要求</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为确保本项目剩余污泥不会对环境造成二次污染，作如下要求：</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a.污水处理厂应对污水处理过程产生的污泥承担处理处置责任。污水处理厂应当切实履行职责，对污泥产生、运输、贮存、处理、处置实施全过程管理，制定并落实污泥环境管理的规章制度、工作流程和要求，设置专门的监控部门或专（兼）职人员，确保污泥妥善处理处置，严禁擅自倾倒、堆放、丢弃、遗撒污泥。</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b.污泥处理处置应遵循减量化、稳定化、无害化的原则。污泥处理设施（污泥稳定化和脱水设施）应当与污水处理设施同时规划、同时建设、同时投入运行。</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c.加强污泥环境风险防范。污泥产生、运输、贮存、处理处置的全过程应当遵守国家和地方相关污染控制标准及技术规范。</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d.建立污泥管理台账和转移联单制度。污水处理厂、污泥处理处置单位应当建立污泥管理台账，详细记录污泥产生量、转移量、处理处置量及其去向等情况，定期向所在地县级以上地方环保部门报告。按照危险废物管理，建立污泥转移联单制度。污水处理厂转出污泥时应如实填写转移联单。</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e.规范污泥运输。本项目污泥应交由具有相关的道路货物运营资质的从事污泥运输的单位运输，禁止将污泥交由个人和没有获得相关运营资质的单位。污泥运输车辆应当采取密封、防水、防渗漏和防遗撒等措施。</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f.同时，环评要求：污泥储存于贮泥池，贮泥池需作防腐、防渗处理，池子防渗、防腐措施见地下水的影响分析一节；污泥应及时外运，做到日产日清，脱水后的污泥直接排入密封翻斗车内进行运输；污水处理厂产生的污泥在搬运上车区域，设置专门排水沟和地坪坡降，以便使清扫不干净的污泥再回到处理系统；污水处理厂的污泥堆放区设置专门的排水沟，收集滤出液返回至污水处理系统；设置污泥雨棚，避免雨水淋撒脱水污泥而外流。对污泥运输过程中必须采用密封式翻斗车，避免沿途抛洒污染环境。清运车辆尽量不行走城市中心道路，避免给沿线地区增加车流量、造成交通堵塞。另外，外运时间应该避开上下班的高峰期及人流物流的高峰时间。</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rPr>
            </w:pPr>
            <w:r>
              <w:rPr>
                <w:color w:val="auto"/>
                <w:sz w:val="24"/>
                <w:szCs w:val="28"/>
                <w:highlight w:val="none"/>
              </w:rPr>
              <w:t>综上，本项目在按照环评提出的各项措施和要求实施后，可以对各类固废实行合理、卫生的处置方式，有效地能够防止二次污染。</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（2）危险废物收集和管理</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①各类危险废物应分别分类用容器装好后临时堆放在危险废物暂存间，定期交有资质单位处置。</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②危险废物全部暂存于危险废物暂存库内，做到防风、防雨、防晒、防渗漏的“四防”措施。</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③危险废物暂存库内地面全部防渗，并设置地沟，地沟内也进行防渗处理。确保泄漏物可暂存于地沟内并重新收集后送交有资质单位统一处置。</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上述危险废物的收集和管理，公司需委派专人负责，各种废物的储存容器都有很好的密封性，危废临时储存场所按照《危险废物贮存污染控制标准》（GB18597-2001）相关要求进行防渗、防漏处理，安全可靠，不会受到风雨侵蚀，可有效地防止了临时存放过程中的二次污染。</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根据中华人民共和国国务院令第344号《危险化学品安全管理条例》的有关规定，在危险废物外运至处置单位时必须严格遵守以下要求：</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①做好每次外运处置废物的运输登记，在四川省固体废物管理信息系统上如实填写转移计划并做好备案程序，通过系统自动生成、打印危险废物转移电子联单信息，接收单位通过系统同步接收信息。</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②废物处置单位的运输人员必须掌握危险化学品运输的安全知识，了解所运载危险化学品的性质、危害特性、包装容器的使用特性和发生意外时的应急措施。运输车辆必须具有车辆危险货物运输许可证。驾驶人员必须由取得驾驶执照的熟练人员担任。</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③处置单位在运输危险废物时必须配备押运人员，并随时处于押运人员的监管之下，不得超装、超载，严格按照所在城市规定的行车时间和行车路线行驶，不得进入危险化学品运输车辆禁止通行的区域。</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④危险废物在运输途中若发生被盗、丢失、流散、泄漏等情况时，公司及押运人员必须立即向当地公安部门报告，并采取一切可能的警示措施。</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⑤一旦发生废物泄漏事故，公司和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五、地下水和土壤环境影响分析</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1、地下水、土壤污染源、污染物类型及污染途径分析</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生产过程中产生的污染物主要以水为载体，通过包气带中的裂隙、孔隙向地下垂直渗漏和渗透。在遇砂性土会较快进入地下水体，如遇粘性土，载体则沿层面做水平运动，使污染范围扩大，当遇到下渗通道时再垂向渗漏，进入地下水体。包气带的防护能力大小，直接影响着地下水的防护，包气带防护条件与包气带厚度、岩性结构、弱渗透性地层的渗透性能及厚度有关，若包气带粘性土厚度小，且分布不连续、不稳定，则地下水自然防护条件就差，污水渗漏就易对地下水产生污染，若包气带粘性土厚度虽小，但分布连续，稳定，则地下水自然防护条件相对就好些，污染物对地下水影响就相对小些，拟建项目地下水污染途径主要是各类污水池的渗漏对浅层地下水的影响，其中预处理阶段的污水池由于浓度高，其影响比其它池体要大。对土壤的污染途径主要为废气处理设施的挥发性有机物通过大气沉降对土壤环境造成污染。</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（2）污染防控措施</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针对可能对地下水和土壤造成影响的各环节，按照“考虑重点，辐射全面”的防腐防渗原则、防渗技术要求进行划分。</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①分区防渗</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根据分区防渗原则，全厂划分为：</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重点防渗区：</w:t>
            </w:r>
            <w:r>
              <w:rPr>
                <w:color w:val="auto"/>
                <w:sz w:val="24"/>
                <w:szCs w:val="24"/>
                <w:highlight w:val="none"/>
                <w:lang w:bidi="ar"/>
              </w:rPr>
              <w:t>粗格栅及提升泵房、</w:t>
            </w:r>
            <w:r>
              <w:rPr>
                <w:color w:val="auto"/>
                <w:sz w:val="24"/>
                <w:szCs w:val="32"/>
                <w:highlight w:val="none"/>
                <w:lang w:bidi="ar"/>
              </w:rPr>
              <w:t>细格栅及旋流沉砂池</w:t>
            </w:r>
            <w:r>
              <w:rPr>
                <w:color w:val="auto"/>
                <w:sz w:val="24"/>
                <w:szCs w:val="24"/>
                <w:highlight w:val="none"/>
                <w:lang w:bidi="ar"/>
              </w:rPr>
              <w:t>、</w:t>
            </w:r>
            <w:r>
              <w:rPr>
                <w:color w:val="auto"/>
                <w:sz w:val="24"/>
                <w:szCs w:val="32"/>
                <w:highlight w:val="none"/>
                <w:lang w:bidi="ar"/>
              </w:rPr>
              <w:t>厌氧池</w:t>
            </w:r>
            <w:r>
              <w:rPr>
                <w:color w:val="auto"/>
                <w:sz w:val="24"/>
                <w:szCs w:val="24"/>
                <w:highlight w:val="none"/>
                <w:lang w:bidi="ar"/>
              </w:rPr>
              <w:t>、</w:t>
            </w:r>
            <w:r>
              <w:rPr>
                <w:color w:val="auto"/>
                <w:sz w:val="24"/>
                <w:szCs w:val="32"/>
                <w:highlight w:val="none"/>
                <w:lang w:bidi="ar"/>
              </w:rPr>
              <w:t>氧化沟</w:t>
            </w:r>
            <w:r>
              <w:rPr>
                <w:color w:val="auto"/>
                <w:sz w:val="24"/>
                <w:szCs w:val="24"/>
                <w:highlight w:val="none"/>
                <w:lang w:bidi="ar"/>
              </w:rPr>
              <w:t>、MBBR池、二沉池、污泥回流泵井、污泥泵井、絮凝池、转鼓滤池、</w:t>
            </w:r>
            <w:r>
              <w:rPr>
                <w:color w:val="auto"/>
                <w:sz w:val="24"/>
                <w:szCs w:val="32"/>
                <w:highlight w:val="none"/>
                <w:lang w:bidi="ar"/>
              </w:rPr>
              <w:t>脱泥机房及加药间、</w:t>
            </w:r>
            <w:r>
              <w:rPr>
                <w:color w:val="auto"/>
                <w:sz w:val="24"/>
                <w:szCs w:val="24"/>
                <w:highlight w:val="none"/>
                <w:lang w:bidi="ar"/>
              </w:rPr>
              <w:t>危废暂存间、柴油发电机地面、污水及污泥输入管道等。</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一般防渗区：</w:t>
            </w:r>
            <w:r>
              <w:rPr>
                <w:color w:val="auto"/>
                <w:sz w:val="24"/>
                <w:szCs w:val="32"/>
                <w:highlight w:val="none"/>
                <w:lang w:bidi="ar"/>
              </w:rPr>
              <w:t>紫外线消毒渠、</w:t>
            </w:r>
            <w:r>
              <w:rPr>
                <w:color w:val="auto"/>
                <w:sz w:val="24"/>
                <w:szCs w:val="24"/>
                <w:highlight w:val="none"/>
                <w:lang w:bidi="ar"/>
              </w:rPr>
              <w:t>鼓风机房、配电房、综合大楼、进出水在线监测室、机修及库房等。</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简单防渗区：</w:t>
            </w:r>
            <w:r>
              <w:rPr>
                <w:color w:val="auto"/>
                <w:sz w:val="24"/>
                <w:szCs w:val="24"/>
                <w:highlight w:val="none"/>
                <w:lang w:bidi="ar"/>
              </w:rPr>
              <w:t>门卫及值班室、厂区道路等。</w:t>
            </w:r>
          </w:p>
          <w:p>
            <w:pPr>
              <w:pageBreakBefore w:val="0"/>
              <w:kinsoku/>
              <w:wordWrap/>
              <w:topLinePunct w:val="0"/>
              <w:bidi w:val="0"/>
              <w:spacing w:line="360" w:lineRule="auto"/>
              <w:ind w:left="0" w:leftChars="0" w:right="0" w:rightChars="0" w:firstLine="482" w:firstLineChars="200"/>
              <w:rPr>
                <w:color w:val="auto"/>
                <w:sz w:val="24"/>
                <w:szCs w:val="24"/>
                <w:highlight w:val="none"/>
              </w:rPr>
            </w:pPr>
            <w:r>
              <w:rPr>
                <w:b/>
                <w:color w:val="auto"/>
                <w:sz w:val="24"/>
                <w:szCs w:val="24"/>
                <w:highlight w:val="none"/>
              </w:rPr>
              <w:t>②分区防渗措施</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rPr>
              <w:t>重点防渗区：</w:t>
            </w:r>
            <w:r>
              <w:rPr>
                <w:color w:val="auto"/>
                <w:sz w:val="24"/>
                <w:szCs w:val="24"/>
                <w:highlight w:val="none"/>
              </w:rPr>
              <w:t>项目</w:t>
            </w:r>
            <w:r>
              <w:rPr>
                <w:color w:val="auto"/>
                <w:sz w:val="24"/>
                <w:szCs w:val="24"/>
                <w:highlight w:val="none"/>
                <w:lang w:bidi="ar"/>
              </w:rPr>
              <w:t>粗格栅及提升泵房、</w:t>
            </w:r>
            <w:r>
              <w:rPr>
                <w:color w:val="auto"/>
                <w:sz w:val="24"/>
                <w:szCs w:val="32"/>
                <w:highlight w:val="none"/>
                <w:lang w:bidi="ar"/>
              </w:rPr>
              <w:t>细格栅及旋流沉砂池</w:t>
            </w:r>
            <w:r>
              <w:rPr>
                <w:color w:val="auto"/>
                <w:sz w:val="24"/>
                <w:szCs w:val="24"/>
                <w:highlight w:val="none"/>
                <w:lang w:bidi="ar"/>
              </w:rPr>
              <w:t>、</w:t>
            </w:r>
            <w:r>
              <w:rPr>
                <w:color w:val="auto"/>
                <w:sz w:val="24"/>
                <w:szCs w:val="32"/>
                <w:highlight w:val="none"/>
                <w:lang w:bidi="ar"/>
              </w:rPr>
              <w:t>厌氧池</w:t>
            </w:r>
            <w:r>
              <w:rPr>
                <w:color w:val="auto"/>
                <w:sz w:val="24"/>
                <w:szCs w:val="24"/>
                <w:highlight w:val="none"/>
                <w:lang w:bidi="ar"/>
              </w:rPr>
              <w:t>、</w:t>
            </w:r>
            <w:r>
              <w:rPr>
                <w:color w:val="auto"/>
                <w:sz w:val="24"/>
                <w:szCs w:val="32"/>
                <w:highlight w:val="none"/>
                <w:lang w:bidi="ar"/>
              </w:rPr>
              <w:t>氧化沟、一期</w:t>
            </w:r>
            <w:r>
              <w:rPr>
                <w:color w:val="auto"/>
                <w:sz w:val="24"/>
                <w:szCs w:val="24"/>
                <w:highlight w:val="none"/>
                <w:lang w:bidi="ar"/>
              </w:rPr>
              <w:t>二沉池和污泥回流泵井等已采取基础及底板垫层C15防水混凝土+P6等级的C30防水混凝土进行重点防渗；危废暂存间地面及墙裙已采取基础及底板垫层C15防水混凝土+P6等级的C30防水混凝土+2mm环氧树脂进行重点防渗；本次新建的MBBR池、二沉池、污泥泵井、絮凝池、转鼓滤池、</w:t>
            </w:r>
            <w:r>
              <w:rPr>
                <w:color w:val="auto"/>
                <w:sz w:val="24"/>
                <w:szCs w:val="32"/>
                <w:highlight w:val="none"/>
                <w:lang w:bidi="ar"/>
              </w:rPr>
              <w:t>脱泥机房及加药间等采取</w:t>
            </w:r>
            <w:r>
              <w:rPr>
                <w:color w:val="auto"/>
                <w:sz w:val="24"/>
                <w:szCs w:val="24"/>
                <w:highlight w:val="none"/>
                <w:lang w:bidi="ar"/>
              </w:rPr>
              <w:t>基础及底板垫层C15防水混凝土+P6等级的C30防水混凝土；柴油发电机房地面采取基础及底板垫层C15防水混凝土+C30混凝土+2mm环氧树脂进行重点防渗；确保各单元防渗层能满足Mb≥6.0m、K≤1×10</w:t>
            </w:r>
            <w:r>
              <w:rPr>
                <w:color w:val="auto"/>
                <w:sz w:val="24"/>
                <w:szCs w:val="24"/>
                <w:highlight w:val="none"/>
                <w:vertAlign w:val="superscript"/>
                <w:lang w:bidi="ar"/>
              </w:rPr>
              <w:t>-7</w:t>
            </w:r>
            <w:r>
              <w:rPr>
                <w:color w:val="auto"/>
                <w:sz w:val="24"/>
                <w:szCs w:val="24"/>
                <w:highlight w:val="none"/>
                <w:lang w:bidi="ar"/>
              </w:rPr>
              <w:t>cm/s的要求。</w:t>
            </w:r>
          </w:p>
          <w:p>
            <w:pPr>
              <w:pageBreakBefore w:val="0"/>
              <w:kinsoku/>
              <w:wordWrap/>
              <w:topLinePunct w:val="0"/>
              <w:bidi w:val="0"/>
              <w:spacing w:line="360" w:lineRule="auto"/>
              <w:ind w:left="0" w:leftChars="0" w:right="0" w:rightChars="0" w:firstLine="482" w:firstLineChars="200"/>
              <w:rPr>
                <w:color w:val="auto"/>
                <w:sz w:val="24"/>
                <w:szCs w:val="24"/>
                <w:highlight w:val="none"/>
              </w:rPr>
            </w:pPr>
            <w:r>
              <w:rPr>
                <w:b/>
                <w:bCs/>
                <w:color w:val="auto"/>
                <w:sz w:val="24"/>
                <w:szCs w:val="24"/>
                <w:highlight w:val="none"/>
              </w:rPr>
              <w:t>一般防渗区：</w:t>
            </w:r>
            <w:r>
              <w:rPr>
                <w:color w:val="auto"/>
                <w:sz w:val="24"/>
                <w:szCs w:val="24"/>
                <w:highlight w:val="none"/>
              </w:rPr>
              <w:t>项目</w:t>
            </w:r>
            <w:r>
              <w:rPr>
                <w:color w:val="auto"/>
                <w:sz w:val="24"/>
                <w:szCs w:val="24"/>
                <w:highlight w:val="none"/>
                <w:lang w:bidi="ar"/>
              </w:rPr>
              <w:t>配电房、综合大楼、机修及库房等已采取基础及底板垫层C15防水混凝土+C30混凝土；</w:t>
            </w:r>
            <w:r>
              <w:rPr>
                <w:color w:val="auto"/>
                <w:sz w:val="24"/>
                <w:szCs w:val="24"/>
                <w:highlight w:val="none"/>
              </w:rPr>
              <w:t>新建的</w:t>
            </w:r>
            <w:r>
              <w:rPr>
                <w:color w:val="auto"/>
                <w:sz w:val="24"/>
                <w:szCs w:val="32"/>
                <w:highlight w:val="none"/>
                <w:lang w:bidi="ar"/>
              </w:rPr>
              <w:t>紫外线消毒渠、</w:t>
            </w:r>
            <w:r>
              <w:rPr>
                <w:color w:val="auto"/>
                <w:sz w:val="24"/>
                <w:szCs w:val="24"/>
                <w:highlight w:val="none"/>
                <w:lang w:bidi="ar"/>
              </w:rPr>
              <w:t>鼓风机房、进出水在线监测室等采取基础及底板垫层C15防水混凝土+C30混凝土；确保可以达到等效黏土防渗层Mb≥1.5m，K≤1×10</w:t>
            </w:r>
            <w:r>
              <w:rPr>
                <w:color w:val="auto"/>
                <w:sz w:val="24"/>
                <w:szCs w:val="24"/>
                <w:highlight w:val="none"/>
                <w:vertAlign w:val="superscript"/>
                <w:lang w:bidi="ar"/>
              </w:rPr>
              <w:t>-7</w:t>
            </w:r>
            <w:r>
              <w:rPr>
                <w:color w:val="auto"/>
                <w:sz w:val="24"/>
                <w:szCs w:val="24"/>
                <w:highlight w:val="none"/>
                <w:lang w:bidi="ar"/>
              </w:rPr>
              <w:t>cm/s要求。</w:t>
            </w:r>
          </w:p>
          <w:p>
            <w:pPr>
              <w:pageBreakBefore w:val="0"/>
              <w:kinsoku/>
              <w:wordWrap/>
              <w:topLinePunct w:val="0"/>
              <w:bidi w:val="0"/>
              <w:spacing w:line="360" w:lineRule="auto"/>
              <w:ind w:left="0" w:leftChars="0" w:right="0" w:rightChars="0" w:firstLine="482" w:firstLineChars="200"/>
              <w:rPr>
                <w:color w:val="auto"/>
                <w:sz w:val="24"/>
                <w:szCs w:val="24"/>
                <w:highlight w:val="none"/>
              </w:rPr>
            </w:pPr>
            <w:r>
              <w:rPr>
                <w:b/>
                <w:bCs/>
                <w:color w:val="auto"/>
                <w:sz w:val="24"/>
                <w:szCs w:val="24"/>
                <w:highlight w:val="none"/>
              </w:rPr>
              <w:t>简单防渗区：</w:t>
            </w:r>
            <w:r>
              <w:rPr>
                <w:color w:val="auto"/>
                <w:sz w:val="24"/>
                <w:szCs w:val="24"/>
                <w:highlight w:val="none"/>
              </w:rPr>
              <w:t>项目</w:t>
            </w:r>
            <w:r>
              <w:rPr>
                <w:color w:val="auto"/>
                <w:sz w:val="24"/>
                <w:szCs w:val="24"/>
                <w:highlight w:val="none"/>
                <w:lang w:bidi="ar"/>
              </w:rPr>
              <w:t>门卫及值班室、厂区道路等已采取地面硬化进行简单防渗。</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lang w:bidi="ar"/>
              </w:rPr>
              <w:t>同时，污水及污泥输入管道应采用不锈钢、PVC、ABS等防腐材质。所有阀体（空气管道除外），包括自动阀、切换阀、球阀等均为PVC、衬胶等防腐材质；另外，定期进行检漏监测及检修。强化各相关工程的转弯、承插、对接等处的防渗，做好隐蔽工程记录，强化防渗工程的环境管理。</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采取上述治理措施后，可有效地避免污染物渗入地下，污染地下水和土壤。</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color w:val="auto"/>
                <w:sz w:val="24"/>
                <w:szCs w:val="24"/>
                <w:highlight w:val="none"/>
              </w:rPr>
              <w:t>六、</w:t>
            </w:r>
            <w:r>
              <w:rPr>
                <w:b/>
                <w:bCs/>
                <w:color w:val="auto"/>
                <w:sz w:val="24"/>
                <w:szCs w:val="24"/>
                <w:highlight w:val="none"/>
              </w:rPr>
              <w:t>生态环境</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4"/>
                <w:highlight w:val="none"/>
              </w:rPr>
            </w:pPr>
            <w:r>
              <w:rPr>
                <w:color w:val="auto"/>
                <w:sz w:val="24"/>
                <w:szCs w:val="24"/>
                <w:highlight w:val="none"/>
              </w:rPr>
              <w:t>本项目利用现有厂区空地进行二期扩建和一期技术改造，不新增用地，不会对周边生态环境造成明显影响。</w:t>
            </w:r>
          </w:p>
          <w:p>
            <w:pPr>
              <w:pageBreakBefore w:val="0"/>
              <w:kinsoku/>
              <w:wordWrap/>
              <w:topLinePunct w:val="0"/>
              <w:bidi w:val="0"/>
              <w:adjustRightInd w:val="0"/>
              <w:snapToGrid w:val="0"/>
              <w:spacing w:line="360" w:lineRule="auto"/>
              <w:ind w:left="0" w:leftChars="0" w:right="0" w:rightChars="0" w:firstLine="482" w:firstLineChars="200"/>
              <w:rPr>
                <w:b/>
                <w:bCs/>
                <w:color w:val="auto"/>
                <w:sz w:val="24"/>
                <w:szCs w:val="24"/>
                <w:highlight w:val="none"/>
              </w:rPr>
            </w:pPr>
            <w:r>
              <w:rPr>
                <w:b/>
                <w:bCs/>
                <w:color w:val="auto"/>
                <w:sz w:val="24"/>
                <w:szCs w:val="24"/>
                <w:highlight w:val="none"/>
              </w:rPr>
              <w:t>七、环境风险</w:t>
            </w:r>
          </w:p>
          <w:p>
            <w:pPr>
              <w:pStyle w:val="12"/>
              <w:pageBreakBefore w:val="0"/>
              <w:kinsoku/>
              <w:wordWrap/>
              <w:topLinePunct w:val="0"/>
              <w:bidi w:val="0"/>
              <w:snapToGrid w:val="0"/>
              <w:spacing w:after="0" w:line="360" w:lineRule="auto"/>
              <w:ind w:left="0" w:leftChars="0" w:right="0" w:rightChars="0" w:firstLine="482" w:firstLineChars="200"/>
              <w:rPr>
                <w:b/>
                <w:color w:val="auto"/>
                <w:sz w:val="24"/>
                <w:szCs w:val="24"/>
                <w:highlight w:val="none"/>
              </w:rPr>
            </w:pPr>
            <w:r>
              <w:rPr>
                <w:b/>
                <w:color w:val="auto"/>
                <w:sz w:val="24"/>
                <w:szCs w:val="24"/>
                <w:highlight w:val="none"/>
              </w:rPr>
              <w:t>1、风险评价的目的及风险调查</w:t>
            </w:r>
          </w:p>
          <w:p>
            <w:pPr>
              <w:pStyle w:val="12"/>
              <w:pageBreakBefore w:val="0"/>
              <w:kinsoku/>
              <w:wordWrap/>
              <w:topLinePunct w:val="0"/>
              <w:bidi w:val="0"/>
              <w:snapToGrid w:val="0"/>
              <w:spacing w:after="0" w:line="360" w:lineRule="auto"/>
              <w:ind w:left="0" w:leftChars="0" w:right="0" w:rightChars="0" w:firstLine="480" w:firstLineChars="200"/>
              <w:rPr>
                <w:bCs/>
                <w:color w:val="auto"/>
                <w:sz w:val="24"/>
                <w:szCs w:val="24"/>
                <w:highlight w:val="none"/>
              </w:rPr>
            </w:pPr>
            <w:r>
              <w:rPr>
                <w:bCs/>
                <w:color w:val="auto"/>
                <w:sz w:val="24"/>
                <w:szCs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关注点是事故对厂（场）界外环境的影响。</w:t>
            </w:r>
          </w:p>
          <w:p>
            <w:pPr>
              <w:pStyle w:val="12"/>
              <w:pageBreakBefore w:val="0"/>
              <w:kinsoku/>
              <w:wordWrap/>
              <w:topLinePunct w:val="0"/>
              <w:bidi w:val="0"/>
              <w:snapToGrid w:val="0"/>
              <w:spacing w:after="0" w:line="360" w:lineRule="auto"/>
              <w:ind w:left="0" w:leftChars="0" w:right="0" w:rightChars="0" w:firstLine="480" w:firstLineChars="200"/>
              <w:rPr>
                <w:bCs/>
                <w:color w:val="auto"/>
                <w:sz w:val="24"/>
                <w:szCs w:val="24"/>
                <w:highlight w:val="none"/>
              </w:rPr>
            </w:pPr>
            <w:r>
              <w:rPr>
                <w:bCs/>
                <w:color w:val="auto"/>
                <w:sz w:val="24"/>
                <w:szCs w:val="24"/>
                <w:highlight w:val="none"/>
              </w:rPr>
              <w:t>本次环境风险评价主要对项目营运期间可能存在的危害、有毒因素进行分析和预测，并对可能发生的突发性事件以及事故所造成的人身安全与环境影响和损害程度，提出合理可行的防范、应急与减缓措施。</w:t>
            </w:r>
          </w:p>
          <w:p>
            <w:pPr>
              <w:pStyle w:val="12"/>
              <w:pageBreakBefore w:val="0"/>
              <w:numPr>
                <w:ilvl w:val="0"/>
                <w:numId w:val="5"/>
              </w:numPr>
              <w:kinsoku/>
              <w:wordWrap/>
              <w:topLinePunct w:val="0"/>
              <w:bidi w:val="0"/>
              <w:snapToGrid w:val="0"/>
              <w:spacing w:after="0" w:line="360" w:lineRule="auto"/>
              <w:ind w:left="0" w:leftChars="0" w:right="0" w:rightChars="0" w:firstLine="482" w:firstLineChars="200"/>
              <w:rPr>
                <w:b/>
                <w:color w:val="auto"/>
                <w:sz w:val="24"/>
                <w:szCs w:val="24"/>
                <w:highlight w:val="none"/>
              </w:rPr>
            </w:pPr>
            <w:r>
              <w:rPr>
                <w:b/>
                <w:color w:val="auto"/>
                <w:sz w:val="24"/>
                <w:szCs w:val="24"/>
                <w:highlight w:val="none"/>
              </w:rPr>
              <w:t>环境风险潜势初判</w:t>
            </w:r>
          </w:p>
          <w:p>
            <w:pPr>
              <w:pStyle w:val="12"/>
              <w:pageBreakBefore w:val="0"/>
              <w:kinsoku/>
              <w:wordWrap/>
              <w:topLinePunct w:val="0"/>
              <w:bidi w:val="0"/>
              <w:snapToGrid w:val="0"/>
              <w:spacing w:after="0" w:line="360" w:lineRule="auto"/>
              <w:ind w:left="0" w:leftChars="0" w:right="0" w:rightChars="0" w:firstLine="480" w:firstLineChars="200"/>
              <w:rPr>
                <w:color w:val="auto"/>
                <w:sz w:val="24"/>
                <w:szCs w:val="24"/>
                <w:highlight w:val="none"/>
              </w:rPr>
            </w:pPr>
            <w:r>
              <w:rPr>
                <w:color w:val="auto"/>
                <w:sz w:val="24"/>
                <w:szCs w:val="24"/>
                <w:highlight w:val="none"/>
              </w:rPr>
              <w:t>根据项目涉及的物质和工艺系统的危险性及其所在地的环境敏感程度，结合事故情形下环境影响途径，对建设项目潜在环境危害程度进行概化分析，建设项目环境风险潜势划分表见下表。</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lang w:val="zh-CN"/>
              </w:rPr>
            </w:pPr>
            <w:r>
              <w:rPr>
                <w:rFonts w:eastAsia="黑体"/>
                <w:color w:val="auto"/>
                <w:szCs w:val="22"/>
                <w:highlight w:val="none"/>
              </w:rPr>
              <w:t>表4-2</w:t>
            </w:r>
            <w:r>
              <w:rPr>
                <w:rFonts w:hint="eastAsia" w:eastAsia="黑体"/>
                <w:color w:val="auto"/>
                <w:szCs w:val="22"/>
                <w:highlight w:val="none"/>
                <w:lang w:val="en-US" w:eastAsia="zh-CN"/>
              </w:rPr>
              <w:t>3</w:t>
            </w:r>
            <w:r>
              <w:rPr>
                <w:rFonts w:hint="eastAsia" w:eastAsia="黑体"/>
                <w:color w:val="auto"/>
                <w:szCs w:val="22"/>
                <w:highlight w:val="none"/>
              </w:rPr>
              <w:t xml:space="preserve"> </w:t>
            </w:r>
            <w:r>
              <w:rPr>
                <w:rFonts w:eastAsia="黑体"/>
                <w:color w:val="auto"/>
                <w:szCs w:val="22"/>
                <w:highlight w:val="none"/>
              </w:rPr>
              <w:t>建设项目环境风险潜势划分</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837"/>
              <w:gridCol w:w="1838"/>
              <w:gridCol w:w="1838"/>
              <w:gridCol w:w="1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pct"/>
                  <w:vMerge w:val="restar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环境敏感程度（E）</w:t>
                  </w:r>
                </w:p>
              </w:tc>
              <w:tc>
                <w:tcPr>
                  <w:tcW w:w="4023" w:type="pct"/>
                  <w:gridSpan w:val="4"/>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危险物质及工艺系统危险性（P）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pct"/>
                  <w:vMerge w:val="continue"/>
                  <w:vAlign w:val="center"/>
                </w:tcPr>
                <w:p>
                  <w:pPr>
                    <w:pageBreakBefore w:val="0"/>
                    <w:kinsoku/>
                    <w:wordWrap/>
                    <w:topLinePunct w:val="0"/>
                    <w:bidi w:val="0"/>
                    <w:ind w:left="0" w:leftChars="0" w:right="0" w:rightChars="0"/>
                    <w:jc w:val="center"/>
                    <w:rPr>
                      <w:bCs/>
                      <w:color w:val="auto"/>
                      <w:highlight w:val="none"/>
                    </w:rPr>
                  </w:pPr>
                </w:p>
              </w:tc>
              <w:tc>
                <w:tcPr>
                  <w:tcW w:w="1005" w:type="pct"/>
                  <w:vAlign w:val="center"/>
                </w:tcPr>
                <w:p>
                  <w:pPr>
                    <w:pStyle w:val="41"/>
                    <w:pageBreakBefore w:val="0"/>
                    <w:kinsoku/>
                    <w:wordWrap/>
                    <w:topLinePunct w:val="0"/>
                    <w:bidi w:val="0"/>
                    <w:ind w:left="0" w:leftChars="0" w:right="0" w:rightChars="0" w:firstLine="0" w:firstLineChars="0"/>
                    <w:rPr>
                      <w:rFonts w:eastAsia="宋体"/>
                      <w:b/>
                      <w:bCs/>
                      <w:color w:val="auto"/>
                      <w:sz w:val="21"/>
                      <w:highlight w:val="none"/>
                    </w:rPr>
                  </w:pPr>
                  <w:r>
                    <w:rPr>
                      <w:rFonts w:eastAsia="宋体"/>
                      <w:b/>
                      <w:bCs/>
                      <w:color w:val="auto"/>
                      <w:sz w:val="21"/>
                      <w:highlight w:val="none"/>
                    </w:rPr>
                    <w:t>极高危害（P1）</w:t>
                  </w:r>
                </w:p>
              </w:tc>
              <w:tc>
                <w:tcPr>
                  <w:tcW w:w="100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高度危害（P2）</w:t>
                  </w:r>
                </w:p>
              </w:tc>
              <w:tc>
                <w:tcPr>
                  <w:tcW w:w="1005"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中度危害（P3）</w:t>
                  </w:r>
                </w:p>
              </w:tc>
              <w:tc>
                <w:tcPr>
                  <w:tcW w:w="1006"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环境高度敏感区</w:t>
                  </w:r>
                </w:p>
              </w:tc>
              <w:tc>
                <w:tcPr>
                  <w:tcW w:w="1005" w:type="pct"/>
                  <w:vAlign w:val="center"/>
                </w:tcPr>
                <w:p>
                  <w:pPr>
                    <w:pStyle w:val="41"/>
                    <w:pageBreakBefore w:val="0"/>
                    <w:kinsoku/>
                    <w:wordWrap/>
                    <w:topLinePunct w:val="0"/>
                    <w:bidi w:val="0"/>
                    <w:ind w:left="0" w:leftChars="0" w:right="0" w:rightChars="0" w:firstLine="0" w:firstLineChars="0"/>
                    <w:rPr>
                      <w:rFonts w:eastAsia="宋体"/>
                      <w:color w:val="auto"/>
                      <w:sz w:val="21"/>
                      <w:highlight w:val="none"/>
                    </w:rPr>
                  </w:pPr>
                  <w:r>
                    <w:rPr>
                      <w:bCs/>
                      <w:color w:val="auto"/>
                      <w:sz w:val="21"/>
                      <w:highlight w:val="none"/>
                    </w:rPr>
                    <w:t>Ⅳ</w:t>
                  </w:r>
                  <w:r>
                    <w:rPr>
                      <w:bCs/>
                      <w:color w:val="auto"/>
                      <w:sz w:val="21"/>
                      <w:highlight w:val="none"/>
                      <w:vertAlign w:val="superscript"/>
                    </w:rPr>
                    <w:t>+</w:t>
                  </w:r>
                </w:p>
              </w:tc>
              <w:tc>
                <w:tcPr>
                  <w:tcW w:w="1005"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Ⅳ</w:t>
                  </w:r>
                </w:p>
              </w:tc>
              <w:tc>
                <w:tcPr>
                  <w:tcW w:w="1005"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Ⅲ</w:t>
                  </w:r>
                </w:p>
              </w:tc>
              <w:tc>
                <w:tcPr>
                  <w:tcW w:w="1006"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环境中度敏感区</w:t>
                  </w:r>
                </w:p>
              </w:tc>
              <w:tc>
                <w:tcPr>
                  <w:tcW w:w="1005" w:type="pct"/>
                  <w:vAlign w:val="center"/>
                </w:tcPr>
                <w:p>
                  <w:pPr>
                    <w:pStyle w:val="41"/>
                    <w:pageBreakBefore w:val="0"/>
                    <w:kinsoku/>
                    <w:wordWrap/>
                    <w:topLinePunct w:val="0"/>
                    <w:bidi w:val="0"/>
                    <w:ind w:left="0" w:leftChars="0" w:right="0" w:rightChars="0" w:firstLine="0" w:firstLineChars="0"/>
                    <w:rPr>
                      <w:rFonts w:eastAsia="宋体"/>
                      <w:color w:val="auto"/>
                      <w:sz w:val="21"/>
                      <w:highlight w:val="none"/>
                    </w:rPr>
                  </w:pPr>
                  <w:r>
                    <w:rPr>
                      <w:bCs/>
                      <w:color w:val="auto"/>
                      <w:sz w:val="21"/>
                      <w:highlight w:val="none"/>
                    </w:rPr>
                    <w:t>Ⅳ</w:t>
                  </w:r>
                </w:p>
              </w:tc>
              <w:tc>
                <w:tcPr>
                  <w:tcW w:w="1005"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Ⅲ</w:t>
                  </w:r>
                </w:p>
              </w:tc>
              <w:tc>
                <w:tcPr>
                  <w:tcW w:w="1005"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Ⅲ</w:t>
                  </w:r>
                </w:p>
              </w:tc>
              <w:tc>
                <w:tcPr>
                  <w:tcW w:w="1006"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6" w:type="pct"/>
                  <w:vAlign w:val="center"/>
                </w:tcPr>
                <w:p>
                  <w:pPr>
                    <w:pageBreakBefore w:val="0"/>
                    <w:kinsoku/>
                    <w:wordWrap/>
                    <w:topLinePunct w:val="0"/>
                    <w:bidi w:val="0"/>
                    <w:ind w:left="0" w:leftChars="0" w:right="0" w:rightChars="0"/>
                    <w:jc w:val="center"/>
                    <w:rPr>
                      <w:b/>
                      <w:color w:val="auto"/>
                      <w:highlight w:val="none"/>
                    </w:rPr>
                  </w:pPr>
                  <w:r>
                    <w:rPr>
                      <w:b/>
                      <w:color w:val="auto"/>
                      <w:highlight w:val="none"/>
                    </w:rPr>
                    <w:t>环境低度敏感区</w:t>
                  </w:r>
                </w:p>
              </w:tc>
              <w:tc>
                <w:tcPr>
                  <w:tcW w:w="1005" w:type="pct"/>
                  <w:vAlign w:val="center"/>
                </w:tcPr>
                <w:p>
                  <w:pPr>
                    <w:pStyle w:val="41"/>
                    <w:pageBreakBefore w:val="0"/>
                    <w:kinsoku/>
                    <w:wordWrap/>
                    <w:topLinePunct w:val="0"/>
                    <w:bidi w:val="0"/>
                    <w:ind w:left="0" w:leftChars="0" w:right="0" w:rightChars="0" w:firstLine="0" w:firstLineChars="0"/>
                    <w:rPr>
                      <w:rFonts w:eastAsia="宋体"/>
                      <w:color w:val="auto"/>
                      <w:sz w:val="21"/>
                      <w:highlight w:val="none"/>
                    </w:rPr>
                  </w:pPr>
                  <w:r>
                    <w:rPr>
                      <w:rFonts w:eastAsia="宋体"/>
                      <w:color w:val="auto"/>
                      <w:sz w:val="21"/>
                      <w:highlight w:val="none"/>
                    </w:rPr>
                    <w:t>Ⅲ</w:t>
                  </w:r>
                </w:p>
              </w:tc>
              <w:tc>
                <w:tcPr>
                  <w:tcW w:w="1005"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Ⅲ</w:t>
                  </w:r>
                </w:p>
              </w:tc>
              <w:tc>
                <w:tcPr>
                  <w:tcW w:w="1005"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Ⅱ</w:t>
                  </w:r>
                </w:p>
              </w:tc>
              <w:tc>
                <w:tcPr>
                  <w:tcW w:w="1006" w:type="pct"/>
                  <w:vAlign w:val="center"/>
                </w:tcPr>
                <w:p>
                  <w:pPr>
                    <w:pageBreakBefore w:val="0"/>
                    <w:kinsoku/>
                    <w:wordWrap/>
                    <w:topLinePunct w:val="0"/>
                    <w:bidi w:val="0"/>
                    <w:ind w:left="0" w:leftChars="0" w:right="0" w:rightChars="0"/>
                    <w:jc w:val="center"/>
                    <w:rPr>
                      <w:bCs/>
                      <w:color w:val="auto"/>
                      <w:highlight w:val="none"/>
                    </w:rPr>
                  </w:pPr>
                  <w:r>
                    <w:rPr>
                      <w:color w:val="auto"/>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pPr>
                    <w:pageBreakBefore w:val="0"/>
                    <w:kinsoku/>
                    <w:wordWrap/>
                    <w:topLinePunct w:val="0"/>
                    <w:bidi w:val="0"/>
                    <w:ind w:left="0" w:leftChars="0" w:right="0" w:rightChars="0"/>
                    <w:rPr>
                      <w:bCs/>
                      <w:color w:val="auto"/>
                      <w:highlight w:val="none"/>
                    </w:rPr>
                  </w:pPr>
                  <w:r>
                    <w:rPr>
                      <w:bCs/>
                      <w:color w:val="auto"/>
                      <w:highlight w:val="none"/>
                    </w:rPr>
                    <w:t>注：Ⅳ</w:t>
                  </w:r>
                  <w:r>
                    <w:rPr>
                      <w:bCs/>
                      <w:color w:val="auto"/>
                      <w:highlight w:val="none"/>
                      <w:vertAlign w:val="superscript"/>
                    </w:rPr>
                    <w:t>+</w:t>
                  </w:r>
                  <w:r>
                    <w:rPr>
                      <w:bCs/>
                      <w:color w:val="auto"/>
                      <w:highlight w:val="none"/>
                    </w:rPr>
                    <w:t>为极高环境风险。</w:t>
                  </w:r>
                </w:p>
              </w:tc>
            </w:tr>
          </w:tbl>
          <w:p>
            <w:pPr>
              <w:pageBreakBefore w:val="0"/>
              <w:kinsoku/>
              <w:wordWrap/>
              <w:topLinePunct w:val="0"/>
              <w:bidi w:val="0"/>
              <w:spacing w:line="360" w:lineRule="auto"/>
              <w:ind w:left="0" w:leftChars="0" w:right="0" w:rightChars="0" w:firstLine="480"/>
              <w:rPr>
                <w:color w:val="auto"/>
                <w:sz w:val="24"/>
                <w:szCs w:val="24"/>
                <w:highlight w:val="none"/>
              </w:rPr>
            </w:pPr>
            <w:r>
              <w:rPr>
                <w:color w:val="auto"/>
                <w:sz w:val="24"/>
                <w:szCs w:val="24"/>
                <w:highlight w:val="none"/>
              </w:rPr>
              <w:t>根据《建设项目环境风险评价技术导则》（HJ169-2018）附录C-危险物质及工艺系统危险性（P）的分级，计算危险物质数量与临界量比值（Q）。</w:t>
            </w:r>
          </w:p>
          <w:p>
            <w:pPr>
              <w:pageBreakBefore w:val="0"/>
              <w:kinsoku/>
              <w:wordWrap/>
              <w:topLinePunct w:val="0"/>
              <w:bidi w:val="0"/>
              <w:spacing w:line="360" w:lineRule="auto"/>
              <w:ind w:left="0" w:leftChars="0" w:right="0" w:rightChars="0" w:firstLine="480"/>
              <w:rPr>
                <w:color w:val="auto"/>
                <w:sz w:val="24"/>
                <w:szCs w:val="24"/>
                <w:highlight w:val="none"/>
              </w:rPr>
            </w:pPr>
            <w:r>
              <w:rPr>
                <w:color w:val="auto"/>
                <w:sz w:val="24"/>
                <w:szCs w:val="24"/>
                <w:highlight w:val="none"/>
              </w:rPr>
              <w:t>计算所涉及的每种危险物质在场界内的最大存在总量与其在附录B中对应临界量的比值Q。在不同厂区的同一种物质，按其在厂界内的最大存在总量计算。对于长输管线项目，按照两个截断阀室之间管段危险物质最大存在总量计算。</w:t>
            </w:r>
          </w:p>
          <w:p>
            <w:pPr>
              <w:pageBreakBefore w:val="0"/>
              <w:kinsoku/>
              <w:wordWrap/>
              <w:topLinePunct w:val="0"/>
              <w:bidi w:val="0"/>
              <w:spacing w:line="360" w:lineRule="auto"/>
              <w:ind w:left="0" w:leftChars="0" w:right="0" w:rightChars="0" w:firstLine="480"/>
              <w:rPr>
                <w:color w:val="auto"/>
                <w:sz w:val="24"/>
                <w:szCs w:val="24"/>
                <w:highlight w:val="none"/>
              </w:rPr>
            </w:pPr>
            <w:r>
              <w:rPr>
                <w:color w:val="auto"/>
                <w:sz w:val="24"/>
                <w:szCs w:val="24"/>
                <w:highlight w:val="none"/>
              </w:rPr>
              <w:t>当只涉及一种危险物质时，计算该物质的总量与其临界量比值，即为Q；</w:t>
            </w:r>
          </w:p>
          <w:p>
            <w:pPr>
              <w:pageBreakBefore w:val="0"/>
              <w:kinsoku/>
              <w:wordWrap/>
              <w:topLinePunct w:val="0"/>
              <w:bidi w:val="0"/>
              <w:spacing w:line="360" w:lineRule="auto"/>
              <w:ind w:left="0" w:leftChars="0" w:right="0" w:rightChars="0" w:firstLine="480"/>
              <w:rPr>
                <w:color w:val="auto"/>
                <w:sz w:val="24"/>
                <w:szCs w:val="24"/>
                <w:highlight w:val="none"/>
              </w:rPr>
            </w:pPr>
            <w:r>
              <w:rPr>
                <w:color w:val="auto"/>
                <w:sz w:val="24"/>
                <w:szCs w:val="24"/>
                <w:highlight w:val="none"/>
              </w:rPr>
              <w:t>当存在多种危险物质时，则按下式计算物质总量与其临界量比值（Q）：</w:t>
            </w:r>
          </w:p>
          <w:p>
            <w:pPr>
              <w:pageBreakBefore w:val="0"/>
              <w:kinsoku/>
              <w:wordWrap/>
              <w:topLinePunct w:val="0"/>
              <w:bidi w:val="0"/>
              <w:spacing w:line="360" w:lineRule="auto"/>
              <w:ind w:left="0" w:leftChars="0" w:right="0" w:rightChars="0"/>
              <w:jc w:val="center"/>
              <w:rPr>
                <w:color w:val="auto"/>
                <w:sz w:val="24"/>
                <w:szCs w:val="24"/>
                <w:highlight w:val="none"/>
              </w:rPr>
            </w:pPr>
            <w:r>
              <w:rPr>
                <w:color w:val="auto"/>
                <w:position w:val="-30"/>
                <w:sz w:val="24"/>
                <w:szCs w:val="24"/>
                <w:highlight w:val="none"/>
              </w:rPr>
              <w:object>
                <v:shape id="_x0000_i1031" o:spt="75" type="#_x0000_t75" style="height:32.4pt;width:90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p>
          <w:p>
            <w:pPr>
              <w:pageBreakBefore w:val="0"/>
              <w:kinsoku/>
              <w:wordWrap/>
              <w:topLinePunct w:val="0"/>
              <w:bidi w:val="0"/>
              <w:spacing w:line="360" w:lineRule="auto"/>
              <w:ind w:left="0" w:leftChars="0" w:right="0" w:rightChars="0" w:firstLine="480" w:firstLineChars="200"/>
              <w:rPr>
                <w:i/>
                <w:color w:val="auto"/>
                <w:sz w:val="24"/>
                <w:szCs w:val="24"/>
                <w:highlight w:val="none"/>
              </w:rPr>
            </w:pPr>
            <w:r>
              <w:rPr>
                <w:color w:val="auto"/>
                <w:sz w:val="24"/>
                <w:szCs w:val="24"/>
                <w:highlight w:val="none"/>
              </w:rPr>
              <w:t>式中：</w:t>
            </w:r>
            <w:r>
              <w:rPr>
                <w:i/>
                <w:color w:val="auto"/>
                <w:sz w:val="24"/>
                <w:szCs w:val="24"/>
                <w:highlight w:val="none"/>
              </w:rPr>
              <w:t>q</w:t>
            </w:r>
            <w:r>
              <w:rPr>
                <w:color w:val="auto"/>
                <w:sz w:val="24"/>
                <w:szCs w:val="24"/>
                <w:highlight w:val="none"/>
                <w:vertAlign w:val="subscript"/>
              </w:rPr>
              <w:t>1</w:t>
            </w:r>
            <w:r>
              <w:rPr>
                <w:color w:val="auto"/>
                <w:sz w:val="24"/>
                <w:szCs w:val="24"/>
                <w:highlight w:val="none"/>
              </w:rPr>
              <w:t>，</w:t>
            </w:r>
            <w:r>
              <w:rPr>
                <w:i/>
                <w:color w:val="auto"/>
                <w:sz w:val="24"/>
                <w:szCs w:val="24"/>
                <w:highlight w:val="none"/>
              </w:rPr>
              <w:t>q</w:t>
            </w:r>
            <w:r>
              <w:rPr>
                <w:color w:val="auto"/>
                <w:sz w:val="24"/>
                <w:szCs w:val="24"/>
                <w:highlight w:val="none"/>
                <w:vertAlign w:val="subscript"/>
              </w:rPr>
              <w:t>2</w:t>
            </w:r>
            <w:r>
              <w:rPr>
                <w:color w:val="auto"/>
                <w:sz w:val="24"/>
                <w:szCs w:val="24"/>
                <w:highlight w:val="none"/>
              </w:rPr>
              <w:t>，···，</w:t>
            </w:r>
            <w:r>
              <w:rPr>
                <w:i/>
                <w:color w:val="auto"/>
                <w:sz w:val="24"/>
                <w:szCs w:val="24"/>
                <w:highlight w:val="none"/>
              </w:rPr>
              <w:t>q</w:t>
            </w:r>
            <w:r>
              <w:rPr>
                <w:i/>
                <w:color w:val="auto"/>
                <w:sz w:val="24"/>
                <w:szCs w:val="24"/>
                <w:highlight w:val="none"/>
                <w:vertAlign w:val="subscript"/>
              </w:rPr>
              <w:t>n</w:t>
            </w:r>
            <w:r>
              <w:rPr>
                <w:color w:val="auto"/>
                <w:sz w:val="24"/>
                <w:szCs w:val="24"/>
                <w:highlight w:val="none"/>
              </w:rPr>
              <w:t>——每种危险物质的最大存在总量，t；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i/>
                <w:color w:val="auto"/>
                <w:sz w:val="24"/>
                <w:szCs w:val="24"/>
                <w:highlight w:val="none"/>
              </w:rPr>
              <w:t>Q</w:t>
            </w:r>
            <w:r>
              <w:rPr>
                <w:color w:val="auto"/>
                <w:sz w:val="24"/>
                <w:szCs w:val="24"/>
                <w:highlight w:val="none"/>
                <w:vertAlign w:val="subscript"/>
              </w:rPr>
              <w:t>1</w:t>
            </w:r>
            <w:r>
              <w:rPr>
                <w:color w:val="auto"/>
                <w:sz w:val="24"/>
                <w:szCs w:val="24"/>
                <w:highlight w:val="none"/>
              </w:rPr>
              <w:t>，</w:t>
            </w:r>
            <w:r>
              <w:rPr>
                <w:i/>
                <w:color w:val="auto"/>
                <w:sz w:val="24"/>
                <w:szCs w:val="24"/>
                <w:highlight w:val="none"/>
              </w:rPr>
              <w:t>Q</w:t>
            </w:r>
            <w:r>
              <w:rPr>
                <w:color w:val="auto"/>
                <w:sz w:val="24"/>
                <w:szCs w:val="24"/>
                <w:highlight w:val="none"/>
                <w:vertAlign w:val="subscript"/>
              </w:rPr>
              <w:t>2</w:t>
            </w:r>
            <w:r>
              <w:rPr>
                <w:color w:val="auto"/>
                <w:sz w:val="24"/>
                <w:szCs w:val="24"/>
                <w:highlight w:val="none"/>
              </w:rPr>
              <w:t>，···，</w:t>
            </w:r>
            <w:r>
              <w:rPr>
                <w:i/>
                <w:color w:val="auto"/>
                <w:sz w:val="24"/>
                <w:szCs w:val="24"/>
                <w:highlight w:val="none"/>
              </w:rPr>
              <w:t>Q</w:t>
            </w:r>
            <w:r>
              <w:rPr>
                <w:i/>
                <w:color w:val="auto"/>
                <w:sz w:val="24"/>
                <w:szCs w:val="24"/>
                <w:highlight w:val="none"/>
                <w:vertAlign w:val="subscript"/>
              </w:rPr>
              <w:t>n</w:t>
            </w:r>
            <w:r>
              <w:rPr>
                <w:color w:val="auto"/>
                <w:sz w:val="24"/>
                <w:szCs w:val="24"/>
                <w:highlight w:val="none"/>
              </w:rPr>
              <w:t>——每种危险物质的临界量，t。</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当</w:t>
            </w:r>
            <w:r>
              <w:rPr>
                <w:i/>
                <w:color w:val="auto"/>
                <w:sz w:val="24"/>
                <w:szCs w:val="24"/>
                <w:highlight w:val="none"/>
              </w:rPr>
              <w:t>Q</w:t>
            </w:r>
            <w:r>
              <w:rPr>
                <w:color w:val="auto"/>
                <w:sz w:val="24"/>
                <w:szCs w:val="24"/>
                <w:highlight w:val="none"/>
              </w:rPr>
              <w:t>&lt;1时，该项目环境风险潜势为I；</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当</w:t>
            </w:r>
            <w:r>
              <w:rPr>
                <w:i/>
                <w:color w:val="auto"/>
                <w:sz w:val="24"/>
                <w:szCs w:val="24"/>
                <w:highlight w:val="none"/>
              </w:rPr>
              <w:t>Q</w:t>
            </w:r>
            <w:r>
              <w:rPr>
                <w:color w:val="auto"/>
                <w:sz w:val="24"/>
                <w:szCs w:val="24"/>
                <w:highlight w:val="none"/>
              </w:rPr>
              <w:t>≥1时，将</w:t>
            </w:r>
            <w:r>
              <w:rPr>
                <w:i/>
                <w:color w:val="auto"/>
                <w:sz w:val="24"/>
                <w:szCs w:val="24"/>
                <w:highlight w:val="none"/>
              </w:rPr>
              <w:t>Q</w:t>
            </w:r>
            <w:r>
              <w:rPr>
                <w:color w:val="auto"/>
                <w:sz w:val="24"/>
                <w:szCs w:val="24"/>
                <w:highlight w:val="none"/>
              </w:rPr>
              <w:t>值划分为：a.1≤</w:t>
            </w:r>
            <w:r>
              <w:rPr>
                <w:i/>
                <w:color w:val="auto"/>
                <w:sz w:val="24"/>
                <w:szCs w:val="24"/>
                <w:highlight w:val="none"/>
              </w:rPr>
              <w:t>Q</w:t>
            </w:r>
            <w:r>
              <w:rPr>
                <w:color w:val="auto"/>
                <w:sz w:val="24"/>
                <w:szCs w:val="24"/>
                <w:highlight w:val="none"/>
              </w:rPr>
              <w:t>&lt;10；b.10≤</w:t>
            </w:r>
            <w:r>
              <w:rPr>
                <w:i/>
                <w:color w:val="auto"/>
                <w:sz w:val="24"/>
                <w:szCs w:val="24"/>
                <w:highlight w:val="none"/>
              </w:rPr>
              <w:t>Q</w:t>
            </w:r>
            <w:r>
              <w:rPr>
                <w:color w:val="auto"/>
                <w:sz w:val="24"/>
                <w:szCs w:val="24"/>
                <w:highlight w:val="none"/>
              </w:rPr>
              <w:t>&lt;100；c.</w:t>
            </w:r>
            <w:r>
              <w:rPr>
                <w:i/>
                <w:color w:val="auto"/>
                <w:sz w:val="24"/>
                <w:szCs w:val="24"/>
                <w:highlight w:val="none"/>
              </w:rPr>
              <w:t>Q</w:t>
            </w:r>
            <w:r>
              <w:rPr>
                <w:color w:val="auto"/>
                <w:sz w:val="24"/>
                <w:szCs w:val="24"/>
                <w:highlight w:val="none"/>
              </w:rPr>
              <w:t>≥100。</w:t>
            </w:r>
          </w:p>
          <w:p>
            <w:pPr>
              <w:pageBreakBefore w:val="0"/>
              <w:kinsoku/>
              <w:wordWrap/>
              <w:overflowPunct w:val="0"/>
              <w:topLinePunct w:val="0"/>
              <w:autoSpaceDE w:val="0"/>
              <w:autoSpaceDN w:val="0"/>
              <w:bidi w:val="0"/>
              <w:adjustRightInd w:val="0"/>
              <w:spacing w:line="360" w:lineRule="auto"/>
              <w:ind w:left="0" w:leftChars="0" w:right="0" w:rightChars="0" w:firstLine="480" w:firstLineChars="200"/>
              <w:textAlignment w:val="baseline"/>
              <w:rPr>
                <w:bCs/>
                <w:color w:val="auto"/>
                <w:sz w:val="24"/>
                <w:szCs w:val="24"/>
                <w:highlight w:val="none"/>
              </w:rPr>
            </w:pPr>
            <w:r>
              <w:rPr>
                <w:bCs/>
                <w:color w:val="auto"/>
                <w:sz w:val="24"/>
                <w:szCs w:val="24"/>
                <w:highlight w:val="none"/>
              </w:rPr>
              <w:t>根据《建设项目环境风险评价技术导则》（HJ169-2018）附录C，危险物质数量与临界量比值（Q）计算如下：</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lang w:val="zh-CN"/>
              </w:rPr>
            </w:pPr>
            <w:r>
              <w:rPr>
                <w:rFonts w:eastAsia="黑体"/>
                <w:color w:val="auto"/>
                <w:szCs w:val="22"/>
                <w:highlight w:val="none"/>
              </w:rPr>
              <w:t>表4-2</w:t>
            </w:r>
            <w:r>
              <w:rPr>
                <w:rFonts w:hint="eastAsia" w:eastAsia="黑体"/>
                <w:color w:val="auto"/>
                <w:szCs w:val="22"/>
                <w:highlight w:val="none"/>
                <w:lang w:val="en-US" w:eastAsia="zh-CN"/>
              </w:rPr>
              <w:t>4</w:t>
            </w:r>
            <w:r>
              <w:rPr>
                <w:rFonts w:hint="eastAsia" w:eastAsia="黑体"/>
                <w:color w:val="auto"/>
                <w:szCs w:val="22"/>
                <w:highlight w:val="none"/>
              </w:rPr>
              <w:t xml:space="preserve"> </w:t>
            </w:r>
            <w:r>
              <w:rPr>
                <w:rFonts w:eastAsia="黑体"/>
                <w:color w:val="auto"/>
                <w:szCs w:val="22"/>
                <w:highlight w:val="none"/>
              </w:rPr>
              <w:t>项目所涉及环境风险物质与其临界量统计汇总表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953"/>
              <w:gridCol w:w="1138"/>
              <w:gridCol w:w="1459"/>
              <w:gridCol w:w="1020"/>
              <w:gridCol w:w="114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危险特性</w:t>
                  </w:r>
                </w:p>
              </w:tc>
              <w:tc>
                <w:tcPr>
                  <w:tcW w:w="106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物质名称</w:t>
                  </w:r>
                </w:p>
              </w:tc>
              <w:tc>
                <w:tcPr>
                  <w:tcW w:w="622"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CAS号</w:t>
                  </w:r>
                </w:p>
              </w:tc>
              <w:tc>
                <w:tcPr>
                  <w:tcW w:w="79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最大储存量/t</w:t>
                  </w:r>
                </w:p>
              </w:tc>
              <w:tc>
                <w:tcPr>
                  <w:tcW w:w="55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临界量/t</w:t>
                  </w:r>
                </w:p>
              </w:tc>
              <w:tc>
                <w:tcPr>
                  <w:tcW w:w="62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储存方式</w:t>
                  </w:r>
                </w:p>
              </w:tc>
              <w:tc>
                <w:tcPr>
                  <w:tcW w:w="549"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7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腐蚀性</w:t>
                  </w:r>
                </w:p>
              </w:tc>
              <w:tc>
                <w:tcPr>
                  <w:tcW w:w="106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PAM</w:t>
                  </w:r>
                </w:p>
              </w:tc>
              <w:tc>
                <w:tcPr>
                  <w:tcW w:w="62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9003-05-8</w:t>
                  </w:r>
                </w:p>
              </w:tc>
              <w:tc>
                <w:tcPr>
                  <w:tcW w:w="79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bCs/>
                      <w:color w:val="auto"/>
                      <w:highlight w:val="none"/>
                    </w:rPr>
                  </w:pPr>
                  <w:r>
                    <w:rPr>
                      <w:color w:val="auto"/>
                      <w:kern w:val="0"/>
                      <w:highlight w:val="none"/>
                    </w:rPr>
                    <w:t>堆存</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毒性、腐蚀性</w:t>
                  </w:r>
                </w:p>
              </w:tc>
              <w:tc>
                <w:tcPr>
                  <w:tcW w:w="106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PFS</w:t>
                  </w:r>
                </w:p>
              </w:tc>
              <w:tc>
                <w:tcPr>
                  <w:tcW w:w="62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1327-41-9</w:t>
                  </w:r>
                </w:p>
              </w:tc>
              <w:tc>
                <w:tcPr>
                  <w:tcW w:w="79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15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bCs/>
                      <w:color w:val="auto"/>
                      <w:highlight w:val="none"/>
                    </w:rPr>
                  </w:pPr>
                  <w:r>
                    <w:rPr>
                      <w:color w:val="auto"/>
                      <w:kern w:val="0"/>
                      <w:highlight w:val="none"/>
                    </w:rPr>
                    <w:t>堆存</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毒性</w:t>
                  </w:r>
                </w:p>
              </w:tc>
              <w:tc>
                <w:tcPr>
                  <w:tcW w:w="106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醋酸钠</w:t>
                  </w:r>
                </w:p>
              </w:tc>
              <w:tc>
                <w:tcPr>
                  <w:tcW w:w="62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127-09-3</w:t>
                  </w:r>
                </w:p>
              </w:tc>
              <w:tc>
                <w:tcPr>
                  <w:tcW w:w="79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2</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bCs/>
                      <w:color w:val="auto"/>
                      <w:highlight w:val="none"/>
                    </w:rPr>
                  </w:pPr>
                  <w:r>
                    <w:rPr>
                      <w:color w:val="auto"/>
                      <w:kern w:val="0"/>
                      <w:highlight w:val="none"/>
                    </w:rPr>
                    <w:t>堆存</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毒性、腐蚀性</w:t>
                  </w:r>
                </w:p>
              </w:tc>
              <w:tc>
                <w:tcPr>
                  <w:tcW w:w="106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硫酸</w:t>
                  </w:r>
                </w:p>
              </w:tc>
              <w:tc>
                <w:tcPr>
                  <w:tcW w:w="62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7664-93-9</w:t>
                  </w:r>
                </w:p>
              </w:tc>
              <w:tc>
                <w:tcPr>
                  <w:tcW w:w="79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0.00295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10</w:t>
                  </w:r>
                </w:p>
              </w:tc>
              <w:tc>
                <w:tcPr>
                  <w:tcW w:w="6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49" w:type="pct"/>
                  <w:vAlign w:val="center"/>
                </w:tcPr>
                <w:p>
                  <w:pPr>
                    <w:pageBreakBefore w:val="0"/>
                    <w:kinsoku/>
                    <w:wordWrap/>
                    <w:topLinePunct w:val="0"/>
                    <w:bidi w:val="0"/>
                    <w:ind w:left="0" w:leftChars="0" w:right="0" w:rightChars="0"/>
                    <w:jc w:val="center"/>
                    <w:rPr>
                      <w:bCs/>
                      <w:color w:val="auto"/>
                      <w:highlight w:val="none"/>
                    </w:rPr>
                  </w:pPr>
                  <w:r>
                    <w:rPr>
                      <w:color w:val="auto"/>
                      <w:kern w:val="0"/>
                      <w:highlight w:val="none"/>
                    </w:rPr>
                    <w:t>0.000295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毒性、腐蚀性</w:t>
                  </w:r>
                </w:p>
              </w:tc>
              <w:tc>
                <w:tcPr>
                  <w:tcW w:w="106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盐酸</w:t>
                  </w:r>
                </w:p>
              </w:tc>
              <w:tc>
                <w:tcPr>
                  <w:tcW w:w="62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7647-01-0</w:t>
                  </w:r>
                </w:p>
              </w:tc>
              <w:tc>
                <w:tcPr>
                  <w:tcW w:w="79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0.0091525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7.5</w:t>
                  </w:r>
                </w:p>
              </w:tc>
              <w:tc>
                <w:tcPr>
                  <w:tcW w:w="6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0.00122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color w:val="auto"/>
                      <w:kern w:val="0"/>
                      <w:highlight w:val="none"/>
                    </w:rPr>
                  </w:pPr>
                  <w:r>
                    <w:rPr>
                      <w:bCs/>
                      <w:color w:val="auto"/>
                      <w:highlight w:val="none"/>
                    </w:rPr>
                    <w:t>毒性</w:t>
                  </w:r>
                </w:p>
              </w:tc>
              <w:tc>
                <w:tcPr>
                  <w:tcW w:w="106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重铬酸钾（分析纯）</w:t>
                  </w:r>
                </w:p>
              </w:tc>
              <w:tc>
                <w:tcPr>
                  <w:tcW w:w="622"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7778-50-9</w:t>
                  </w:r>
                </w:p>
              </w:tc>
              <w:tc>
                <w:tcPr>
                  <w:tcW w:w="798"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0.0005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color w:val="auto"/>
                      <w:kern w:val="0"/>
                      <w:highlight w:val="none"/>
                    </w:rPr>
                  </w:pPr>
                  <w:r>
                    <w:rPr>
                      <w:bCs/>
                      <w:color w:val="auto"/>
                      <w:highlight w:val="none"/>
                    </w:rPr>
                    <w:t>毒性</w:t>
                  </w:r>
                </w:p>
              </w:tc>
              <w:tc>
                <w:tcPr>
                  <w:tcW w:w="106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过硫酸钾（分析纯）</w:t>
                  </w:r>
                </w:p>
              </w:tc>
              <w:tc>
                <w:tcPr>
                  <w:tcW w:w="622" w:type="pct"/>
                  <w:vAlign w:val="center"/>
                </w:tcPr>
                <w:p>
                  <w:pPr>
                    <w:pageBreakBefore w:val="0"/>
                    <w:kinsoku/>
                    <w:wordWrap/>
                    <w:topLinePunct w:val="0"/>
                    <w:bidi w:val="0"/>
                    <w:ind w:left="0" w:leftChars="0" w:right="0" w:rightChars="0"/>
                    <w:jc w:val="center"/>
                    <w:rPr>
                      <w:bCs/>
                      <w:color w:val="auto"/>
                      <w:highlight w:val="none"/>
                    </w:rPr>
                  </w:pPr>
                  <w:r>
                    <w:rPr>
                      <w:color w:val="auto"/>
                      <w:highlight w:val="none"/>
                      <w:lang w:bidi="ar"/>
                    </w:rPr>
                    <w:t>7727-21-1</w:t>
                  </w:r>
                </w:p>
              </w:tc>
              <w:tc>
                <w:tcPr>
                  <w:tcW w:w="798"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0.0005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color w:val="auto"/>
                      <w:kern w:val="0"/>
                      <w:highlight w:val="none"/>
                    </w:rPr>
                  </w:pPr>
                  <w:r>
                    <w:rPr>
                      <w:bCs/>
                      <w:color w:val="auto"/>
                      <w:highlight w:val="none"/>
                    </w:rPr>
                    <w:t>毒性</w:t>
                  </w:r>
                </w:p>
              </w:tc>
              <w:tc>
                <w:tcPr>
                  <w:tcW w:w="106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钼酸钠（分析纯）</w:t>
                  </w:r>
                </w:p>
              </w:tc>
              <w:tc>
                <w:tcPr>
                  <w:tcW w:w="622" w:type="pct"/>
                  <w:vAlign w:val="center"/>
                </w:tcPr>
                <w:p>
                  <w:pPr>
                    <w:pageBreakBefore w:val="0"/>
                    <w:kinsoku/>
                    <w:wordWrap/>
                    <w:topLinePunct w:val="0"/>
                    <w:bidi w:val="0"/>
                    <w:ind w:left="0" w:leftChars="0" w:right="0" w:rightChars="0"/>
                    <w:jc w:val="center"/>
                    <w:rPr>
                      <w:bCs/>
                      <w:color w:val="auto"/>
                      <w:highlight w:val="none"/>
                    </w:rPr>
                  </w:pPr>
                  <w:r>
                    <w:rPr>
                      <w:color w:val="auto"/>
                      <w:highlight w:val="none"/>
                      <w:lang w:bidi="ar"/>
                    </w:rPr>
                    <w:t>7631-95-0</w:t>
                  </w:r>
                </w:p>
              </w:tc>
              <w:tc>
                <w:tcPr>
                  <w:tcW w:w="798"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0.0005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549"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color w:val="auto"/>
                      <w:kern w:val="0"/>
                      <w:highlight w:val="none"/>
                    </w:rPr>
                  </w:pPr>
                  <w:r>
                    <w:rPr>
                      <w:bCs/>
                      <w:color w:val="auto"/>
                      <w:highlight w:val="none"/>
                    </w:rPr>
                    <w:t>腐蚀性</w:t>
                  </w:r>
                </w:p>
              </w:tc>
              <w:tc>
                <w:tcPr>
                  <w:tcW w:w="1068"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氢氧化钠（分析纯）</w:t>
                  </w:r>
                </w:p>
              </w:tc>
              <w:tc>
                <w:tcPr>
                  <w:tcW w:w="622" w:type="pct"/>
                  <w:vAlign w:val="center"/>
                </w:tcPr>
                <w:p>
                  <w:pPr>
                    <w:pageBreakBefore w:val="0"/>
                    <w:kinsoku/>
                    <w:wordWrap/>
                    <w:topLinePunct w:val="0"/>
                    <w:bidi w:val="0"/>
                    <w:ind w:left="0" w:leftChars="0" w:right="0" w:rightChars="0"/>
                    <w:jc w:val="center"/>
                    <w:rPr>
                      <w:bCs/>
                      <w:color w:val="auto"/>
                      <w:highlight w:val="none"/>
                    </w:rPr>
                  </w:pPr>
                  <w:r>
                    <w:rPr>
                      <w:color w:val="auto"/>
                      <w:highlight w:val="none"/>
                      <w:lang w:bidi="ar"/>
                    </w:rPr>
                    <w:t>1310-73-2</w:t>
                  </w:r>
                </w:p>
              </w:tc>
              <w:tc>
                <w:tcPr>
                  <w:tcW w:w="798" w:type="pct"/>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0.0005</w:t>
                  </w:r>
                </w:p>
              </w:tc>
              <w:tc>
                <w:tcPr>
                  <w:tcW w:w="558" w:type="pct"/>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c>
                <w:tcPr>
                  <w:tcW w:w="623"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瓶装</w:t>
                  </w:r>
                </w:p>
              </w:tc>
              <w:tc>
                <w:tcPr>
                  <w:tcW w:w="1004" w:type="dxa"/>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rFonts w:hint="default" w:eastAsia="宋体"/>
                      <w:bCs/>
                      <w:color w:val="auto"/>
                      <w:highlight w:val="none"/>
                      <w:lang w:val="en-US" w:eastAsia="zh-CN"/>
                    </w:rPr>
                  </w:pPr>
                  <w:r>
                    <w:rPr>
                      <w:rFonts w:hint="eastAsia"/>
                      <w:bCs/>
                      <w:color w:val="auto"/>
                      <w:highlight w:val="none"/>
                      <w:lang w:val="en-US" w:eastAsia="zh-CN"/>
                    </w:rPr>
                    <w:t>易燃</w:t>
                  </w:r>
                  <w:r>
                    <w:rPr>
                      <w:bCs/>
                      <w:color w:val="auto"/>
                      <w:highlight w:val="none"/>
                    </w:rPr>
                    <w:t>性</w:t>
                  </w:r>
                </w:p>
              </w:tc>
              <w:tc>
                <w:tcPr>
                  <w:tcW w:w="1068" w:type="pct"/>
                  <w:vAlign w:val="center"/>
                </w:tcPr>
                <w:p>
                  <w:pPr>
                    <w:pageBreakBefore w:val="0"/>
                    <w:kinsoku/>
                    <w:wordWrap/>
                    <w:topLinePunct w:val="0"/>
                    <w:bidi w:val="0"/>
                    <w:ind w:left="0" w:leftChars="0" w:right="0" w:rightChars="0"/>
                    <w:jc w:val="center"/>
                    <w:rPr>
                      <w:rFonts w:hint="eastAsia" w:eastAsia="宋体"/>
                      <w:color w:val="auto"/>
                      <w:kern w:val="0"/>
                      <w:highlight w:val="none"/>
                      <w:lang w:val="en-US" w:eastAsia="zh-CN"/>
                    </w:rPr>
                  </w:pPr>
                  <w:r>
                    <w:rPr>
                      <w:rFonts w:hint="eastAsia"/>
                      <w:color w:val="auto"/>
                      <w:kern w:val="0"/>
                      <w:highlight w:val="none"/>
                      <w:lang w:val="en-US" w:eastAsia="zh-CN"/>
                    </w:rPr>
                    <w:t>柴油</w:t>
                  </w:r>
                </w:p>
              </w:tc>
              <w:tc>
                <w:tcPr>
                  <w:tcW w:w="622"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bidi="ar"/>
                    </w:rPr>
                  </w:pPr>
                  <w:r>
                    <w:rPr>
                      <w:rFonts w:hint="eastAsia"/>
                      <w:color w:val="auto"/>
                      <w:highlight w:val="none"/>
                      <w:lang w:val="en-US" w:eastAsia="zh-CN" w:bidi="ar"/>
                    </w:rPr>
                    <w:t>8006-61-9</w:t>
                  </w:r>
                </w:p>
              </w:tc>
              <w:tc>
                <w:tcPr>
                  <w:tcW w:w="798" w:type="pct"/>
                  <w:vAlign w:val="center"/>
                </w:tcPr>
                <w:p>
                  <w:pPr>
                    <w:pageBreakBefore w:val="0"/>
                    <w:widowControl/>
                    <w:kinsoku/>
                    <w:wordWrap/>
                    <w:topLinePunct w:val="0"/>
                    <w:bidi w:val="0"/>
                    <w:ind w:left="0" w:leftChars="0" w:right="0" w:rightChars="0"/>
                    <w:jc w:val="center"/>
                    <w:textAlignment w:val="center"/>
                    <w:rPr>
                      <w:rFonts w:hint="default" w:eastAsia="宋体"/>
                      <w:color w:val="auto"/>
                      <w:kern w:val="0"/>
                      <w:highlight w:val="none"/>
                      <w:lang w:val="en-US" w:eastAsia="zh-CN" w:bidi="ar"/>
                    </w:rPr>
                  </w:pPr>
                  <w:r>
                    <w:rPr>
                      <w:rFonts w:hint="eastAsia"/>
                      <w:color w:val="auto"/>
                      <w:kern w:val="0"/>
                      <w:highlight w:val="none"/>
                      <w:lang w:val="en-US" w:eastAsia="zh-CN" w:bidi="ar"/>
                    </w:rPr>
                    <w:t>0.2</w:t>
                  </w:r>
                </w:p>
              </w:tc>
              <w:tc>
                <w:tcPr>
                  <w:tcW w:w="558" w:type="pct"/>
                  <w:vAlign w:val="center"/>
                </w:tcPr>
                <w:p>
                  <w:pPr>
                    <w:pageBreakBefore w:val="0"/>
                    <w:kinsoku/>
                    <w:wordWrap/>
                    <w:topLinePunct w:val="0"/>
                    <w:bidi w:val="0"/>
                    <w:ind w:left="0" w:leftChars="0" w:right="0" w:rightChars="0"/>
                    <w:jc w:val="center"/>
                    <w:rPr>
                      <w:rFonts w:hint="default" w:eastAsia="宋体"/>
                      <w:bCs/>
                      <w:color w:val="auto"/>
                      <w:highlight w:val="none"/>
                      <w:lang w:val="en-US" w:eastAsia="zh-CN"/>
                    </w:rPr>
                  </w:pPr>
                  <w:r>
                    <w:rPr>
                      <w:rFonts w:hint="eastAsia"/>
                      <w:bCs/>
                      <w:color w:val="auto"/>
                      <w:highlight w:val="none"/>
                      <w:lang w:val="en-US" w:eastAsia="zh-CN"/>
                    </w:rPr>
                    <w:t>2500</w:t>
                  </w:r>
                </w:p>
              </w:tc>
              <w:tc>
                <w:tcPr>
                  <w:tcW w:w="623" w:type="pct"/>
                  <w:vAlign w:val="center"/>
                </w:tcPr>
                <w:p>
                  <w:pPr>
                    <w:pageBreakBefore w:val="0"/>
                    <w:kinsoku/>
                    <w:wordWrap/>
                    <w:topLinePunct w:val="0"/>
                    <w:bidi w:val="0"/>
                    <w:ind w:left="0" w:leftChars="0" w:right="0" w:rightChars="0"/>
                    <w:jc w:val="center"/>
                    <w:rPr>
                      <w:rFonts w:hint="eastAsia" w:eastAsia="宋体"/>
                      <w:color w:val="auto"/>
                      <w:kern w:val="0"/>
                      <w:highlight w:val="none"/>
                      <w:lang w:val="en-US" w:eastAsia="zh-CN"/>
                    </w:rPr>
                  </w:pPr>
                  <w:r>
                    <w:rPr>
                      <w:rFonts w:hint="eastAsia"/>
                      <w:color w:val="auto"/>
                      <w:kern w:val="0"/>
                      <w:highlight w:val="none"/>
                      <w:lang w:val="en-US" w:eastAsia="zh-CN"/>
                    </w:rPr>
                    <w:t>桶装</w:t>
                  </w:r>
                </w:p>
              </w:tc>
              <w:tc>
                <w:tcPr>
                  <w:tcW w:w="1004" w:type="dxa"/>
                  <w:vAlign w:val="center"/>
                </w:tcPr>
                <w:p>
                  <w:pPr>
                    <w:pageBreakBefore w:val="0"/>
                    <w:kinsoku/>
                    <w:wordWrap/>
                    <w:topLinePunct w:val="0"/>
                    <w:bidi w:val="0"/>
                    <w:ind w:left="0" w:leftChars="0" w:right="0" w:rightChars="0"/>
                    <w:jc w:val="center"/>
                    <w:rPr>
                      <w:rFonts w:hint="default" w:eastAsia="宋体"/>
                      <w:bCs/>
                      <w:color w:val="auto"/>
                      <w:highlight w:val="none"/>
                      <w:lang w:val="en-US" w:eastAsia="zh-CN"/>
                    </w:rPr>
                  </w:pPr>
                  <w:r>
                    <w:rPr>
                      <w:rFonts w:hint="eastAsia"/>
                      <w:bCs/>
                      <w:color w:val="auto"/>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vAlign w:val="center"/>
                </w:tcPr>
                <w:p>
                  <w:pPr>
                    <w:pageBreakBefore w:val="0"/>
                    <w:kinsoku/>
                    <w:wordWrap/>
                    <w:topLinePunct w:val="0"/>
                    <w:bidi w:val="0"/>
                    <w:ind w:left="0" w:leftChars="0" w:right="0" w:rightChars="0"/>
                    <w:jc w:val="center"/>
                    <w:rPr>
                      <w:rFonts w:hint="default"/>
                      <w:bCs/>
                      <w:color w:val="auto"/>
                      <w:highlight w:val="none"/>
                      <w:lang w:val="en-US" w:eastAsia="zh-CN"/>
                    </w:rPr>
                  </w:pPr>
                  <w:r>
                    <w:rPr>
                      <w:rFonts w:hint="eastAsia"/>
                      <w:bCs/>
                      <w:color w:val="auto"/>
                      <w:highlight w:val="none"/>
                      <w:lang w:val="en-US" w:eastAsia="zh-CN"/>
                    </w:rPr>
                    <w:t>易燃性</w:t>
                  </w:r>
                </w:p>
              </w:tc>
              <w:tc>
                <w:tcPr>
                  <w:tcW w:w="1068" w:type="pct"/>
                  <w:vAlign w:val="center"/>
                </w:tcPr>
                <w:p>
                  <w:pPr>
                    <w:pageBreakBefore w:val="0"/>
                    <w:kinsoku/>
                    <w:wordWrap/>
                    <w:topLinePunct w:val="0"/>
                    <w:bidi w:val="0"/>
                    <w:ind w:left="0" w:leftChars="0" w:right="0" w:rightChars="0"/>
                    <w:jc w:val="center"/>
                    <w:rPr>
                      <w:rFonts w:hint="default"/>
                      <w:color w:val="auto"/>
                      <w:kern w:val="0"/>
                      <w:highlight w:val="none"/>
                      <w:lang w:val="en-US" w:eastAsia="zh-CN"/>
                    </w:rPr>
                  </w:pPr>
                  <w:r>
                    <w:rPr>
                      <w:rFonts w:hint="eastAsia"/>
                      <w:color w:val="auto"/>
                      <w:kern w:val="0"/>
                      <w:highlight w:val="none"/>
                      <w:lang w:val="en-US" w:eastAsia="zh-CN"/>
                    </w:rPr>
                    <w:t>废机油</w:t>
                  </w:r>
                </w:p>
              </w:tc>
              <w:tc>
                <w:tcPr>
                  <w:tcW w:w="622" w:type="pct"/>
                  <w:vAlign w:val="center"/>
                </w:tcPr>
                <w:p>
                  <w:pPr>
                    <w:pageBreakBefore w:val="0"/>
                    <w:kinsoku/>
                    <w:wordWrap/>
                    <w:topLinePunct w:val="0"/>
                    <w:bidi w:val="0"/>
                    <w:ind w:left="0" w:leftChars="0" w:right="0" w:rightChars="0"/>
                    <w:jc w:val="center"/>
                    <w:rPr>
                      <w:rFonts w:hint="default"/>
                      <w:color w:val="auto"/>
                      <w:highlight w:val="none"/>
                      <w:lang w:val="en-US" w:eastAsia="zh-CN" w:bidi="ar"/>
                    </w:rPr>
                  </w:pPr>
                  <w:r>
                    <w:rPr>
                      <w:rFonts w:hint="eastAsia"/>
                      <w:color w:val="auto"/>
                      <w:highlight w:val="none"/>
                      <w:lang w:val="en-US" w:eastAsia="zh-CN" w:bidi="ar"/>
                    </w:rPr>
                    <w:t>/</w:t>
                  </w:r>
                </w:p>
              </w:tc>
              <w:tc>
                <w:tcPr>
                  <w:tcW w:w="798" w:type="pct"/>
                  <w:vAlign w:val="center"/>
                </w:tcPr>
                <w:p>
                  <w:pPr>
                    <w:pageBreakBefore w:val="0"/>
                    <w:widowControl/>
                    <w:kinsoku/>
                    <w:wordWrap/>
                    <w:topLinePunct w:val="0"/>
                    <w:bidi w:val="0"/>
                    <w:ind w:left="0" w:leftChars="0" w:right="0" w:rightChars="0"/>
                    <w:jc w:val="center"/>
                    <w:textAlignment w:val="center"/>
                    <w:rPr>
                      <w:rFonts w:hint="default"/>
                      <w:color w:val="auto"/>
                      <w:kern w:val="0"/>
                      <w:highlight w:val="none"/>
                      <w:lang w:val="en-US" w:eastAsia="zh-CN" w:bidi="ar"/>
                    </w:rPr>
                  </w:pPr>
                  <w:r>
                    <w:rPr>
                      <w:rFonts w:hint="eastAsia"/>
                      <w:color w:val="auto"/>
                      <w:kern w:val="0"/>
                      <w:highlight w:val="none"/>
                      <w:lang w:val="en-US" w:eastAsia="zh-CN" w:bidi="ar"/>
                    </w:rPr>
                    <w:t>0.2</w:t>
                  </w:r>
                </w:p>
              </w:tc>
              <w:tc>
                <w:tcPr>
                  <w:tcW w:w="558" w:type="pct"/>
                  <w:vAlign w:val="center"/>
                </w:tcPr>
                <w:p>
                  <w:pPr>
                    <w:pageBreakBefore w:val="0"/>
                    <w:kinsoku/>
                    <w:wordWrap/>
                    <w:topLinePunct w:val="0"/>
                    <w:bidi w:val="0"/>
                    <w:ind w:left="0" w:leftChars="0" w:right="0" w:rightChars="0"/>
                    <w:jc w:val="center"/>
                    <w:rPr>
                      <w:rFonts w:hint="default"/>
                      <w:bCs/>
                      <w:color w:val="auto"/>
                      <w:highlight w:val="none"/>
                      <w:lang w:val="en-US" w:eastAsia="zh-CN"/>
                    </w:rPr>
                  </w:pPr>
                  <w:r>
                    <w:rPr>
                      <w:rFonts w:hint="eastAsia"/>
                      <w:bCs/>
                      <w:color w:val="auto"/>
                      <w:highlight w:val="none"/>
                      <w:lang w:val="en-US" w:eastAsia="zh-CN"/>
                    </w:rPr>
                    <w:t>2500</w:t>
                  </w:r>
                </w:p>
              </w:tc>
              <w:tc>
                <w:tcPr>
                  <w:tcW w:w="623" w:type="pct"/>
                  <w:vAlign w:val="center"/>
                </w:tcPr>
                <w:p>
                  <w:pPr>
                    <w:pageBreakBefore w:val="0"/>
                    <w:kinsoku/>
                    <w:wordWrap/>
                    <w:topLinePunct w:val="0"/>
                    <w:bidi w:val="0"/>
                    <w:ind w:left="0" w:leftChars="0" w:right="0" w:rightChars="0"/>
                    <w:jc w:val="center"/>
                    <w:rPr>
                      <w:rFonts w:hint="eastAsia"/>
                      <w:color w:val="auto"/>
                      <w:kern w:val="0"/>
                      <w:highlight w:val="none"/>
                      <w:lang w:val="en-US" w:eastAsia="zh-CN"/>
                    </w:rPr>
                  </w:pPr>
                  <w:r>
                    <w:rPr>
                      <w:rFonts w:hint="eastAsia"/>
                      <w:color w:val="auto"/>
                      <w:kern w:val="0"/>
                      <w:highlight w:val="none"/>
                      <w:lang w:val="en-US" w:eastAsia="zh-CN"/>
                    </w:rPr>
                    <w:t>桶装</w:t>
                  </w:r>
                </w:p>
              </w:tc>
              <w:tc>
                <w:tcPr>
                  <w:tcW w:w="1004" w:type="dxa"/>
                  <w:vAlign w:val="center"/>
                </w:tcPr>
                <w:p>
                  <w:pPr>
                    <w:pageBreakBefore w:val="0"/>
                    <w:kinsoku/>
                    <w:wordWrap/>
                    <w:topLinePunct w:val="0"/>
                    <w:bidi w:val="0"/>
                    <w:ind w:left="0" w:leftChars="0" w:right="0" w:rightChars="0"/>
                    <w:jc w:val="center"/>
                    <w:rPr>
                      <w:rFonts w:hint="eastAsia"/>
                      <w:bCs/>
                      <w:color w:val="auto"/>
                      <w:highlight w:val="none"/>
                      <w:lang w:val="en-US" w:eastAsia="zh-CN"/>
                    </w:rPr>
                  </w:pPr>
                  <w:r>
                    <w:rPr>
                      <w:rFonts w:hint="eastAsia"/>
                      <w:bCs/>
                      <w:color w:val="auto"/>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0" w:type="pct"/>
                  <w:gridSpan w:val="6"/>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合计</w:t>
                  </w:r>
                </w:p>
              </w:tc>
              <w:tc>
                <w:tcPr>
                  <w:tcW w:w="1004" w:type="dxa"/>
                  <w:vAlign w:val="center"/>
                </w:tcPr>
                <w:p>
                  <w:pPr>
                    <w:pageBreakBefore w:val="0"/>
                    <w:kinsoku/>
                    <w:wordWrap/>
                    <w:topLinePunct w:val="0"/>
                    <w:bidi w:val="0"/>
                    <w:ind w:left="0" w:leftChars="0" w:right="0" w:rightChars="0"/>
                    <w:jc w:val="center"/>
                    <w:rPr>
                      <w:rFonts w:hint="default" w:eastAsia="宋体"/>
                      <w:bCs/>
                      <w:color w:val="auto"/>
                      <w:highlight w:val="none"/>
                      <w:lang w:val="en-US" w:eastAsia="zh-CN"/>
                    </w:rPr>
                  </w:pPr>
                  <w:r>
                    <w:rPr>
                      <w:bCs/>
                      <w:color w:val="auto"/>
                      <w:highlight w:val="none"/>
                    </w:rPr>
                    <w:t>0.001</w:t>
                  </w:r>
                  <w:r>
                    <w:rPr>
                      <w:rFonts w:hint="eastAsia"/>
                      <w:bCs/>
                      <w:color w:val="auto"/>
                      <w:highlight w:val="none"/>
                      <w:lang w:val="en-US" w:eastAsia="zh-CN"/>
                    </w:rPr>
                    <w:t>675</w:t>
                  </w:r>
                </w:p>
              </w:tc>
            </w:tr>
          </w:tbl>
          <w:p>
            <w:pPr>
              <w:pStyle w:val="62"/>
              <w:pageBreakBefore w:val="0"/>
              <w:kinsoku/>
              <w:wordWrap/>
              <w:topLinePunct w:val="0"/>
              <w:bidi w:val="0"/>
              <w:adjustRightInd w:val="0"/>
              <w:snapToGrid w:val="0"/>
              <w:ind w:left="0" w:leftChars="0" w:right="0" w:rightChars="0" w:firstLine="482"/>
              <w:rPr>
                <w:b/>
                <w:color w:val="auto"/>
                <w:highlight w:val="none"/>
              </w:rPr>
            </w:pPr>
            <w:r>
              <w:rPr>
                <w:b/>
                <w:color w:val="auto"/>
                <w:highlight w:val="none"/>
              </w:rPr>
              <w:t>由上表可知，项目Q=0.001</w:t>
            </w:r>
            <w:r>
              <w:rPr>
                <w:rFonts w:hint="eastAsia"/>
                <w:b/>
                <w:color w:val="auto"/>
                <w:highlight w:val="none"/>
                <w:lang w:val="en-US" w:eastAsia="zh-CN"/>
              </w:rPr>
              <w:t>675</w:t>
            </w:r>
            <w:r>
              <w:rPr>
                <w:b/>
                <w:color w:val="auto"/>
                <w:highlight w:val="none"/>
              </w:rPr>
              <w:t>＜1，即项目环境风险潜势为I。</w:t>
            </w:r>
          </w:p>
          <w:p>
            <w:pPr>
              <w:pageBreakBefore w:val="0"/>
              <w:kinsoku/>
              <w:wordWrap/>
              <w:topLinePunct w:val="0"/>
              <w:bidi w:val="0"/>
              <w:spacing w:line="360" w:lineRule="auto"/>
              <w:ind w:left="0" w:leftChars="0" w:right="0" w:rightChars="0" w:firstLine="361" w:firstLineChars="150"/>
              <w:rPr>
                <w:b/>
                <w:color w:val="auto"/>
                <w:sz w:val="24"/>
                <w:szCs w:val="24"/>
                <w:highlight w:val="none"/>
              </w:rPr>
            </w:pPr>
            <w:r>
              <w:rPr>
                <w:b/>
                <w:color w:val="auto"/>
                <w:sz w:val="24"/>
                <w:szCs w:val="24"/>
                <w:highlight w:val="none"/>
              </w:rPr>
              <w:t>3、风险评价等级的确定</w:t>
            </w:r>
          </w:p>
          <w:p>
            <w:pPr>
              <w:pageBreakBefore w:val="0"/>
              <w:kinsoku/>
              <w:wordWrap/>
              <w:topLinePunct w:val="0"/>
              <w:bidi w:val="0"/>
              <w:spacing w:line="360" w:lineRule="auto"/>
              <w:ind w:left="0" w:leftChars="0" w:right="0" w:rightChars="0" w:firstLine="480"/>
              <w:rPr>
                <w:color w:val="auto"/>
                <w:sz w:val="24"/>
                <w:szCs w:val="24"/>
                <w:highlight w:val="none"/>
              </w:rPr>
            </w:pPr>
            <w:r>
              <w:rPr>
                <w:color w:val="auto"/>
                <w:sz w:val="24"/>
                <w:szCs w:val="24"/>
                <w:highlight w:val="none"/>
              </w:rPr>
              <w:t>环境风险评价工作等级划分为一级、二级、三级。根据建设项目涉及的物质及工艺系统危险性和所在地的环境敏感性确定环境风险潜势，按表4-2</w:t>
            </w:r>
            <w:r>
              <w:rPr>
                <w:rFonts w:hint="eastAsia"/>
                <w:color w:val="auto"/>
                <w:sz w:val="24"/>
                <w:szCs w:val="24"/>
                <w:highlight w:val="none"/>
                <w:lang w:val="en-US" w:eastAsia="zh-CN"/>
              </w:rPr>
              <w:t>5</w:t>
            </w:r>
            <w:r>
              <w:rPr>
                <w:color w:val="auto"/>
                <w:sz w:val="24"/>
                <w:szCs w:val="24"/>
                <w:highlight w:val="none"/>
              </w:rPr>
              <w:t>确定评价工作等级。风险潜势为Ⅳ及以上，进行一级评价；风险潜势为Ⅲ，进行二级评价；风险潜势为Ⅱ，进行三级评价；风险潜势为Ⅰ，可开展简单分析。</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表4-2</w:t>
            </w:r>
            <w:r>
              <w:rPr>
                <w:rFonts w:hint="eastAsia" w:eastAsia="黑体"/>
                <w:color w:val="auto"/>
                <w:szCs w:val="22"/>
                <w:highlight w:val="none"/>
                <w:lang w:val="en-US" w:eastAsia="zh-CN"/>
              </w:rPr>
              <w:t>5</w:t>
            </w:r>
            <w:r>
              <w:rPr>
                <w:rFonts w:hint="eastAsia" w:eastAsia="黑体"/>
                <w:color w:val="auto"/>
                <w:szCs w:val="22"/>
                <w:highlight w:val="none"/>
              </w:rPr>
              <w:t xml:space="preserve"> </w:t>
            </w:r>
            <w:r>
              <w:rPr>
                <w:rFonts w:eastAsia="黑体"/>
                <w:color w:val="auto"/>
                <w:szCs w:val="22"/>
                <w:highlight w:val="none"/>
              </w:rPr>
              <w:t>环境风险评价工作等级划分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828"/>
              <w:gridCol w:w="1828"/>
              <w:gridCol w:w="1829"/>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9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环境风险潜势</w:t>
                  </w:r>
                </w:p>
              </w:tc>
              <w:tc>
                <w:tcPr>
                  <w:tcW w:w="99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Ⅳ、Ⅳ</w:t>
                  </w:r>
                  <w:r>
                    <w:rPr>
                      <w:b/>
                      <w:bCs/>
                      <w:color w:val="auto"/>
                      <w:highlight w:val="none"/>
                      <w:vertAlign w:val="superscript"/>
                    </w:rPr>
                    <w:t>+</w:t>
                  </w:r>
                </w:p>
              </w:tc>
              <w:tc>
                <w:tcPr>
                  <w:tcW w:w="99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Ⅲ</w:t>
                  </w:r>
                </w:p>
              </w:tc>
              <w:tc>
                <w:tcPr>
                  <w:tcW w:w="1000"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Ⅱ</w:t>
                  </w:r>
                </w:p>
              </w:tc>
              <w:tc>
                <w:tcPr>
                  <w:tcW w:w="1000"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评价工作等级</w:t>
                  </w:r>
                </w:p>
              </w:tc>
              <w:tc>
                <w:tcPr>
                  <w:tcW w:w="9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一</w:t>
                  </w:r>
                </w:p>
              </w:tc>
              <w:tc>
                <w:tcPr>
                  <w:tcW w:w="99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二</w:t>
                  </w:r>
                </w:p>
              </w:tc>
              <w:tc>
                <w:tcPr>
                  <w:tcW w:w="1000"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三</w:t>
                  </w:r>
                </w:p>
              </w:tc>
              <w:tc>
                <w:tcPr>
                  <w:tcW w:w="1000"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rPr>
                    <w:t>简单分析是相对于详细评价工作内容而言，在描述危险物质、环境影响途径、环境危害后果、风险防范措施等方面给出定性的说明。</w:t>
                  </w:r>
                </w:p>
              </w:tc>
            </w:tr>
          </w:tbl>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rPr>
              <w:t>综上，本项目环境风险潜势为I，确定本次环评仅开展简单分析。</w:t>
            </w:r>
          </w:p>
          <w:p>
            <w:pPr>
              <w:pageBreakBefore w:val="0"/>
              <w:kinsoku/>
              <w:wordWrap/>
              <w:topLinePunct w:val="0"/>
              <w:bidi w:val="0"/>
              <w:spacing w:line="360" w:lineRule="auto"/>
              <w:ind w:left="0" w:leftChars="0" w:right="0" w:rightChars="0" w:firstLine="482" w:firstLineChars="200"/>
              <w:rPr>
                <w:b/>
                <w:bCs/>
                <w:color w:val="auto"/>
                <w:sz w:val="24"/>
                <w:szCs w:val="24"/>
                <w:highlight w:val="none"/>
                <w:lang w:bidi="ar"/>
              </w:rPr>
            </w:pPr>
            <w:r>
              <w:rPr>
                <w:b/>
                <w:bCs/>
                <w:color w:val="auto"/>
                <w:sz w:val="24"/>
                <w:szCs w:val="24"/>
                <w:highlight w:val="none"/>
                <w:lang w:bidi="ar"/>
              </w:rPr>
              <w:t>4、环境敏感目标</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表4-2</w:t>
            </w:r>
            <w:r>
              <w:rPr>
                <w:rFonts w:hint="eastAsia" w:eastAsia="黑体"/>
                <w:color w:val="auto"/>
                <w:szCs w:val="22"/>
                <w:highlight w:val="none"/>
                <w:lang w:val="en-US" w:eastAsia="zh-CN"/>
              </w:rPr>
              <w:t>6</w:t>
            </w:r>
            <w:r>
              <w:rPr>
                <w:rFonts w:hint="eastAsia" w:eastAsia="黑体"/>
                <w:color w:val="auto"/>
                <w:szCs w:val="22"/>
                <w:highlight w:val="none"/>
              </w:rPr>
              <w:t xml:space="preserve"> </w:t>
            </w:r>
            <w:r>
              <w:rPr>
                <w:rFonts w:eastAsia="黑体"/>
                <w:color w:val="auto"/>
                <w:szCs w:val="22"/>
                <w:highlight w:val="none"/>
              </w:rPr>
              <w:t>本项目敏感目标一览表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126"/>
              <w:gridCol w:w="2188"/>
              <w:gridCol w:w="723"/>
              <w:gridCol w:w="1732"/>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类别</w:t>
                  </w:r>
                </w:p>
              </w:tc>
              <w:tc>
                <w:tcPr>
                  <w:tcW w:w="170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名称</w:t>
                  </w:r>
                </w:p>
              </w:tc>
              <w:tc>
                <w:tcPr>
                  <w:tcW w:w="1196"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规模</w:t>
                  </w:r>
                </w:p>
              </w:tc>
              <w:tc>
                <w:tcPr>
                  <w:tcW w:w="395"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方位</w:t>
                  </w:r>
                </w:p>
              </w:tc>
              <w:tc>
                <w:tcPr>
                  <w:tcW w:w="947"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与厂界最近距离</w:t>
                  </w:r>
                </w:p>
              </w:tc>
              <w:tc>
                <w:tcPr>
                  <w:tcW w:w="382"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敏感点</w:t>
                  </w:r>
                </w:p>
              </w:tc>
              <w:tc>
                <w:tcPr>
                  <w:tcW w:w="17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墩子村居民</w:t>
                  </w:r>
                </w:p>
              </w:tc>
              <w:tc>
                <w:tcPr>
                  <w:tcW w:w="119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30户</w:t>
                  </w:r>
                </w:p>
              </w:tc>
              <w:tc>
                <w:tcPr>
                  <w:tcW w:w="395"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WN</w:t>
                  </w:r>
                </w:p>
              </w:tc>
              <w:tc>
                <w:tcPr>
                  <w:tcW w:w="94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181～500</w:t>
                  </w:r>
                  <w:r>
                    <w:rPr>
                      <w:color w:val="auto"/>
                      <w:highlight w:val="none"/>
                    </w:rPr>
                    <w:t>m</w:t>
                  </w:r>
                </w:p>
              </w:tc>
              <w:tc>
                <w:tcPr>
                  <w:tcW w:w="382" w:type="pct"/>
                  <w:vMerge w:val="restar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人群聚集区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7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墩子村居民</w:t>
                  </w:r>
                </w:p>
              </w:tc>
              <w:tc>
                <w:tcPr>
                  <w:tcW w:w="119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20户</w:t>
                  </w:r>
                </w:p>
              </w:tc>
              <w:tc>
                <w:tcPr>
                  <w:tcW w:w="395"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rPr>
                    <w:t>EN</w:t>
                  </w:r>
                </w:p>
              </w:tc>
              <w:tc>
                <w:tcPr>
                  <w:tcW w:w="94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347～500</w:t>
                  </w:r>
                  <w:r>
                    <w:rPr>
                      <w:color w:val="auto"/>
                      <w:highlight w:val="none"/>
                    </w:rPr>
                    <w:t>m</w:t>
                  </w:r>
                </w:p>
              </w:tc>
              <w:tc>
                <w:tcPr>
                  <w:tcW w:w="38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c>
                <w:tcPr>
                  <w:tcW w:w="1709"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沙湾社区</w:t>
                  </w:r>
                </w:p>
              </w:tc>
              <w:tc>
                <w:tcPr>
                  <w:tcW w:w="119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13户</w:t>
                  </w:r>
                </w:p>
              </w:tc>
              <w:tc>
                <w:tcPr>
                  <w:tcW w:w="395"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ES</w:t>
                  </w:r>
                </w:p>
              </w:tc>
              <w:tc>
                <w:tcPr>
                  <w:tcW w:w="94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328～500</w:t>
                  </w:r>
                  <w:r>
                    <w:rPr>
                      <w:color w:val="auto"/>
                      <w:highlight w:val="none"/>
                    </w:rPr>
                    <w:t>m</w:t>
                  </w:r>
                </w:p>
              </w:tc>
              <w:tc>
                <w:tcPr>
                  <w:tcW w:w="382" w:type="pct"/>
                  <w:vMerge w:val="continue"/>
                  <w:shd w:val="clear" w:color="auto" w:fill="auto"/>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ind w:left="0" w:leftChars="0" w:right="0" w:rightChars="0"/>
                    <w:jc w:val="center"/>
                    <w:rPr>
                      <w:color w:val="auto"/>
                      <w:highlight w:val="none"/>
                    </w:rPr>
                  </w:pPr>
                </w:p>
              </w:tc>
              <w:tc>
                <w:tcPr>
                  <w:tcW w:w="1709"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龙驹坝居民</w:t>
                  </w:r>
                </w:p>
              </w:tc>
              <w:tc>
                <w:tcPr>
                  <w:tcW w:w="1196"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45户</w:t>
                  </w:r>
                </w:p>
              </w:tc>
              <w:tc>
                <w:tcPr>
                  <w:tcW w:w="39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WS</w:t>
                  </w:r>
                </w:p>
              </w:tc>
              <w:tc>
                <w:tcPr>
                  <w:tcW w:w="9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199～500</w:t>
                  </w:r>
                  <w:r>
                    <w:rPr>
                      <w:color w:val="auto"/>
                      <w:highlight w:val="none"/>
                    </w:rPr>
                    <w:t>m</w:t>
                  </w:r>
                </w:p>
              </w:tc>
              <w:tc>
                <w:tcPr>
                  <w:tcW w:w="382"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ind w:left="0" w:leftChars="0" w:right="0" w:rightChars="0"/>
                    <w:jc w:val="center"/>
                    <w:rPr>
                      <w:color w:val="auto"/>
                      <w:highlight w:val="none"/>
                    </w:rPr>
                  </w:pPr>
                </w:p>
              </w:tc>
              <w:tc>
                <w:tcPr>
                  <w:tcW w:w="1709"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龙驹坝居民</w:t>
                  </w:r>
                </w:p>
              </w:tc>
              <w:tc>
                <w:tcPr>
                  <w:tcW w:w="1196"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8户</w:t>
                  </w:r>
                </w:p>
              </w:tc>
              <w:tc>
                <w:tcPr>
                  <w:tcW w:w="39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w:t>
                  </w:r>
                </w:p>
              </w:tc>
              <w:tc>
                <w:tcPr>
                  <w:tcW w:w="947"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w:t>
                  </w:r>
                  <w:r>
                    <w:rPr>
                      <w:color w:val="auto"/>
                      <w:highlight w:val="none"/>
                    </w:rPr>
                    <w:t>m</w:t>
                  </w:r>
                </w:p>
              </w:tc>
              <w:tc>
                <w:tcPr>
                  <w:tcW w:w="382"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地表水体</w:t>
                  </w:r>
                </w:p>
              </w:tc>
              <w:tc>
                <w:tcPr>
                  <w:tcW w:w="17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前河</w:t>
                  </w:r>
                </w:p>
              </w:tc>
              <w:tc>
                <w:tcPr>
                  <w:tcW w:w="1196" w:type="pct"/>
                  <w:vAlign w:val="center"/>
                </w:tcPr>
                <w:p>
                  <w:pPr>
                    <w:pageBreakBefore w:val="0"/>
                    <w:kinsoku/>
                    <w:wordWrap/>
                    <w:topLinePunct w:val="0"/>
                    <w:bidi w:val="0"/>
                    <w:ind w:left="0" w:leftChars="0" w:right="0" w:rightChars="0"/>
                    <w:jc w:val="center"/>
                    <w:rPr>
                      <w:color w:val="auto"/>
                      <w:highlight w:val="none"/>
                      <w:lang w:bidi="ar"/>
                    </w:rPr>
                  </w:pPr>
                  <w:r>
                    <w:rPr>
                      <w:rFonts w:hint="eastAsia"/>
                      <w:color w:val="auto"/>
                      <w:highlight w:val="none"/>
                      <w:lang w:eastAsia="zh-CN" w:bidi="ar"/>
                    </w:rPr>
                    <w:t>中河（南坝水文站年平均流量57.96m</w:t>
                  </w:r>
                  <w:r>
                    <w:rPr>
                      <w:rFonts w:hint="eastAsia"/>
                      <w:color w:val="auto"/>
                      <w:highlight w:val="none"/>
                      <w:vertAlign w:val="superscript"/>
                      <w:lang w:eastAsia="zh-CN" w:bidi="ar"/>
                    </w:rPr>
                    <w:t>3</w:t>
                  </w:r>
                  <w:r>
                    <w:rPr>
                      <w:rFonts w:hint="eastAsia"/>
                      <w:color w:val="auto"/>
                      <w:highlight w:val="none"/>
                      <w:lang w:eastAsia="zh-CN" w:bidi="ar"/>
                    </w:rPr>
                    <w:t>/s）</w:t>
                  </w:r>
                </w:p>
              </w:tc>
              <w:tc>
                <w:tcPr>
                  <w:tcW w:w="39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N</w:t>
                  </w:r>
                </w:p>
              </w:tc>
              <w:tc>
                <w:tcPr>
                  <w:tcW w:w="947" w:type="pct"/>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50</w:t>
                  </w:r>
                  <w:r>
                    <w:rPr>
                      <w:color w:val="auto"/>
                      <w:highlight w:val="none"/>
                    </w:rPr>
                    <w:t>m</w:t>
                  </w:r>
                </w:p>
              </w:tc>
              <w:tc>
                <w:tcPr>
                  <w:tcW w:w="38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Ⅲ类水域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ind w:left="0" w:leftChars="0" w:right="0" w:rightChars="0"/>
                    <w:jc w:val="center"/>
                    <w:rPr>
                      <w:color w:val="auto"/>
                      <w:highlight w:val="none"/>
                    </w:rPr>
                  </w:pPr>
                </w:p>
              </w:tc>
              <w:tc>
                <w:tcPr>
                  <w:tcW w:w="17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宣汉县南坝镇团结水库集中式饮用水水源地</w:t>
                  </w:r>
                </w:p>
              </w:tc>
              <w:tc>
                <w:tcPr>
                  <w:tcW w:w="119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3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N</w:t>
                  </w:r>
                </w:p>
              </w:tc>
              <w:tc>
                <w:tcPr>
                  <w:tcW w:w="94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11.26km</w:t>
                  </w:r>
                </w:p>
              </w:tc>
              <w:tc>
                <w:tcPr>
                  <w:tcW w:w="382"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ind w:left="0" w:leftChars="0" w:right="0" w:rightChars="0"/>
                    <w:jc w:val="center"/>
                    <w:rPr>
                      <w:color w:val="auto"/>
                      <w:highlight w:val="none"/>
                    </w:rPr>
                  </w:pPr>
                </w:p>
              </w:tc>
              <w:tc>
                <w:tcPr>
                  <w:tcW w:w="17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宣汉县南坝镇前河小河口集中式饮用水水源地</w:t>
                  </w:r>
                </w:p>
              </w:tc>
              <w:tc>
                <w:tcPr>
                  <w:tcW w:w="119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3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EN</w:t>
                  </w:r>
                </w:p>
              </w:tc>
              <w:tc>
                <w:tcPr>
                  <w:tcW w:w="94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7.48km</w:t>
                  </w:r>
                </w:p>
              </w:tc>
              <w:tc>
                <w:tcPr>
                  <w:tcW w:w="382"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ind w:left="0" w:leftChars="0" w:right="0" w:rightChars="0"/>
                    <w:jc w:val="center"/>
                    <w:rPr>
                      <w:color w:val="auto"/>
                      <w:highlight w:val="none"/>
                    </w:rPr>
                  </w:pPr>
                </w:p>
              </w:tc>
              <w:tc>
                <w:tcPr>
                  <w:tcW w:w="17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宣汉县南坝镇周家丫伙（村级）集中式饮用水水源地</w:t>
                  </w:r>
                </w:p>
              </w:tc>
              <w:tc>
                <w:tcPr>
                  <w:tcW w:w="119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3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E</w:t>
                  </w:r>
                </w:p>
              </w:tc>
              <w:tc>
                <w:tcPr>
                  <w:tcW w:w="94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5.48km</w:t>
                  </w:r>
                </w:p>
              </w:tc>
              <w:tc>
                <w:tcPr>
                  <w:tcW w:w="382"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Merge w:val="continue"/>
                  <w:vAlign w:val="center"/>
                </w:tcPr>
                <w:p>
                  <w:pPr>
                    <w:pageBreakBefore w:val="0"/>
                    <w:kinsoku/>
                    <w:wordWrap/>
                    <w:topLinePunct w:val="0"/>
                    <w:bidi w:val="0"/>
                    <w:ind w:left="0" w:leftChars="0" w:right="0" w:rightChars="0"/>
                    <w:jc w:val="center"/>
                    <w:rPr>
                      <w:color w:val="auto"/>
                      <w:highlight w:val="none"/>
                    </w:rPr>
                  </w:pPr>
                </w:p>
              </w:tc>
              <w:tc>
                <w:tcPr>
                  <w:tcW w:w="17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宣汉县东乡街道州河三河大桥头（村级）集中式饮用水水源地</w:t>
                  </w:r>
                </w:p>
              </w:tc>
              <w:tc>
                <w:tcPr>
                  <w:tcW w:w="119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39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W</w:t>
                  </w:r>
                </w:p>
              </w:tc>
              <w:tc>
                <w:tcPr>
                  <w:tcW w:w="94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13.37km</w:t>
                  </w:r>
                </w:p>
              </w:tc>
              <w:tc>
                <w:tcPr>
                  <w:tcW w:w="382" w:type="pct"/>
                  <w:vMerge w:val="continue"/>
                  <w:vAlign w:val="center"/>
                </w:tcPr>
                <w:p>
                  <w:pPr>
                    <w:pageBreakBefore w:val="0"/>
                    <w:kinsoku/>
                    <w:wordWrap/>
                    <w:topLinePunct w:val="0"/>
                    <w:bidi w:val="0"/>
                    <w:ind w:left="0" w:leftChars="0" w:right="0" w:rightChars="0"/>
                    <w:jc w:val="center"/>
                    <w:rPr>
                      <w:color w:val="auto"/>
                      <w:highlight w:val="none"/>
                    </w:rPr>
                  </w:pP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5、环境风险识别</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对本项目的生产过程危险性因素的分析结果可知，一旦本项目发生重大环境风险事故，其事故对环境影响的途径主要表现为可能危害区域大气环境质量、造成附近水域污染。根据分析，本项目的风险事故类型及其危害后果：</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（1）进水污染事故</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本污水处理厂运营期环境风险主要可能由污水处理厂的异常进水对污水处理厂造成冲击等。</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工业企业生产的不连续性、生活废水排水水质的不稳定性、个别工业企业的生产设备或废水的预处理设施故障而发生污染事故等，都可能对污水处理厂的处理效率产生不利影响。不连续性及排水水质的不稳定性属于普通的经常性问题，正常范围内的排水水质的不稳定并不会影响本污水处理厂整体进水水质，处理工艺完全能够对付这样的不稳定，使尾水做到达标排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由于该污水处理厂将会收纳</w:t>
            </w:r>
            <w:r>
              <w:rPr>
                <w:color w:val="auto"/>
                <w:sz w:val="24"/>
                <w:szCs w:val="24"/>
                <w:highlight w:val="none"/>
                <w:lang w:bidi="ar"/>
              </w:rPr>
              <w:t>南坝工业园区工业废水</w:t>
            </w:r>
            <w:r>
              <w:rPr>
                <w:color w:val="auto"/>
                <w:sz w:val="24"/>
                <w:szCs w:val="32"/>
                <w:highlight w:val="none"/>
                <w:lang w:bidi="ar"/>
              </w:rPr>
              <w:t>，因此，进水水质对本污水处理厂的威胁可能来自个别工业企业的生产设备或废水的预处理设施故障而发生的污染事故。虽然对企业来说，排放的污染物质可能成倍或成几十倍的增加，但对污水处理厂的进水来说，只要这些增加的物质不是重金属或有毒物质，大多数这类事故并不会对处理效率构成明显的影响。在极少数的情况下，发生事故的企业排放的废水量在污水处理厂进水中所占的分量较大，从而使处理效率下降，此时排放的尾水水质有超标的可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（2）设备故障事故及检修</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本项目采用优质设备。采用部分进口设备，自动监控水平较高。因此，本污水处理厂发生设备故障事故的可能性小。</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（3）尾水事故排放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造成尾水事故排放的主要原因包括设备故障、污泥膨胀等。</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污水处理厂一旦出现机械故障或停电，会直接影响污水处理厂的正常运行，尤其是遇到机械故障或长时间停电不运转将造成生化池中微生物大批死亡，而微生物培养需很长一段时间，这段时间污水只能越过生化系统，直接进入后续处理后排入水体，进而对受纳水体前河水质造成污染。正常的活性污泥沉降性能很好，含水率一般在99%左右，当活性污泥变质时，污泥就不易沉淀，含水率上升，体积膨胀，澄清液减少，这就是污泥膨胀。根据国内外活性污泥系统调查结果，无论是普通活性污泥系统，还是生物脱氮除磷系统都会发污泥膨胀，污泥膨胀是自活性污泥法问世以来在运行管理上一直困扰人们的难题之一。污泥膨胀一般是由丝状菌和真菌引起的，其中由丝状菌过量繁殖引起的污泥膨胀最为常见。目前已知的近30种丝状菌中，与污泥膨胀问题密切相关的有十几种。有的丝状菌引起的污泥膨胀发展迅速，2～4d就可达到非常严重的结果，而且非常持久。当发生污泥膨胀时，会严重影响污水处理设施的处理效果，甚至完全失效时，尾水将严重超标排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（4）污水管网发生堵塞、破裂和爆炸</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一般情况下，污水管网不会发生堵塞、破裂和爆炸，发生该类事故的可能原因主要有管网设计不合理、往下水道倾倒大量固体废物和易燃易爆物质等。</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（5）池体破裂造成的风险</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项目污水处理过程中，若发生池体防渗层破裂，会导致污水渗入地下水，导致区域地下水环境质量受到污染。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32"/>
                <w:highlight w:val="none"/>
                <w:lang w:val="en-US" w:eastAsia="zh-CN" w:bidi="ar"/>
              </w:rPr>
            </w:pPr>
            <w:r>
              <w:rPr>
                <w:rFonts w:hint="default" w:ascii="Times New Roman" w:hAnsi="Times New Roman" w:eastAsia="宋体" w:cs="Times New Roman"/>
                <w:b/>
                <w:bCs/>
                <w:color w:val="auto"/>
                <w:kern w:val="2"/>
                <w:sz w:val="24"/>
                <w:szCs w:val="32"/>
                <w:highlight w:val="none"/>
                <w:lang w:val="en-US" w:eastAsia="zh-CN" w:bidi="ar"/>
              </w:rPr>
              <w:t>（6）柴油、化学品泄漏风险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kern w:val="2"/>
                <w:sz w:val="24"/>
                <w:szCs w:val="32"/>
                <w:highlight w:val="none"/>
                <w:lang w:val="en-US" w:eastAsia="zh-CN" w:bidi="ar"/>
              </w:rPr>
            </w:pPr>
            <w:r>
              <w:rPr>
                <w:rFonts w:hint="default" w:ascii="Times New Roman" w:hAnsi="Times New Roman" w:eastAsia="宋体" w:cs="Times New Roman"/>
                <w:b w:val="0"/>
                <w:bCs w:val="0"/>
                <w:color w:val="auto"/>
                <w:kern w:val="2"/>
                <w:sz w:val="24"/>
                <w:szCs w:val="32"/>
                <w:highlight w:val="none"/>
                <w:lang w:val="en-US" w:eastAsia="zh-CN" w:bidi="ar"/>
              </w:rPr>
              <w:t>各类化学品存放时由于管理不当，人为原因等造成柴油、化学品泄露，可能会对地表水和地下水造成影响。</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w:t>
            </w:r>
            <w:r>
              <w:rPr>
                <w:rFonts w:hint="eastAsia"/>
                <w:b/>
                <w:bCs/>
                <w:color w:val="auto"/>
                <w:sz w:val="24"/>
                <w:szCs w:val="32"/>
                <w:highlight w:val="none"/>
                <w:lang w:val="en-US" w:eastAsia="zh-CN" w:bidi="ar"/>
              </w:rPr>
              <w:t>7</w:t>
            </w:r>
            <w:r>
              <w:rPr>
                <w:b/>
                <w:bCs/>
                <w:color w:val="auto"/>
                <w:sz w:val="24"/>
                <w:szCs w:val="32"/>
                <w:highlight w:val="none"/>
                <w:lang w:bidi="ar"/>
              </w:rPr>
              <w:t>）化学品泄漏风险</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各类化学品存放时由于管理不当，人为原因等造成化学品泄漏，可能会对地表水和地下水造成影响。</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w:t>
            </w:r>
            <w:r>
              <w:rPr>
                <w:rFonts w:hint="eastAsia"/>
                <w:b/>
                <w:bCs/>
                <w:color w:val="auto"/>
                <w:sz w:val="24"/>
                <w:szCs w:val="32"/>
                <w:highlight w:val="none"/>
                <w:lang w:val="en-US" w:eastAsia="zh-CN" w:bidi="ar"/>
              </w:rPr>
              <w:t>8</w:t>
            </w:r>
            <w:r>
              <w:rPr>
                <w:b/>
                <w:bCs/>
                <w:color w:val="auto"/>
                <w:sz w:val="24"/>
                <w:szCs w:val="32"/>
                <w:highlight w:val="none"/>
                <w:lang w:bidi="ar"/>
              </w:rPr>
              <w:t>）生产过程风险</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①加药装置风险因素分析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本项目加药设备因操作失误、设备故障等原因，可能导致化学品泄漏，形成危害。</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②装卸作业分析隐患分析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在危险化学品的装卸过程中，易出现因工作人员操作不当而致使危险化学品外泄。外泄的物质具有腐蚀性，会引起环境事故。</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③运输环节风险隐患分析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危险化学品在运输过程因发生覆车、撞击等事故，存在造成危险化学品储运设施开裂和爆炸的危险，并由此而引发危险化学品的大量泄漏进入环境中，从而导致中毒事故。</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6、风险防范措施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（1）废水事故排放风险防范措施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污水处理厂的事故来源于设备故障、检修或由于工艺参数改变而使处理效果变差，其防治措施为：</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①污水处理厂按照设计采用双路供电，水泵设计考虑备用，机械设备采用性能可靠优质产品。</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②为使在事故状态下污水处理厂能够迅速恢复正常运行，应在主要水工建筑物的容积上留有相应的缓冲能力，并配有相应的设备（如回流泵、回流管道、阀门及仪表等）。</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③选用优质设备，对污水处理厂各种机械电器、仪表等设备，必须选择质量优良、事故率低、便于维修的产品。关键设备应一备一用，易损部件要有备用件，在出现事故时能及时更换。</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④加强事故苗头监控，定期巡检、调节、保养、维修。及时发现有可能引起事故的异常运行苗头，消除事故隐患。</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⑤严格控制处理单元的水量、水质、停留时间、负荷强度等工艺参数，确保处理效果的稳定性。配备流量、水质自动分析监控仪器，定期取样监测。操作人员及时调整，使设备处于最佳工况。如发现异常现象，就需立即采取预防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⑥建立废水处理厂运行管理和操作责任制度；对管理和操作人员进行培训，建立技术考核档案，不合格者不得上岗；聘请有经验的专业技术人员负责厂内的技术管理工作。</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⑦加强运行管理和进出水的监测工作，未经处理达标的污水严禁外排。</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⑧加强工业污染源管理，建立和健全排放污染物许可证管理制度，严格按照国家排放标准和总量控制要求，控制并监督各工业企业的预处理与正常排污。</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⑨对产生的污泥和栅渣做到及时、妥善处置。</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⑩发生污水处理厂停运事故时，应在排放口附近水域悬挂标志示警，排水的单位大户应调整生产，减少污水排放。当值班人员应迅速组织抢修，排除故障，恢复污水处理系统的正常运行。</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⑪在进水口及尾水出水口安装COD、氨氮、TN、TP等在线监测仪表，当出水发现超标时，当尾水不达标时通过事故管回流至进水泵房，避免超标尾水排放。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采取上述措施，可有效防止本项目非正常状况下废水直排前河。</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（2）进水水质波动事故风险防范措施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根据项目收纳范围内主导产业及特征污染物分析，园区主要特征污染物情况防范措施如下。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①建设单位应针对可能发生的污染事故，建立合适的事故处理程序、机制和措施。一旦发生事故，则采取相应的措施，将事故对环境的影响控制在最小或较小范围内；</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②设置进、出水水质自动监测装置及报警装置，设置进厂、出厂污水截断装置，当事故发生后，立即截断污水来源和杜绝事故排放，及时发现不良水质进入污水处理厂。</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对进水口的废水量、pH、COD、NH</w:t>
            </w:r>
            <w:r>
              <w:rPr>
                <w:color w:val="auto"/>
                <w:sz w:val="24"/>
                <w:szCs w:val="32"/>
                <w:highlight w:val="none"/>
                <w:vertAlign w:val="subscript"/>
                <w:lang w:bidi="ar"/>
              </w:rPr>
              <w:t>3</w:t>
            </w:r>
            <w:r>
              <w:rPr>
                <w:color w:val="auto"/>
                <w:sz w:val="24"/>
                <w:szCs w:val="32"/>
                <w:highlight w:val="none"/>
                <w:lang w:bidi="ar"/>
              </w:rPr>
              <w:t>-N、TP、TN进行在线监测，对总排口废水量、pH、COD、NH</w:t>
            </w:r>
            <w:r>
              <w:rPr>
                <w:color w:val="auto"/>
                <w:sz w:val="24"/>
                <w:szCs w:val="32"/>
                <w:highlight w:val="none"/>
                <w:vertAlign w:val="subscript"/>
                <w:lang w:bidi="ar"/>
              </w:rPr>
              <w:t>3</w:t>
            </w:r>
            <w:r>
              <w:rPr>
                <w:color w:val="auto"/>
                <w:sz w:val="24"/>
                <w:szCs w:val="32"/>
                <w:highlight w:val="none"/>
                <w:lang w:bidi="ar"/>
              </w:rPr>
              <w:t>-N、TP、TN进行在线监测，一旦发现废水可生化性较低或总排口废水不达标立即报警，同时截断污水来源和杜绝事故排放。</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（3）污水管网发生堵塞、破裂和爆炸风险防范措施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严格按照相关规范进行污水管道的设计，同时在运行期应加强管道的巡检、维护。加强管理，严禁随意向管道内倾倒固体废物和易燃易爆物质等。</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（4）池体破裂事故风险防范措施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项目在建设过程中，应严格按照本报告提出的地下水污染防治措施要求，对厂区进行防渗分区，并严格落实各区域的防渗措施。同时在运行过程中，加强日常检查工作，并对检查结果进行记录。</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（5）化学品泄漏防范措施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各类化学品需分类分别存放，不可以一起存放；地面做好防腐防渗，防止泄漏化学品流出，污染地表水体和地下水体；在厂区少量存放化学品，涉及的危险化学品不得露天存放。</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装卸化学品做好个人防护，穿戴防护服、防护手套、防护面罩等，装卸、搬运化学品时应做到轻装、轻卸。严禁摔、碰、撞击、拖拉、倾倒和滚动等。装卸危险化学品时，操作人员不得做与工作无关的事情，集中精力注意装卸情况，以便出现异常情况时，及时采取应急措施，将原料放置到原料库房中，禁止露天堆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32"/>
                <w:highlight w:val="none"/>
                <w:lang w:val="en-US" w:eastAsia="zh-CN" w:bidi="ar"/>
              </w:rPr>
            </w:pPr>
            <w:r>
              <w:rPr>
                <w:rFonts w:hint="default" w:ascii="Times New Roman" w:hAnsi="Times New Roman" w:eastAsia="宋体" w:cs="Times New Roman"/>
                <w:b/>
                <w:bCs/>
                <w:color w:val="auto"/>
                <w:kern w:val="2"/>
                <w:sz w:val="24"/>
                <w:szCs w:val="32"/>
                <w:highlight w:val="none"/>
                <w:lang w:val="en-US" w:eastAsia="zh-CN" w:bidi="ar"/>
              </w:rPr>
              <w:t>（6）柴油泄漏火灾爆炸预防措施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b/>
                <w:bCs/>
                <w:color w:val="auto"/>
                <w:sz w:val="24"/>
                <w:szCs w:val="32"/>
                <w:highlight w:val="none"/>
                <w:lang w:bidi="ar"/>
              </w:rPr>
            </w:pPr>
            <w:r>
              <w:rPr>
                <w:rFonts w:hint="default" w:ascii="Times New Roman" w:hAnsi="Times New Roman" w:eastAsia="宋体" w:cs="Times New Roman"/>
                <w:b w:val="0"/>
                <w:bCs w:val="0"/>
                <w:color w:val="auto"/>
                <w:kern w:val="2"/>
                <w:sz w:val="24"/>
                <w:szCs w:val="32"/>
                <w:highlight w:val="none"/>
                <w:lang w:val="en-US" w:eastAsia="zh-CN" w:bidi="ar"/>
              </w:rPr>
              <w:t>柴油储存应当符合有关安全防火规定，设置相应的通风、防爆、防火、防雷、防静电等安全设施并作好标识。对存放柴油的房间进行严格管控，房间钥匙不得随意配制，无关人员不得随意借用钥匙；门应上锁，钥匙由值班人员管理，未经批准非工作人员严禁入内；若需进入，须在《来访人员登记表》上登记，值班人员全程陪同。存放柴油的房间不得有无关的物品、物资存放（包括临时性存放）；禁止堆放易燃、易爆物品及腐蚀性物品；严禁随处乱堆乱放固体废弃物，保持房间四周环境的清洁卫生。严禁在存放柴油的房间吸烟和使用明火，室内禁止敲打和碰撞以防产生火花。发现火警必须及时报告同时尽全力与消防人员共同扑灭火灾。加强指定管理人员，负责督促检查柴油的安全，贯彻落实各项安全管理制度。定期对柴油进行检查。对于玩忽职守，违章指挥，违反实验规范规程，造成质量事故和经济损失的领导人员和责任者，视情节轻重，根据所有关规定分别追究经济责任和行政责任。</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w:t>
            </w:r>
            <w:r>
              <w:rPr>
                <w:rFonts w:hint="eastAsia"/>
                <w:b/>
                <w:bCs/>
                <w:color w:val="auto"/>
                <w:sz w:val="24"/>
                <w:szCs w:val="32"/>
                <w:highlight w:val="none"/>
                <w:lang w:val="en-US" w:eastAsia="zh-CN" w:bidi="ar"/>
              </w:rPr>
              <w:t>7</w:t>
            </w:r>
            <w:r>
              <w:rPr>
                <w:b/>
                <w:bCs/>
                <w:color w:val="auto"/>
                <w:sz w:val="24"/>
                <w:szCs w:val="32"/>
                <w:highlight w:val="none"/>
                <w:lang w:bidi="ar"/>
              </w:rPr>
              <w:t>）危险废物储存过程防范措施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①危废暂存间门口贴标识标牌，设防火提示牌，门口设置警示牌。</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②设置管理责任人，作业人员须了解其接触的危险废物的性质、危害特性、包装容器的使用特性和发生意外时的应急措施，并配备必要的应急处理器材和防护用品。</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③危废暂存间、加药间地面全部进行重点防渗处理，危废暂存间</w:t>
            </w:r>
            <w:r>
              <w:rPr>
                <w:color w:val="auto"/>
                <w:sz w:val="24"/>
                <w:szCs w:val="24"/>
                <w:highlight w:val="none"/>
                <w:lang w:bidi="ar"/>
              </w:rPr>
              <w:t>地面及墙裙已采取基础及底板垫层C15防水混凝土+P6等级的C30防水混凝土+2mm环氧树脂进行重点防渗</w:t>
            </w:r>
            <w:r>
              <w:rPr>
                <w:color w:val="auto"/>
                <w:sz w:val="24"/>
                <w:szCs w:val="32"/>
                <w:highlight w:val="none"/>
                <w:lang w:bidi="ar"/>
              </w:rPr>
              <w:t>，确保K≤1×10</w:t>
            </w:r>
            <w:r>
              <w:rPr>
                <w:color w:val="auto"/>
                <w:sz w:val="24"/>
                <w:szCs w:val="32"/>
                <w:highlight w:val="none"/>
                <w:vertAlign w:val="superscript"/>
                <w:lang w:bidi="ar"/>
              </w:rPr>
              <w:t>-10</w:t>
            </w:r>
            <w:r>
              <w:rPr>
                <w:color w:val="auto"/>
                <w:sz w:val="24"/>
                <w:szCs w:val="32"/>
                <w:highlight w:val="none"/>
                <w:lang w:bidi="ar"/>
              </w:rPr>
              <w:t>cm/s；加药间采取</w:t>
            </w:r>
            <w:r>
              <w:rPr>
                <w:color w:val="auto"/>
                <w:sz w:val="24"/>
                <w:szCs w:val="24"/>
                <w:highlight w:val="none"/>
                <w:lang w:bidi="ar"/>
              </w:rPr>
              <w:t>基础及底板垫层C15防水混凝土+P6等级的C30防水混凝土，</w:t>
            </w:r>
            <w:r>
              <w:rPr>
                <w:color w:val="auto"/>
                <w:sz w:val="24"/>
                <w:szCs w:val="32"/>
                <w:highlight w:val="none"/>
                <w:lang w:bidi="ar"/>
              </w:rPr>
              <w:t>确保K≤1×10</w:t>
            </w:r>
            <w:r>
              <w:rPr>
                <w:color w:val="auto"/>
                <w:sz w:val="24"/>
                <w:szCs w:val="32"/>
                <w:highlight w:val="none"/>
                <w:vertAlign w:val="superscript"/>
                <w:lang w:bidi="ar"/>
              </w:rPr>
              <w:t>-7</w:t>
            </w:r>
            <w:r>
              <w:rPr>
                <w:color w:val="auto"/>
                <w:sz w:val="24"/>
                <w:szCs w:val="32"/>
                <w:highlight w:val="none"/>
                <w:lang w:bidi="ar"/>
              </w:rPr>
              <w:t>cm/s。</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④液态危废采用专用密闭容器收集暂存，危废暂存间设置有一定坡度和收集池，并设置空桶作为备用收容设施。</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7、环境风险应急预案</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无论预防工作如何周密，风险事故总是难以根本杜绝，制定风险事故应急预案的目的是迅速而有效地将事故损失减至最小，制定应急预案原则如下：</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①应急组织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成立污水处理厂的事故应急指挥中心，制定事故应急方案。</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人员组织：企业应对于可能出现的风险成立专门的应急处理小组，进行详细的人员分工，职责分明。对新上岗的工作人员、实习人员进行岗前安全、环保知识培训，重点部门人员定期进行轮训。</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物料器材配备：贮存一定量的应急设备，以备应急时使用；配备个人防护用品，以备应急时使用。</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职责：制订消防、火灾等事故应急预案；建立企业应急管理、报警体系；负责人员、资源配置、应急队伍的调动；确定现场指挥人员；协调事故现场有关工作；批准预案的启动与终止；事故状态下各级人员的职责；环境污染事故信息的上报工作；接受政府的指令和调动；组织应急预案的演练；负责保护事故现场及相关数据。</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②应急保护目标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根据发生事故大小，确立应急保护目标，当发生泄漏事故后，项目周围的办公楼、工作人员、厂房等均应为应急保护目标。</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③应急响应</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一旦发生污染事故，现场操作人员应立即向污水厂负责人报警。</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污水厂负责人在接报后立即了解事故情况，及时向事故应急指挥中心报告。事故应急指挥中心在接报后，立即向下游各镇政府、环保部门发出报警，一方而指挥污水厂的抢修工作，另一方面指挥有关工厂、企业等采取停产或其它有效措施，停止或减少污水进入污水厂。</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④应急设施、设备与器材</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应规定应急状态下的报警通讯方式和通知方式；配备托盘等防渗容器；</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⑤应急环境监测及事故后评估</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配备专业队伍负责对事故现场进行侦察监测，配备一定现场事故监测设备，及时准确发现事故灾害，对事故性质、参数预测后果进行评估，为指挥部门提供决策依据。</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⑥应急状态终止与恢复措施</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规定应急状态终止程序，事故现场善后处理，恢复措施邻近区域解除事故警戒及善后恢复措施。现场善后处理是应急预案的重要组成部分。善后计划关系到防止污染的扩大和防止事故的进一步引发，应予以重视。善后计划应包括对事故现场作进一步的安全检查，尤其是由于事故或抢救过程中留下的隐患，是否可能进一步引起新的事故。善后计划包括对事故原因分析、教训的吸取，改进措施及总结，写事故报告，报告有关部门。</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8、风险防范措施及投资</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为了预防风险事故的发生，提出以下措施对风险事故进行防范，新增风险事故防范措施费用计入工程总投资，详见下表：</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表4-2</w:t>
            </w:r>
            <w:r>
              <w:rPr>
                <w:rFonts w:hint="eastAsia" w:eastAsia="黑体"/>
                <w:color w:val="auto"/>
                <w:szCs w:val="22"/>
                <w:highlight w:val="none"/>
                <w:lang w:val="en-US" w:eastAsia="zh-CN"/>
              </w:rPr>
              <w:t>7</w:t>
            </w:r>
            <w:r>
              <w:rPr>
                <w:rFonts w:hint="eastAsia" w:eastAsia="黑体"/>
                <w:color w:val="auto"/>
                <w:szCs w:val="22"/>
                <w:highlight w:val="none"/>
              </w:rPr>
              <w:t xml:space="preserve"> </w:t>
            </w:r>
            <w:r>
              <w:rPr>
                <w:rFonts w:eastAsia="黑体"/>
                <w:color w:val="auto"/>
                <w:szCs w:val="22"/>
                <w:highlight w:val="none"/>
              </w:rPr>
              <w:t>环境风险措施一览表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986"/>
              <w:gridCol w:w="1890"/>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序号</w:t>
                  </w:r>
                </w:p>
              </w:tc>
              <w:tc>
                <w:tcPr>
                  <w:tcW w:w="2726"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风险防范措施</w:t>
                  </w:r>
                </w:p>
              </w:tc>
              <w:tc>
                <w:tcPr>
                  <w:tcW w:w="1033"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投资（万元）</w:t>
                  </w:r>
                </w:p>
              </w:tc>
              <w:tc>
                <w:tcPr>
                  <w:tcW w:w="717"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w:t>
                  </w:r>
                </w:p>
              </w:tc>
              <w:tc>
                <w:tcPr>
                  <w:tcW w:w="272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进、出水水质自动监测装置及报警装置</w:t>
                  </w:r>
                </w:p>
              </w:tc>
              <w:tc>
                <w:tcPr>
                  <w:tcW w:w="1033"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3.0</w:t>
                  </w:r>
                </w:p>
              </w:tc>
              <w:tc>
                <w:tcPr>
                  <w:tcW w:w="71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272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进厂、出厂污水截断装置</w:t>
                  </w:r>
                </w:p>
              </w:tc>
              <w:tc>
                <w:tcPr>
                  <w:tcW w:w="1033"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2.0</w:t>
                  </w:r>
                </w:p>
              </w:tc>
              <w:tc>
                <w:tcPr>
                  <w:tcW w:w="71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w:t>
                  </w:r>
                </w:p>
              </w:tc>
              <w:tc>
                <w:tcPr>
                  <w:tcW w:w="272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厂区设置双回路电源，保证正常生产和事故应急</w:t>
                  </w:r>
                </w:p>
              </w:tc>
              <w:tc>
                <w:tcPr>
                  <w:tcW w:w="1033"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计入工程投资</w:t>
                  </w:r>
                </w:p>
              </w:tc>
              <w:tc>
                <w:tcPr>
                  <w:tcW w:w="71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2"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w:t>
                  </w:r>
                </w:p>
              </w:tc>
              <w:tc>
                <w:tcPr>
                  <w:tcW w:w="2726"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制订切合企业实际情况的应急预案</w:t>
                  </w:r>
                </w:p>
              </w:tc>
              <w:tc>
                <w:tcPr>
                  <w:tcW w:w="1033"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3.0</w:t>
                  </w:r>
                </w:p>
              </w:tc>
              <w:tc>
                <w:tcPr>
                  <w:tcW w:w="717" w:type="pct"/>
                  <w:shd w:val="clear" w:color="auto" w:fill="auto"/>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w:t>
                  </w:r>
                </w:p>
              </w:tc>
            </w:tr>
          </w:tbl>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9、风险评价结论</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存在一定环境风险，最大可信事故主要为废水事故排放、化学品泄漏事故，建设单位应按照本报告做好各项风险的预防和应急措施，并制定完善的风险事故应急预案。在项目严格落实环评提出各项措施和要求的前提下，本项目运营期的环境风险在可接受范围之内。</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综上所述，项目严格按照本报告提出的要求，对事故等采取风险防范措施，可以将环境风险降低到可接受的水平，拟采取的风险防范措施可行，从环境风险角度本项目的建设是可行的。</w:t>
            </w:r>
          </w:p>
          <w:p>
            <w:pPr>
              <w:pageBreakBefore w:val="0"/>
              <w:tabs>
                <w:tab w:val="left" w:pos="420"/>
              </w:tabs>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表4-2</w:t>
            </w:r>
            <w:r>
              <w:rPr>
                <w:rFonts w:hint="eastAsia" w:eastAsia="黑体"/>
                <w:color w:val="auto"/>
                <w:szCs w:val="22"/>
                <w:highlight w:val="none"/>
                <w:lang w:val="en-US" w:eastAsia="zh-CN"/>
              </w:rPr>
              <w:t>8</w:t>
            </w:r>
            <w:r>
              <w:rPr>
                <w:rFonts w:hint="eastAsia" w:eastAsia="黑体"/>
                <w:color w:val="auto"/>
                <w:szCs w:val="22"/>
                <w:highlight w:val="none"/>
              </w:rPr>
              <w:t xml:space="preserve"> </w:t>
            </w:r>
            <w:r>
              <w:rPr>
                <w:rFonts w:eastAsia="黑体"/>
                <w:color w:val="auto"/>
                <w:szCs w:val="22"/>
                <w:highlight w:val="none"/>
              </w:rPr>
              <w:t>建设项目环境风险简单分析内容表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1255"/>
              <w:gridCol w:w="2075"/>
              <w:gridCol w:w="1109"/>
              <w:gridCol w:w="2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57"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建设项目名称</w:t>
                  </w:r>
                </w:p>
              </w:tc>
              <w:tc>
                <w:tcPr>
                  <w:tcW w:w="3842" w:type="pct"/>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宣汉县南坝镇城市生活污水处理厂提标改造及二期工程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7"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建设地点</w:t>
                  </w:r>
                </w:p>
              </w:tc>
              <w:tc>
                <w:tcPr>
                  <w:tcW w:w="68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四川省</w:t>
                  </w:r>
                </w:p>
              </w:tc>
              <w:tc>
                <w:tcPr>
                  <w:tcW w:w="1134"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达州市</w:t>
                  </w:r>
                </w:p>
              </w:tc>
              <w:tc>
                <w:tcPr>
                  <w:tcW w:w="2021" w:type="pct"/>
                  <w:gridSpan w:val="2"/>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四川省达州市宣汉县南坝镇龙驹坝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7"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地理坐标</w:t>
                  </w:r>
                </w:p>
              </w:tc>
              <w:tc>
                <w:tcPr>
                  <w:tcW w:w="68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经度</w:t>
                  </w:r>
                </w:p>
              </w:tc>
              <w:tc>
                <w:tcPr>
                  <w:tcW w:w="1134"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107°58′46.38″</w:t>
                  </w:r>
                </w:p>
              </w:tc>
              <w:tc>
                <w:tcPr>
                  <w:tcW w:w="606"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纬度</w:t>
                  </w:r>
                </w:p>
              </w:tc>
              <w:tc>
                <w:tcPr>
                  <w:tcW w:w="1415"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jc w:val="center"/>
                    <w:rPr>
                      <w:color w:val="auto"/>
                      <w:highlight w:val="none"/>
                    </w:rPr>
                  </w:pPr>
                  <w:r>
                    <w:rPr>
                      <w:color w:val="auto"/>
                      <w:highlight w:val="none"/>
                    </w:rPr>
                    <w:t>31°22′28.88″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7"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主要危险物质及分布</w:t>
                  </w:r>
                </w:p>
              </w:tc>
              <w:tc>
                <w:tcPr>
                  <w:tcW w:w="3842" w:type="pct"/>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本项目危险物质为化学品</w:t>
                  </w:r>
                  <w:r>
                    <w:rPr>
                      <w:rFonts w:hint="eastAsia"/>
                      <w:color w:val="auto"/>
                      <w:highlight w:val="none"/>
                      <w:lang w:val="en-US" w:eastAsia="zh-CN"/>
                    </w:rPr>
                    <w:t>及柴油</w:t>
                  </w:r>
                  <w:r>
                    <w:rPr>
                      <w:color w:val="auto"/>
                      <w:highlight w:val="none"/>
                    </w:rPr>
                    <w:t>，主要位于本项目化验室、加药间</w:t>
                  </w:r>
                  <w:r>
                    <w:rPr>
                      <w:rFonts w:hint="eastAsia"/>
                      <w:color w:val="auto"/>
                      <w:highlight w:val="none"/>
                      <w:lang w:val="en-US" w:eastAsia="zh-CN"/>
                    </w:rPr>
                    <w:t>及柴油发电机房</w:t>
                  </w:r>
                  <w:r>
                    <w:rPr>
                      <w:color w:val="auto"/>
                      <w:highlight w:val="none"/>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7"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环境影响途径及危害后果（大气、地表水、地下水等）</w:t>
                  </w:r>
                </w:p>
              </w:tc>
              <w:tc>
                <w:tcPr>
                  <w:tcW w:w="3842" w:type="pct"/>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本项目环境风险主要来自于（1）进水污染事故；（2）设备故障事故及检修；（3）尾水事故排放；（4）污水管网发生堵塞、破裂和爆炸；（5）池体破裂造成的风险；（6）</w:t>
                  </w:r>
                  <w:r>
                    <w:rPr>
                      <w:rFonts w:hint="default" w:ascii="Times New Roman" w:hAnsi="Times New Roman" w:cs="Times New Roman"/>
                      <w:color w:val="auto"/>
                      <w:highlight w:val="none"/>
                    </w:rPr>
                    <w:t>柴油、</w:t>
                  </w:r>
                  <w:r>
                    <w:rPr>
                      <w:color w:val="auto"/>
                      <w:highlight w:val="none"/>
                    </w:rPr>
                    <w:t>化学品泄漏风险；（7）生产过程风险等。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7" w:type="pct"/>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风险防范措施要求</w:t>
                  </w:r>
                </w:p>
              </w:tc>
              <w:tc>
                <w:tcPr>
                  <w:tcW w:w="3842" w:type="pct"/>
                  <w:gridSpan w:val="4"/>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风险防范措施详见环境风险评价中“6、风险防范措施”章节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pageBreakBefore w:val="0"/>
                    <w:kinsoku/>
                    <w:wordWrap/>
                    <w:topLinePunct w:val="0"/>
                    <w:bidi w:val="0"/>
                    <w:ind w:left="0" w:leftChars="0" w:right="0" w:rightChars="0"/>
                    <w:rPr>
                      <w:color w:val="auto"/>
                      <w:highlight w:val="none"/>
                    </w:rPr>
                  </w:pPr>
                  <w:r>
                    <w:rPr>
                      <w:color w:val="auto"/>
                      <w:highlight w:val="none"/>
                    </w:rPr>
                    <w:t>填表说明（列出项目相关信息及评价说明）：本项目Q&lt;1，项目环境风险潜势为I，对环境风险做简单分析。</w:t>
                  </w:r>
                </w:p>
              </w:tc>
            </w:tr>
          </w:tbl>
          <w:p>
            <w:pPr>
              <w:pStyle w:val="22"/>
              <w:pageBreakBefore w:val="0"/>
              <w:kinsoku/>
              <w:wordWrap/>
              <w:topLinePunct w:val="0"/>
              <w:bidi w:val="0"/>
              <w:spacing w:after="0" w:line="360" w:lineRule="auto"/>
              <w:ind w:left="0" w:leftChars="0" w:right="0" w:rightChars="0" w:firstLine="482" w:firstLineChars="200"/>
              <w:jc w:val="both"/>
              <w:rPr>
                <w:b/>
                <w:bCs/>
                <w:color w:val="auto"/>
                <w:kern w:val="2"/>
                <w:sz w:val="24"/>
                <w:szCs w:val="32"/>
                <w:highlight w:val="none"/>
                <w:lang w:bidi="ar"/>
              </w:rPr>
            </w:pPr>
            <w:r>
              <w:rPr>
                <w:b/>
                <w:bCs/>
                <w:color w:val="auto"/>
                <w:kern w:val="2"/>
                <w:sz w:val="24"/>
                <w:szCs w:val="32"/>
                <w:highlight w:val="none"/>
                <w:lang w:bidi="ar"/>
              </w:rPr>
              <w:t>八、项目建成前后污染物排放“三本账”情况</w:t>
            </w:r>
          </w:p>
          <w:p>
            <w:pPr>
              <w:pStyle w:val="22"/>
              <w:pageBreakBefore w:val="0"/>
              <w:kinsoku/>
              <w:wordWrap/>
              <w:topLinePunct w:val="0"/>
              <w:bidi w:val="0"/>
              <w:spacing w:after="0" w:line="360" w:lineRule="auto"/>
              <w:ind w:left="0" w:leftChars="0" w:right="0" w:rightChars="0" w:firstLine="480" w:firstLineChars="200"/>
              <w:jc w:val="both"/>
              <w:rPr>
                <w:color w:val="auto"/>
                <w:kern w:val="2"/>
                <w:sz w:val="24"/>
                <w:szCs w:val="32"/>
                <w:highlight w:val="none"/>
                <w:lang w:bidi="ar"/>
              </w:rPr>
            </w:pPr>
            <w:r>
              <w:rPr>
                <w:color w:val="auto"/>
                <w:kern w:val="2"/>
                <w:sz w:val="24"/>
                <w:szCs w:val="32"/>
                <w:highlight w:val="none"/>
                <w:lang w:bidi="ar"/>
              </w:rPr>
              <w:t>根据一期工程污染物排放统计数据和工程分析，</w:t>
            </w:r>
            <w:r>
              <w:rPr>
                <w:rFonts w:hint="eastAsia"/>
                <w:color w:val="auto"/>
                <w:kern w:val="2"/>
                <w:sz w:val="24"/>
                <w:szCs w:val="32"/>
                <w:highlight w:val="none"/>
                <w:lang w:val="en-US" w:eastAsia="zh-CN" w:bidi="ar"/>
              </w:rPr>
              <w:t>扩建</w:t>
            </w:r>
            <w:r>
              <w:rPr>
                <w:color w:val="auto"/>
                <w:kern w:val="2"/>
                <w:sz w:val="24"/>
                <w:szCs w:val="32"/>
                <w:highlight w:val="none"/>
                <w:lang w:bidi="ar"/>
              </w:rPr>
              <w:t>前后污染物产排“三本帐”如表4-2</w:t>
            </w:r>
            <w:r>
              <w:rPr>
                <w:rFonts w:hint="eastAsia"/>
                <w:color w:val="auto"/>
                <w:kern w:val="2"/>
                <w:sz w:val="24"/>
                <w:szCs w:val="32"/>
                <w:highlight w:val="none"/>
                <w:lang w:val="en-US" w:eastAsia="zh-CN" w:bidi="ar"/>
              </w:rPr>
              <w:t>9</w:t>
            </w:r>
            <w:r>
              <w:rPr>
                <w:color w:val="auto"/>
                <w:kern w:val="2"/>
                <w:sz w:val="24"/>
                <w:szCs w:val="32"/>
                <w:highlight w:val="none"/>
                <w:lang w:bidi="ar"/>
              </w:rPr>
              <w:t>所示。</w:t>
            </w:r>
          </w:p>
          <w:p>
            <w:pPr>
              <w:pStyle w:val="22"/>
              <w:pageBreakBefore w:val="0"/>
              <w:kinsoku/>
              <w:wordWrap/>
              <w:topLinePunct w:val="0"/>
              <w:bidi w:val="0"/>
              <w:spacing w:after="0" w:line="360" w:lineRule="auto"/>
              <w:ind w:left="0" w:leftChars="0" w:right="0" w:rightChars="0" w:firstLine="0"/>
              <w:jc w:val="center"/>
              <w:rPr>
                <w:rFonts w:eastAsia="黑体"/>
                <w:color w:val="auto"/>
                <w:kern w:val="2"/>
                <w:sz w:val="21"/>
                <w:szCs w:val="22"/>
                <w:highlight w:val="none"/>
              </w:rPr>
            </w:pPr>
            <w:r>
              <w:rPr>
                <w:rFonts w:eastAsia="黑体"/>
                <w:color w:val="auto"/>
                <w:kern w:val="2"/>
                <w:sz w:val="21"/>
                <w:szCs w:val="22"/>
                <w:highlight w:val="none"/>
              </w:rPr>
              <w:t>表4-2</w:t>
            </w:r>
            <w:r>
              <w:rPr>
                <w:rFonts w:hint="eastAsia" w:eastAsia="黑体"/>
                <w:color w:val="auto"/>
                <w:kern w:val="2"/>
                <w:sz w:val="21"/>
                <w:szCs w:val="22"/>
                <w:highlight w:val="none"/>
                <w:lang w:val="en-US" w:eastAsia="zh-CN"/>
              </w:rPr>
              <w:t>9</w:t>
            </w:r>
            <w:r>
              <w:rPr>
                <w:rFonts w:hint="eastAsia" w:eastAsia="黑体"/>
                <w:color w:val="auto"/>
                <w:kern w:val="2"/>
                <w:sz w:val="21"/>
                <w:szCs w:val="22"/>
                <w:highlight w:val="none"/>
              </w:rPr>
              <w:t xml:space="preserve"> </w:t>
            </w:r>
            <w:r>
              <w:rPr>
                <w:rFonts w:eastAsia="黑体"/>
                <w:color w:val="auto"/>
                <w:kern w:val="2"/>
                <w:sz w:val="21"/>
                <w:szCs w:val="22"/>
                <w:highlight w:val="none"/>
              </w:rPr>
              <w:t>污水处理厂扩建后污染物产生及排放变化一览表</w:t>
            </w:r>
            <w:r>
              <w:rPr>
                <w:rFonts w:hint="eastAsia" w:eastAsia="黑体"/>
                <w:color w:val="auto"/>
                <w:kern w:val="2"/>
                <w:sz w:val="21"/>
                <w:szCs w:val="22"/>
                <w:highlight w:val="none"/>
              </w:rPr>
              <w:t xml:space="preserve"> </w:t>
            </w:r>
            <w:r>
              <w:rPr>
                <w:rFonts w:hint="eastAsia" w:eastAsia="黑体"/>
                <w:color w:val="auto"/>
                <w:kern w:val="2"/>
                <w:sz w:val="21"/>
                <w:szCs w:val="22"/>
                <w:highlight w:val="none"/>
                <w:lang w:val="en-US" w:eastAsia="zh-CN"/>
              </w:rPr>
              <w:t xml:space="preserve"> </w:t>
            </w:r>
            <w:r>
              <w:rPr>
                <w:rFonts w:eastAsia="黑体"/>
                <w:color w:val="auto"/>
                <w:kern w:val="2"/>
                <w:sz w:val="21"/>
                <w:szCs w:val="22"/>
                <w:highlight w:val="none"/>
              </w:rPr>
              <w:t>单位：t/a</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481"/>
              <w:gridCol w:w="1230"/>
              <w:gridCol w:w="1234"/>
              <w:gridCol w:w="1545"/>
              <w:gridCol w:w="1245"/>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污染源</w:t>
                  </w:r>
                </w:p>
              </w:tc>
              <w:tc>
                <w:tcPr>
                  <w:tcW w:w="1481"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污染物</w:t>
                  </w:r>
                </w:p>
              </w:tc>
              <w:tc>
                <w:tcPr>
                  <w:tcW w:w="1230"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现有工程</w:t>
                  </w:r>
                </w:p>
              </w:tc>
              <w:tc>
                <w:tcPr>
                  <w:tcW w:w="1234"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本次扩建</w:t>
                  </w:r>
                </w:p>
              </w:tc>
              <w:tc>
                <w:tcPr>
                  <w:tcW w:w="154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“以新带老”削减量</w:t>
                  </w:r>
                </w:p>
              </w:tc>
              <w:tc>
                <w:tcPr>
                  <w:tcW w:w="1245"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扩建后全厂排放量</w:t>
                  </w:r>
                </w:p>
              </w:tc>
              <w:tc>
                <w:tcPr>
                  <w:tcW w:w="1494" w:type="dxa"/>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扩建前后全厂排放增减量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废水污染物</w:t>
                  </w: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水量（万m</w:t>
                  </w:r>
                  <w:r>
                    <w:rPr>
                      <w:color w:val="auto"/>
                      <w:highlight w:val="none"/>
                      <w:vertAlign w:val="superscript"/>
                    </w:rPr>
                    <w:t>3</w:t>
                  </w:r>
                  <w:r>
                    <w:rPr>
                      <w:color w:val="auto"/>
                      <w:highlight w:val="none"/>
                    </w:rPr>
                    <w:t>/a）</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2.0</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widowControl/>
                    <w:kinsoku/>
                    <w:wordWrap/>
                    <w:topLinePunct w:val="0"/>
                    <w:bidi w:val="0"/>
                    <w:ind w:left="0" w:leftChars="0" w:right="0" w:rightChars="0"/>
                    <w:jc w:val="center"/>
                    <w:textAlignment w:val="center"/>
                    <w:rPr>
                      <w:color w:val="auto"/>
                      <w:highlight w:val="none"/>
                    </w:rPr>
                  </w:pPr>
                  <w:r>
                    <w:rPr>
                      <w:rStyle w:val="63"/>
                      <w:color w:val="auto"/>
                      <w:highlight w:val="none"/>
                      <w:lang w:bidi="ar"/>
                    </w:rPr>
                    <w:t>COD</w:t>
                  </w:r>
                </w:p>
              </w:tc>
              <w:tc>
                <w:tcPr>
                  <w:tcW w:w="123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219.00</w:t>
                  </w:r>
                </w:p>
              </w:tc>
              <w:tc>
                <w:tcPr>
                  <w:tcW w:w="123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182.50</w:t>
                  </w:r>
                </w:p>
              </w:tc>
              <w:tc>
                <w:tcPr>
                  <w:tcW w:w="15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2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365.00</w:t>
                  </w:r>
                </w:p>
              </w:tc>
              <w:tc>
                <w:tcPr>
                  <w:tcW w:w="149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w:t>
                  </w:r>
                  <w:r>
                    <w:rPr>
                      <w:color w:val="auto"/>
                      <w:kern w:val="0"/>
                      <w:highlight w:val="none"/>
                      <w:lang w:bidi="ar"/>
                    </w:rPr>
                    <w:t>146.00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widowControl/>
                    <w:kinsoku/>
                    <w:wordWrap/>
                    <w:topLinePunct w:val="0"/>
                    <w:bidi w:val="0"/>
                    <w:ind w:left="0" w:leftChars="0" w:right="0" w:rightChars="0"/>
                    <w:jc w:val="center"/>
                    <w:textAlignment w:val="center"/>
                    <w:rPr>
                      <w:color w:val="auto"/>
                      <w:highlight w:val="none"/>
                    </w:rPr>
                  </w:pPr>
                  <w:r>
                    <w:rPr>
                      <w:rStyle w:val="63"/>
                      <w:color w:val="auto"/>
                      <w:highlight w:val="none"/>
                      <w:lang w:bidi="ar"/>
                    </w:rPr>
                    <w:t>BOD</w:t>
                  </w:r>
                  <w:r>
                    <w:rPr>
                      <w:color w:val="auto"/>
                      <w:kern w:val="0"/>
                      <w:highlight w:val="none"/>
                      <w:vertAlign w:val="subscript"/>
                      <w:lang w:bidi="ar"/>
                    </w:rPr>
                    <w:t>5</w:t>
                  </w:r>
                </w:p>
              </w:tc>
              <w:tc>
                <w:tcPr>
                  <w:tcW w:w="123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123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5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2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149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widowControl/>
                    <w:kinsoku/>
                    <w:wordWrap/>
                    <w:topLinePunct w:val="0"/>
                    <w:bidi w:val="0"/>
                    <w:ind w:left="0" w:leftChars="0" w:right="0" w:rightChars="0"/>
                    <w:jc w:val="center"/>
                    <w:textAlignment w:val="center"/>
                    <w:rPr>
                      <w:color w:val="auto"/>
                      <w:highlight w:val="none"/>
                    </w:rPr>
                  </w:pPr>
                  <w:r>
                    <w:rPr>
                      <w:rStyle w:val="63"/>
                      <w:color w:val="auto"/>
                      <w:highlight w:val="none"/>
                      <w:lang w:bidi="ar"/>
                    </w:rPr>
                    <w:t>SS</w:t>
                  </w:r>
                </w:p>
              </w:tc>
              <w:tc>
                <w:tcPr>
                  <w:tcW w:w="123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123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5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2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149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widowControl/>
                    <w:kinsoku/>
                    <w:wordWrap/>
                    <w:topLinePunct w:val="0"/>
                    <w:bidi w:val="0"/>
                    <w:ind w:left="0" w:leftChars="0" w:right="0" w:rightChars="0"/>
                    <w:jc w:val="center"/>
                    <w:textAlignment w:val="center"/>
                    <w:rPr>
                      <w:color w:val="auto"/>
                      <w:highlight w:val="none"/>
                    </w:rPr>
                  </w:pPr>
                  <w:r>
                    <w:rPr>
                      <w:rStyle w:val="63"/>
                      <w:color w:val="auto"/>
                      <w:highlight w:val="none"/>
                      <w:lang w:bidi="ar"/>
                    </w:rPr>
                    <w:t>NH</w:t>
                  </w:r>
                  <w:r>
                    <w:rPr>
                      <w:color w:val="auto"/>
                      <w:kern w:val="0"/>
                      <w:highlight w:val="none"/>
                      <w:vertAlign w:val="subscript"/>
                      <w:lang w:bidi="ar"/>
                    </w:rPr>
                    <w:t>3</w:t>
                  </w:r>
                  <w:r>
                    <w:rPr>
                      <w:rStyle w:val="63"/>
                      <w:color w:val="auto"/>
                      <w:highlight w:val="none"/>
                      <w:lang w:bidi="ar"/>
                    </w:rPr>
                    <w:t>-N</w:t>
                  </w:r>
                </w:p>
              </w:tc>
              <w:tc>
                <w:tcPr>
                  <w:tcW w:w="123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29.20</w:t>
                  </w:r>
                </w:p>
              </w:tc>
              <w:tc>
                <w:tcPr>
                  <w:tcW w:w="123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15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w:t>
                  </w:r>
                </w:p>
              </w:tc>
              <w:tc>
                <w:tcPr>
                  <w:tcW w:w="12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149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w:t>
                  </w:r>
                  <w:r>
                    <w:rPr>
                      <w:color w:val="auto"/>
                      <w:kern w:val="0"/>
                      <w:highlight w:val="none"/>
                      <w:lang w:bidi="ar"/>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widowControl/>
                    <w:kinsoku/>
                    <w:wordWrap/>
                    <w:topLinePunct w:val="0"/>
                    <w:bidi w:val="0"/>
                    <w:ind w:left="0" w:leftChars="0" w:right="0" w:rightChars="0"/>
                    <w:jc w:val="center"/>
                    <w:textAlignment w:val="center"/>
                    <w:rPr>
                      <w:color w:val="auto"/>
                      <w:highlight w:val="none"/>
                    </w:rPr>
                  </w:pPr>
                  <w:r>
                    <w:rPr>
                      <w:rStyle w:val="63"/>
                      <w:color w:val="auto"/>
                      <w:highlight w:val="none"/>
                      <w:lang w:bidi="ar"/>
                    </w:rPr>
                    <w:t>TN</w:t>
                  </w:r>
                </w:p>
              </w:tc>
              <w:tc>
                <w:tcPr>
                  <w:tcW w:w="123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123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54.75</w:t>
                  </w:r>
                </w:p>
              </w:tc>
              <w:tc>
                <w:tcPr>
                  <w:tcW w:w="15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12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109.50</w:t>
                  </w:r>
                </w:p>
              </w:tc>
              <w:tc>
                <w:tcPr>
                  <w:tcW w:w="149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w:t>
                  </w: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widowControl/>
                    <w:kinsoku/>
                    <w:wordWrap/>
                    <w:topLinePunct w:val="0"/>
                    <w:bidi w:val="0"/>
                    <w:ind w:left="0" w:leftChars="0" w:right="0" w:rightChars="0"/>
                    <w:jc w:val="center"/>
                    <w:textAlignment w:val="center"/>
                    <w:rPr>
                      <w:color w:val="auto"/>
                      <w:highlight w:val="none"/>
                    </w:rPr>
                  </w:pPr>
                  <w:r>
                    <w:rPr>
                      <w:rStyle w:val="63"/>
                      <w:color w:val="auto"/>
                      <w:highlight w:val="none"/>
                      <w:lang w:bidi="ar"/>
                    </w:rPr>
                    <w:t>TP</w:t>
                  </w:r>
                </w:p>
              </w:tc>
              <w:tc>
                <w:tcPr>
                  <w:tcW w:w="1230"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w:t>
                  </w:r>
                </w:p>
              </w:tc>
              <w:tc>
                <w:tcPr>
                  <w:tcW w:w="123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1.83</w:t>
                  </w:r>
                </w:p>
              </w:tc>
              <w:tc>
                <w:tcPr>
                  <w:tcW w:w="15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1.83</w:t>
                  </w:r>
                </w:p>
              </w:tc>
              <w:tc>
                <w:tcPr>
                  <w:tcW w:w="1245"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w:t>
                  </w:r>
                </w:p>
              </w:tc>
              <w:tc>
                <w:tcPr>
                  <w:tcW w:w="1494" w:type="dxa"/>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废气</w:t>
                  </w: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NH</w:t>
                  </w:r>
                  <w:r>
                    <w:rPr>
                      <w:color w:val="auto"/>
                      <w:highlight w:val="none"/>
                      <w:vertAlign w:val="subscript"/>
                    </w:rPr>
                    <w:t>3</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0.290</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0.687</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0.189</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0.788</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H</w:t>
                  </w:r>
                  <w:r>
                    <w:rPr>
                      <w:color w:val="auto"/>
                      <w:highlight w:val="none"/>
                      <w:vertAlign w:val="subscript"/>
                    </w:rPr>
                    <w:t>2</w:t>
                  </w:r>
                  <w:r>
                    <w:rPr>
                      <w:color w:val="auto"/>
                      <w:highlight w:val="none"/>
                    </w:rPr>
                    <w:t>S</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0.005</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0.011</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0.003</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0.014</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固废</w:t>
                  </w: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生活垃圾</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3.65</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3.65</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栅渣及沉砂</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350.4</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350.4</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700.8</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污泥</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547.5</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328.5</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876.0</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废包装材料</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化验废液</w:t>
                  </w:r>
                </w:p>
              </w:tc>
              <w:tc>
                <w:tcPr>
                  <w:tcW w:w="1230"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1.35</w:t>
                  </w:r>
                </w:p>
              </w:tc>
              <w:tc>
                <w:tcPr>
                  <w:tcW w:w="123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5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1.35</w:t>
                  </w:r>
                </w:p>
              </w:tc>
              <w:tc>
                <w:tcPr>
                  <w:tcW w:w="149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废机油</w:t>
                  </w:r>
                </w:p>
              </w:tc>
              <w:tc>
                <w:tcPr>
                  <w:tcW w:w="1230" w:type="dxa"/>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0.1</w:t>
                  </w:r>
                </w:p>
              </w:tc>
              <w:tc>
                <w:tcPr>
                  <w:tcW w:w="1234" w:type="dxa"/>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0.1</w:t>
                  </w:r>
                </w:p>
              </w:tc>
              <w:tc>
                <w:tcPr>
                  <w:tcW w:w="1545" w:type="dxa"/>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0</w:t>
                  </w:r>
                </w:p>
              </w:tc>
              <w:tc>
                <w:tcPr>
                  <w:tcW w:w="1245" w:type="dxa"/>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0.2</w:t>
                  </w:r>
                </w:p>
              </w:tc>
              <w:tc>
                <w:tcPr>
                  <w:tcW w:w="1494" w:type="dxa"/>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vMerge w:val="continue"/>
                  <w:vAlign w:val="center"/>
                </w:tcPr>
                <w:p>
                  <w:pPr>
                    <w:pageBreakBefore w:val="0"/>
                    <w:kinsoku/>
                    <w:wordWrap/>
                    <w:topLinePunct w:val="0"/>
                    <w:bidi w:val="0"/>
                    <w:ind w:left="0" w:leftChars="0" w:right="0" w:rightChars="0"/>
                    <w:jc w:val="center"/>
                    <w:rPr>
                      <w:color w:val="auto"/>
                      <w:highlight w:val="none"/>
                    </w:rPr>
                  </w:pPr>
                </w:p>
              </w:tc>
              <w:tc>
                <w:tcPr>
                  <w:tcW w:w="1481" w:type="dxa"/>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废紫外灯管</w:t>
                  </w:r>
                </w:p>
              </w:tc>
              <w:tc>
                <w:tcPr>
                  <w:tcW w:w="1230" w:type="dxa"/>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0</w:t>
                  </w:r>
                </w:p>
              </w:tc>
              <w:tc>
                <w:tcPr>
                  <w:tcW w:w="1234" w:type="dxa"/>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c>
                <w:tcPr>
                  <w:tcW w:w="1545" w:type="dxa"/>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0</w:t>
                  </w:r>
                </w:p>
              </w:tc>
              <w:tc>
                <w:tcPr>
                  <w:tcW w:w="1245" w:type="dxa"/>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c>
                <w:tcPr>
                  <w:tcW w:w="1494" w:type="dxa"/>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r>
          </w:tbl>
          <w:p>
            <w:pPr>
              <w:pStyle w:val="22"/>
              <w:pageBreakBefore w:val="0"/>
              <w:kinsoku/>
              <w:wordWrap/>
              <w:topLinePunct w:val="0"/>
              <w:bidi w:val="0"/>
              <w:spacing w:after="0" w:line="360" w:lineRule="auto"/>
              <w:ind w:left="0" w:leftChars="0" w:right="0" w:rightChars="0" w:firstLine="482" w:firstLineChars="200"/>
              <w:jc w:val="both"/>
              <w:rPr>
                <w:b/>
                <w:bCs/>
                <w:color w:val="auto"/>
                <w:kern w:val="2"/>
                <w:sz w:val="24"/>
                <w:szCs w:val="32"/>
                <w:highlight w:val="none"/>
                <w:lang w:bidi="ar"/>
              </w:rPr>
            </w:pPr>
            <w:r>
              <w:rPr>
                <w:b/>
                <w:bCs/>
                <w:color w:val="auto"/>
                <w:kern w:val="2"/>
                <w:sz w:val="24"/>
                <w:szCs w:val="32"/>
                <w:highlight w:val="none"/>
                <w:lang w:bidi="ar"/>
              </w:rPr>
              <w:t>九、环保投资估算</w:t>
            </w:r>
          </w:p>
          <w:p>
            <w:pPr>
              <w:pStyle w:val="22"/>
              <w:pageBreakBefore w:val="0"/>
              <w:kinsoku/>
              <w:wordWrap/>
              <w:topLinePunct w:val="0"/>
              <w:bidi w:val="0"/>
              <w:spacing w:after="0" w:line="360" w:lineRule="auto"/>
              <w:ind w:left="0" w:leftChars="0" w:right="0" w:rightChars="0" w:firstLine="480" w:firstLineChars="200"/>
              <w:jc w:val="both"/>
              <w:rPr>
                <w:color w:val="auto"/>
                <w:kern w:val="2"/>
                <w:sz w:val="24"/>
                <w:szCs w:val="32"/>
                <w:highlight w:val="none"/>
                <w:lang w:bidi="ar"/>
              </w:rPr>
            </w:pPr>
            <w:r>
              <w:rPr>
                <w:color w:val="auto"/>
                <w:kern w:val="2"/>
                <w:sz w:val="24"/>
                <w:szCs w:val="32"/>
                <w:highlight w:val="none"/>
                <w:lang w:bidi="ar"/>
              </w:rPr>
              <w:t>本项目为环保治理工程，建设总投资</w:t>
            </w:r>
            <w:r>
              <w:rPr>
                <w:color w:val="auto"/>
                <w:kern w:val="2"/>
                <w:sz w:val="24"/>
                <w:szCs w:val="24"/>
                <w:highlight w:val="none"/>
                <w:lang w:bidi="ar"/>
              </w:rPr>
              <w:t>7402.21</w:t>
            </w:r>
            <w:r>
              <w:rPr>
                <w:color w:val="auto"/>
                <w:kern w:val="2"/>
                <w:sz w:val="24"/>
                <w:szCs w:val="32"/>
                <w:highlight w:val="none"/>
                <w:lang w:bidi="ar"/>
              </w:rPr>
              <w:t>万元，其中用于防治二次污染的环保措施投资为20</w:t>
            </w:r>
            <w:r>
              <w:rPr>
                <w:rFonts w:hint="eastAsia"/>
                <w:color w:val="auto"/>
                <w:kern w:val="2"/>
                <w:sz w:val="24"/>
                <w:szCs w:val="32"/>
                <w:highlight w:val="none"/>
                <w:lang w:val="en-US" w:eastAsia="zh-CN" w:bidi="ar"/>
              </w:rPr>
              <w:t>2</w:t>
            </w:r>
            <w:r>
              <w:rPr>
                <w:color w:val="auto"/>
                <w:kern w:val="2"/>
                <w:sz w:val="24"/>
                <w:szCs w:val="32"/>
                <w:highlight w:val="none"/>
                <w:lang w:bidi="ar"/>
              </w:rPr>
              <w:t>.7万元，其中新增环保投资13</w:t>
            </w:r>
            <w:r>
              <w:rPr>
                <w:rFonts w:hint="eastAsia"/>
                <w:color w:val="auto"/>
                <w:kern w:val="2"/>
                <w:sz w:val="24"/>
                <w:szCs w:val="32"/>
                <w:highlight w:val="none"/>
                <w:lang w:val="en-US" w:eastAsia="zh-CN" w:bidi="ar"/>
              </w:rPr>
              <w:t>7</w:t>
            </w:r>
            <w:r>
              <w:rPr>
                <w:color w:val="auto"/>
                <w:kern w:val="2"/>
                <w:sz w:val="24"/>
                <w:szCs w:val="32"/>
                <w:highlight w:val="none"/>
                <w:lang w:bidi="ar"/>
              </w:rPr>
              <w:t>.2万元，占建设投资的1.8</w:t>
            </w:r>
            <w:r>
              <w:rPr>
                <w:rFonts w:hint="eastAsia"/>
                <w:color w:val="auto"/>
                <w:kern w:val="2"/>
                <w:sz w:val="24"/>
                <w:szCs w:val="32"/>
                <w:highlight w:val="none"/>
                <w:lang w:val="en-US" w:eastAsia="zh-CN" w:bidi="ar"/>
              </w:rPr>
              <w:t>5</w:t>
            </w:r>
            <w:r>
              <w:rPr>
                <w:color w:val="auto"/>
                <w:kern w:val="2"/>
                <w:sz w:val="24"/>
                <w:szCs w:val="32"/>
                <w:highlight w:val="none"/>
                <w:lang w:bidi="ar"/>
              </w:rPr>
              <w:t>%，基本满足环境保护及厂区美化所需，环保投资见表4</w:t>
            </w:r>
            <w:r>
              <w:rPr>
                <w:rFonts w:hint="eastAsia"/>
                <w:color w:val="auto"/>
                <w:kern w:val="2"/>
                <w:sz w:val="24"/>
                <w:szCs w:val="32"/>
                <w:highlight w:val="none"/>
                <w:lang w:val="en-US" w:eastAsia="zh-CN" w:bidi="ar"/>
              </w:rPr>
              <w:t>-30</w:t>
            </w:r>
            <w:r>
              <w:rPr>
                <w:color w:val="auto"/>
                <w:kern w:val="2"/>
                <w:sz w:val="24"/>
                <w:szCs w:val="32"/>
                <w:highlight w:val="none"/>
                <w:lang w:bidi="ar"/>
              </w:rPr>
              <w:t>。</w:t>
            </w:r>
          </w:p>
          <w:p>
            <w:pPr>
              <w:pStyle w:val="22"/>
              <w:pageBreakBefore w:val="0"/>
              <w:kinsoku/>
              <w:wordWrap/>
              <w:topLinePunct w:val="0"/>
              <w:bidi w:val="0"/>
              <w:spacing w:after="0" w:line="360" w:lineRule="auto"/>
              <w:ind w:left="0" w:leftChars="0" w:right="0" w:rightChars="0" w:firstLine="0"/>
              <w:jc w:val="center"/>
              <w:rPr>
                <w:color w:val="auto"/>
                <w:kern w:val="2"/>
                <w:sz w:val="24"/>
                <w:szCs w:val="32"/>
                <w:highlight w:val="none"/>
                <w:lang w:bidi="ar"/>
              </w:rPr>
            </w:pPr>
            <w:r>
              <w:rPr>
                <w:rFonts w:eastAsia="黑体"/>
                <w:color w:val="auto"/>
                <w:kern w:val="2"/>
                <w:sz w:val="21"/>
                <w:szCs w:val="22"/>
                <w:highlight w:val="none"/>
              </w:rPr>
              <w:t>表4-</w:t>
            </w:r>
            <w:r>
              <w:rPr>
                <w:rFonts w:hint="eastAsia" w:eastAsia="黑体"/>
                <w:color w:val="auto"/>
                <w:kern w:val="2"/>
                <w:sz w:val="21"/>
                <w:szCs w:val="22"/>
                <w:highlight w:val="none"/>
                <w:lang w:val="en-US" w:eastAsia="zh-CN"/>
              </w:rPr>
              <w:t>30</w:t>
            </w:r>
            <w:r>
              <w:rPr>
                <w:rFonts w:hint="eastAsia" w:eastAsia="黑体"/>
                <w:color w:val="auto"/>
                <w:kern w:val="2"/>
                <w:sz w:val="21"/>
                <w:szCs w:val="22"/>
                <w:highlight w:val="none"/>
              </w:rPr>
              <w:t xml:space="preserve"> </w:t>
            </w:r>
            <w:r>
              <w:rPr>
                <w:rFonts w:eastAsia="黑体"/>
                <w:color w:val="auto"/>
                <w:kern w:val="2"/>
                <w:sz w:val="21"/>
                <w:szCs w:val="22"/>
                <w:highlight w:val="none"/>
              </w:rPr>
              <w:t>项目环保投资一览表</w:t>
            </w:r>
            <w:r>
              <w:rPr>
                <w:rFonts w:hint="eastAsia" w:eastAsia="黑体"/>
                <w:color w:val="auto"/>
                <w:kern w:val="2"/>
                <w:sz w:val="21"/>
                <w:szCs w:val="22"/>
                <w:highlight w:val="none"/>
                <w:lang w:val="en-US" w:eastAsia="zh-CN"/>
              </w:rPr>
              <w:t xml:space="preserve"> </w:t>
            </w:r>
            <w:r>
              <w:rPr>
                <w:rFonts w:hint="eastAsia" w:eastAsia="黑体"/>
                <w:color w:val="auto"/>
                <w:kern w:val="2"/>
                <w:sz w:val="21"/>
                <w:szCs w:val="22"/>
                <w:highlight w:val="none"/>
              </w:rPr>
              <w:t xml:space="preserve"> </w:t>
            </w:r>
            <w:r>
              <w:rPr>
                <w:rFonts w:eastAsia="黑体"/>
                <w:color w:val="auto"/>
                <w:kern w:val="2"/>
                <w:sz w:val="21"/>
                <w:szCs w:val="22"/>
                <w:highlight w:val="none"/>
              </w:rPr>
              <w:t>单位：万元</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69"/>
              <w:gridCol w:w="1295"/>
              <w:gridCol w:w="5359"/>
              <w:gridCol w:w="61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时段</w:t>
                  </w:r>
                </w:p>
              </w:tc>
              <w:tc>
                <w:tcPr>
                  <w:tcW w:w="669" w:type="dxa"/>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项目</w:t>
                  </w:r>
                </w:p>
              </w:tc>
              <w:tc>
                <w:tcPr>
                  <w:tcW w:w="1295" w:type="dxa"/>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污染物内容</w:t>
                  </w:r>
                </w:p>
              </w:tc>
              <w:tc>
                <w:tcPr>
                  <w:tcW w:w="5359" w:type="dxa"/>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采取措施</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投资估算</w:t>
                  </w:r>
                </w:p>
              </w:tc>
              <w:tc>
                <w:tcPr>
                  <w:tcW w:w="744" w:type="dxa"/>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施工期</w:t>
                  </w:r>
                </w:p>
              </w:tc>
              <w:tc>
                <w:tcPr>
                  <w:tcW w:w="669"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废水治理</w:t>
                  </w:r>
                </w:p>
              </w:tc>
              <w:tc>
                <w:tcPr>
                  <w:tcW w:w="1295"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废水</w:t>
                  </w:r>
                </w:p>
              </w:tc>
              <w:tc>
                <w:tcPr>
                  <w:tcW w:w="5359" w:type="dxa"/>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厂内生活污水经厂内污水管道收集后汇入提升泵房，与进厂污水一并处理</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1295"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5359" w:type="dxa"/>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施工废水经沉淀后回用</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5.0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废气治理</w:t>
                  </w: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扬尘防护</w:t>
                  </w:r>
                </w:p>
              </w:tc>
              <w:tc>
                <w:tcPr>
                  <w:tcW w:w="5359" w:type="dxa"/>
                  <w:vAlign w:val="center"/>
                </w:tcPr>
                <w:p>
                  <w:pPr>
                    <w:pageBreakBefore w:val="0"/>
                    <w:kinsoku/>
                    <w:wordWrap/>
                    <w:topLinePunct w:val="0"/>
                    <w:bidi w:val="0"/>
                    <w:adjustRightInd w:val="0"/>
                    <w:snapToGrid w:val="0"/>
                    <w:ind w:left="0" w:leftChars="0" w:right="0" w:rightChars="0"/>
                    <w:jc w:val="center"/>
                    <w:rPr>
                      <w:color w:val="auto"/>
                      <w:highlight w:val="none"/>
                    </w:rPr>
                  </w:pPr>
                  <w:r>
                    <w:rPr>
                      <w:bCs/>
                      <w:color w:val="auto"/>
                      <w:highlight w:val="none"/>
                      <w:lang w:bidi="ar"/>
                    </w:rPr>
                    <w:t>洒水降尘、及时清扫路面尘土、对裸露地面覆盖防尘布或防尘网等</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10.0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噪声治理</w:t>
                  </w: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噪声</w:t>
                  </w:r>
                </w:p>
              </w:tc>
              <w:tc>
                <w:tcPr>
                  <w:tcW w:w="5359"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选用低噪声设备施工，合理安排施工计划，加强管理，封闭施工现场等，禁止夜间施工</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5.0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固体废物处置</w:t>
                  </w: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施工固废</w:t>
                  </w:r>
                </w:p>
              </w:tc>
              <w:tc>
                <w:tcPr>
                  <w:tcW w:w="5359"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建筑垃圾运至建筑垃圾处置场，生活垃圾由环卫部门统一处理，土石方运送至政府指定地点堆放</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10.0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1964" w:type="dxa"/>
                  <w:gridSpan w:val="2"/>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水土防治措施</w:t>
                  </w:r>
                </w:p>
              </w:tc>
              <w:tc>
                <w:tcPr>
                  <w:tcW w:w="5359" w:type="dxa"/>
                  <w:vAlign w:val="center"/>
                </w:tcPr>
                <w:p>
                  <w:pPr>
                    <w:pageBreakBefore w:val="0"/>
                    <w:kinsoku/>
                    <w:wordWrap/>
                    <w:topLinePunct w:val="0"/>
                    <w:bidi w:val="0"/>
                    <w:adjustRightInd w:val="0"/>
                    <w:snapToGrid w:val="0"/>
                    <w:spacing w:line="240" w:lineRule="auto"/>
                    <w:ind w:left="0" w:leftChars="0" w:right="0" w:rightChars="0"/>
                    <w:jc w:val="center"/>
                    <w:rPr>
                      <w:color w:val="auto"/>
                      <w:highlight w:val="none"/>
                    </w:rPr>
                  </w:pPr>
                  <w:r>
                    <w:rPr>
                      <w:color w:val="auto"/>
                      <w:highlight w:val="none"/>
                    </w:rPr>
                    <w:t>在施工作业带建排水沟，防止雨水冲刷场地，并在排水沟出口设沉淀池，使雨水经沉淀池沉清后回用</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4.0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运营期</w:t>
                  </w:r>
                </w:p>
              </w:tc>
              <w:tc>
                <w:tcPr>
                  <w:tcW w:w="669"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废气治理</w:t>
                  </w:r>
                </w:p>
              </w:tc>
              <w:tc>
                <w:tcPr>
                  <w:tcW w:w="1295"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恶臭</w:t>
                  </w:r>
                </w:p>
              </w:tc>
              <w:tc>
                <w:tcPr>
                  <w:tcW w:w="5359" w:type="dxa"/>
                  <w:vAlign w:val="center"/>
                </w:tcPr>
                <w:p>
                  <w:pPr>
                    <w:pageBreakBefore w:val="0"/>
                    <w:kinsoku/>
                    <w:wordWrap/>
                    <w:topLinePunct w:val="0"/>
                    <w:bidi w:val="0"/>
                    <w:spacing w:line="240" w:lineRule="auto"/>
                    <w:ind w:left="0" w:leftChars="0" w:right="0" w:rightChars="0"/>
                    <w:contextualSpacing/>
                    <w:jc w:val="center"/>
                    <w:rPr>
                      <w:color w:val="auto"/>
                      <w:highlight w:val="none"/>
                    </w:rPr>
                  </w:pPr>
                  <w:r>
                    <w:rPr>
                      <w:rFonts w:hint="eastAsia"/>
                      <w:color w:val="auto"/>
                      <w:highlight w:val="none"/>
                    </w:rPr>
                    <w:t>项目一期以恶臭单元（粗细格栅、污泥脱水间、贮泥池）边界外设置100m卫生防护距离</w:t>
                  </w:r>
                </w:p>
              </w:tc>
              <w:tc>
                <w:tcPr>
                  <w:tcW w:w="613" w:type="dxa"/>
                  <w:tcMar>
                    <w:left w:w="0" w:type="dxa"/>
                    <w:right w:w="0" w:type="dxa"/>
                  </w:tcMar>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w:t>
                  </w:r>
                </w:p>
              </w:tc>
              <w:tc>
                <w:tcPr>
                  <w:tcW w:w="744" w:type="dxa"/>
                  <w:vAlign w:val="center"/>
                </w:tcPr>
                <w:p>
                  <w:pPr>
                    <w:pageBreakBefore w:val="0"/>
                    <w:kinsoku/>
                    <w:wordWrap/>
                    <w:topLinePunct w:val="0"/>
                    <w:bidi w:val="0"/>
                    <w:adjustRightInd w:val="0"/>
                    <w:snapToGrid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5359" w:type="dxa"/>
                  <w:vAlign w:val="center"/>
                </w:tcPr>
                <w:p>
                  <w:pPr>
                    <w:pageBreakBefore w:val="0"/>
                    <w:kinsoku/>
                    <w:wordWrap/>
                    <w:topLinePunct w:val="0"/>
                    <w:bidi w:val="0"/>
                    <w:ind w:left="0" w:leftChars="0" w:right="0" w:rightChars="0"/>
                    <w:contextualSpacing/>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加强管理，及时转运污泥；设置绿化带；定期喷洒生物除臭剂；</w:t>
                  </w:r>
                  <w:r>
                    <w:rPr>
                      <w:rFonts w:hint="eastAsia"/>
                      <w:color w:val="auto"/>
                      <w:highlight w:val="none"/>
                    </w:rPr>
                    <w:t>二期以生化处理区（厌氧池、氧化沟、MBBR池）、新建的污泥处理区（贮泥池、脱泥机房）构筑物边界划定50m卫生防护距离</w:t>
                  </w:r>
                </w:p>
              </w:tc>
              <w:tc>
                <w:tcPr>
                  <w:tcW w:w="613" w:type="dxa"/>
                  <w:tcMar>
                    <w:left w:w="0" w:type="dxa"/>
                    <w:right w:w="0" w:type="dxa"/>
                  </w:tcMar>
                  <w:vAlign w:val="center"/>
                </w:tcPr>
                <w:p>
                  <w:pPr>
                    <w:pageBreakBefore w:val="0"/>
                    <w:kinsoku/>
                    <w:wordWrap/>
                    <w:topLinePunct w:val="0"/>
                    <w:bidi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10.0</w:t>
                  </w:r>
                </w:p>
              </w:tc>
              <w:tc>
                <w:tcPr>
                  <w:tcW w:w="744" w:type="dxa"/>
                  <w:vAlign w:val="center"/>
                </w:tcPr>
                <w:p>
                  <w:pPr>
                    <w:pageBreakBefore w:val="0"/>
                    <w:kinsoku/>
                    <w:wordWrap/>
                    <w:topLinePunct w:val="0"/>
                    <w:bidi w:val="0"/>
                    <w:adjustRightInd w:val="0"/>
                    <w:snapToGrid w:val="0"/>
                    <w:ind w:left="0" w:leftChars="0" w:right="0" w:rightChars="0"/>
                    <w:jc w:val="center"/>
                    <w:rPr>
                      <w:rFonts w:ascii="Times New Roman" w:hAnsi="Times New Roman" w:eastAsia="宋体" w:cs="Times New Roman"/>
                      <w:color w:val="auto"/>
                      <w:kern w:val="2"/>
                      <w:sz w:val="21"/>
                      <w:szCs w:val="21"/>
                      <w:highlight w:val="none"/>
                      <w:lang w:val="en-US" w:eastAsia="zh-CN" w:bidi="ar-SA"/>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adjustRightInd w:val="0"/>
                    <w:snapToGrid w:val="0"/>
                    <w:ind w:left="0" w:leftChars="0" w:right="0" w:rightChars="0"/>
                    <w:jc w:val="center"/>
                    <w:rPr>
                      <w:iCs/>
                      <w:snapToGrid w:val="0"/>
                      <w:color w:val="auto"/>
                      <w:kern w:val="0"/>
                      <w:highlight w:val="none"/>
                    </w:rPr>
                  </w:pPr>
                  <w:r>
                    <w:rPr>
                      <w:color w:val="auto"/>
                      <w:highlight w:val="none"/>
                    </w:rPr>
                    <w:t>柴油发电机烟气</w:t>
                  </w:r>
                </w:p>
              </w:tc>
              <w:tc>
                <w:tcPr>
                  <w:tcW w:w="5359"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采用0#柴油作为燃料，柴油发电机组经自带烟气净化装置，处理后的废气引至配电房楼顶排放</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食堂油烟</w:t>
                  </w:r>
                </w:p>
              </w:tc>
              <w:tc>
                <w:tcPr>
                  <w:tcW w:w="5359" w:type="dxa"/>
                  <w:vAlign w:val="center"/>
                </w:tcPr>
                <w:p>
                  <w:pPr>
                    <w:pageBreakBefore w:val="0"/>
                    <w:kinsoku/>
                    <w:wordWrap/>
                    <w:topLinePunct w:val="0"/>
                    <w:bidi w:val="0"/>
                    <w:ind w:left="0" w:leftChars="0" w:right="0" w:rightChars="0"/>
                    <w:contextualSpacing/>
                    <w:jc w:val="center"/>
                    <w:rPr>
                      <w:color w:val="auto"/>
                      <w:highlight w:val="none"/>
                    </w:rPr>
                  </w:pPr>
                  <w:r>
                    <w:rPr>
                      <w:color w:val="auto"/>
                      <w:highlight w:val="none"/>
                    </w:rPr>
                    <w:t>食堂油烟经油烟净化器处理后引至综合大楼楼顶排放</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废水</w:t>
                  </w: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生活污水</w:t>
                  </w:r>
                </w:p>
              </w:tc>
              <w:tc>
                <w:tcPr>
                  <w:tcW w:w="5359" w:type="dxa"/>
                  <w:vAlign w:val="center"/>
                </w:tcPr>
                <w:p>
                  <w:pPr>
                    <w:pageBreakBefore w:val="0"/>
                    <w:kinsoku/>
                    <w:wordWrap/>
                    <w:topLinePunct w:val="0"/>
                    <w:bidi w:val="0"/>
                    <w:ind w:left="0" w:leftChars="0" w:right="0" w:rightChars="0"/>
                    <w:contextualSpacing/>
                    <w:jc w:val="center"/>
                    <w:rPr>
                      <w:color w:val="auto"/>
                      <w:highlight w:val="none"/>
                    </w:rPr>
                  </w:pPr>
                  <w:r>
                    <w:rPr>
                      <w:bCs/>
                      <w:color w:val="auto"/>
                      <w:highlight w:val="none"/>
                    </w:rPr>
                    <w:t>厂内生活污水经厂内污水管道收集后汇入提升泵房，与进厂污水一并处理</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食堂废水</w:t>
                  </w:r>
                </w:p>
              </w:tc>
              <w:tc>
                <w:tcPr>
                  <w:tcW w:w="5359" w:type="dxa"/>
                  <w:vAlign w:val="center"/>
                </w:tcPr>
                <w:p>
                  <w:pPr>
                    <w:pageBreakBefore w:val="0"/>
                    <w:kinsoku/>
                    <w:wordWrap/>
                    <w:topLinePunct w:val="0"/>
                    <w:bidi w:val="0"/>
                    <w:ind w:left="0" w:leftChars="0" w:right="0" w:rightChars="0"/>
                    <w:contextualSpacing/>
                    <w:jc w:val="center"/>
                    <w:rPr>
                      <w:bCs/>
                      <w:color w:val="auto"/>
                      <w:highlight w:val="none"/>
                    </w:rPr>
                  </w:pPr>
                  <w:r>
                    <w:rPr>
                      <w:bCs/>
                      <w:color w:val="auto"/>
                      <w:highlight w:val="none"/>
                    </w:rPr>
                    <w:t>设置油水分离器隔油</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生产废水</w:t>
                  </w:r>
                </w:p>
              </w:tc>
              <w:tc>
                <w:tcPr>
                  <w:tcW w:w="5359" w:type="dxa"/>
                  <w:vAlign w:val="center"/>
                </w:tcPr>
                <w:p>
                  <w:pPr>
                    <w:pageBreakBefore w:val="0"/>
                    <w:tabs>
                      <w:tab w:val="left" w:pos="948"/>
                      <w:tab w:val="center" w:pos="1974"/>
                    </w:tabs>
                    <w:kinsoku/>
                    <w:wordWrap/>
                    <w:topLinePunct w:val="0"/>
                    <w:bidi w:val="0"/>
                    <w:ind w:left="0" w:leftChars="0" w:right="0" w:rightChars="0"/>
                    <w:contextualSpacing/>
                    <w:jc w:val="center"/>
                    <w:rPr>
                      <w:color w:val="auto"/>
                      <w:highlight w:val="none"/>
                    </w:rPr>
                  </w:pPr>
                  <w:r>
                    <w:rPr>
                      <w:bCs/>
                      <w:color w:val="auto"/>
                      <w:highlight w:val="none"/>
                    </w:rPr>
                    <w:t>化验室器皿清洗废水、设备冲洗废水、地坪冲洗废水、反冲洗废水、脱水滤液等经厂内污水管道收集后汇入提升泵房，与进厂污水一并处理</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在线监测系统</w:t>
                  </w:r>
                </w:p>
              </w:tc>
              <w:tc>
                <w:tcPr>
                  <w:tcW w:w="5359" w:type="dxa"/>
                  <w:vAlign w:val="center"/>
                </w:tcPr>
                <w:p>
                  <w:pPr>
                    <w:pageBreakBefore w:val="0"/>
                    <w:tabs>
                      <w:tab w:val="left" w:pos="948"/>
                      <w:tab w:val="center" w:pos="1974"/>
                    </w:tabs>
                    <w:kinsoku/>
                    <w:wordWrap/>
                    <w:topLinePunct w:val="0"/>
                    <w:bidi w:val="0"/>
                    <w:ind w:left="0" w:leftChars="0" w:right="0" w:rightChars="0"/>
                    <w:contextualSpacing/>
                    <w:jc w:val="center"/>
                    <w:rPr>
                      <w:color w:val="auto"/>
                      <w:highlight w:val="none"/>
                    </w:rPr>
                  </w:pPr>
                  <w:r>
                    <w:rPr>
                      <w:bCs/>
                      <w:color w:val="auto"/>
                      <w:highlight w:val="none"/>
                    </w:rPr>
                    <w:t>进水口配备pH、SS、COD、NH</w:t>
                  </w:r>
                  <w:r>
                    <w:rPr>
                      <w:bCs/>
                      <w:color w:val="auto"/>
                      <w:highlight w:val="none"/>
                      <w:vertAlign w:val="subscript"/>
                    </w:rPr>
                    <w:t>3</w:t>
                  </w:r>
                  <w:r>
                    <w:rPr>
                      <w:bCs/>
                      <w:color w:val="auto"/>
                      <w:highlight w:val="none"/>
                    </w:rPr>
                    <w:t>-N在线监测设备，出水口配备pH、SS、COD、NH</w:t>
                  </w:r>
                  <w:r>
                    <w:rPr>
                      <w:bCs/>
                      <w:color w:val="auto"/>
                      <w:highlight w:val="none"/>
                      <w:vertAlign w:val="subscript"/>
                    </w:rPr>
                    <w:t>3</w:t>
                  </w:r>
                  <w:r>
                    <w:rPr>
                      <w:bCs/>
                      <w:color w:val="auto"/>
                      <w:highlight w:val="none"/>
                    </w:rPr>
                    <w:t>-N、总氮、总磷、水温在线监测设备</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30.0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噪声治理</w:t>
                  </w:r>
                </w:p>
              </w:tc>
              <w:tc>
                <w:tcPr>
                  <w:tcW w:w="1295"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噪声</w:t>
                  </w:r>
                </w:p>
              </w:tc>
              <w:tc>
                <w:tcPr>
                  <w:tcW w:w="535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提升泵、搅拌机、潜水搅拌机、潜污泵、板框式压滤机、鼓风机、反洗水泵等通过选用低噪设备；水泵、风机等高噪声设备均设置减震措施；鼓风机房风机进出口安装消声器，整体安装隔音罩，其他各类泵房均采取低噪声设备，采取地下或半地下安置方式</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15.0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固废治理</w:t>
                  </w:r>
                </w:p>
              </w:tc>
              <w:tc>
                <w:tcPr>
                  <w:tcW w:w="129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生活垃圾</w:t>
                  </w:r>
                </w:p>
              </w:tc>
              <w:tc>
                <w:tcPr>
                  <w:tcW w:w="5359" w:type="dxa"/>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eastAsia="zh-CN"/>
                    </w:rPr>
                    <w:t>交由环卫部门统一处置</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0.5</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餐厨垃圾</w:t>
                  </w:r>
                </w:p>
              </w:tc>
              <w:tc>
                <w:tcPr>
                  <w:tcW w:w="5359" w:type="dxa"/>
                  <w:vAlign w:val="center"/>
                </w:tcPr>
                <w:p>
                  <w:pPr>
                    <w:pageBreakBefore w:val="0"/>
                    <w:kinsoku/>
                    <w:wordWrap/>
                    <w:topLinePunct w:val="0"/>
                    <w:bidi w:val="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交由有资质的单位回收</w:t>
                  </w:r>
                </w:p>
              </w:tc>
              <w:tc>
                <w:tcPr>
                  <w:tcW w:w="613" w:type="dxa"/>
                  <w:tcMar>
                    <w:left w:w="0" w:type="dxa"/>
                    <w:right w:w="0" w:type="dxa"/>
                  </w:tcMar>
                  <w:vAlign w:val="center"/>
                </w:tcPr>
                <w:p>
                  <w:pPr>
                    <w:pageBreakBefore w:val="0"/>
                    <w:kinsoku/>
                    <w:wordWrap/>
                    <w:topLinePunct w:val="0"/>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1.0</w:t>
                  </w:r>
                </w:p>
              </w:tc>
              <w:tc>
                <w:tcPr>
                  <w:tcW w:w="744" w:type="dxa"/>
                  <w:vAlign w:val="center"/>
                </w:tcPr>
                <w:p>
                  <w:pPr>
                    <w:pageBreakBefore w:val="0"/>
                    <w:kinsoku/>
                    <w:wordWrap/>
                    <w:topLinePunct w:val="0"/>
                    <w:bidi w:val="0"/>
                    <w:adjustRightInd w:val="0"/>
                    <w:snapToGrid w:val="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栅渣及沉砂</w:t>
                  </w:r>
                </w:p>
              </w:tc>
              <w:tc>
                <w:tcPr>
                  <w:tcW w:w="5359" w:type="dxa"/>
                  <w:vAlign w:val="center"/>
                </w:tcPr>
                <w:p>
                  <w:pPr>
                    <w:pageBreakBefore w:val="0"/>
                    <w:kinsoku/>
                    <w:wordWrap/>
                    <w:topLinePunct w:val="0"/>
                    <w:bidi w:val="0"/>
                    <w:ind w:left="0" w:leftChars="0" w:right="0" w:rightChars="0"/>
                    <w:jc w:val="center"/>
                    <w:rPr>
                      <w:rFonts w:hint="eastAsia" w:eastAsia="宋体"/>
                      <w:color w:val="auto"/>
                      <w:highlight w:val="none"/>
                      <w:lang w:eastAsia="zh-CN"/>
                    </w:rPr>
                  </w:pPr>
                  <w:r>
                    <w:rPr>
                      <w:rFonts w:hint="eastAsia"/>
                      <w:color w:val="auto"/>
                      <w:highlight w:val="none"/>
                      <w:lang w:eastAsia="zh-CN"/>
                    </w:rPr>
                    <w:t>交由环卫部门统一处置</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3.0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污泥</w:t>
                  </w:r>
                </w:p>
              </w:tc>
              <w:tc>
                <w:tcPr>
                  <w:tcW w:w="535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污泥根据后期其危险特性鉴别结果确定其最终处置方式</w:t>
                  </w:r>
                  <w:r>
                    <w:rPr>
                      <w:rFonts w:hint="eastAsia"/>
                      <w:color w:val="auto"/>
                      <w:highlight w:val="none"/>
                      <w:lang w:eastAsia="zh-CN"/>
                    </w:rPr>
                    <w:t>，若不属于危险废物，则污泥脱水后（含水率控制在60%以内）交由宣汉海诺尔环保发电有限公司焚烧发电；若属于危险废物，则须委托有危废处理资质单位进行处置</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30.0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废包装材料</w:t>
                  </w:r>
                </w:p>
              </w:tc>
              <w:tc>
                <w:tcPr>
                  <w:tcW w:w="535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废品收购站回收</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危险废物</w:t>
                  </w:r>
                </w:p>
              </w:tc>
              <w:tc>
                <w:tcPr>
                  <w:tcW w:w="5359"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化验废液、废机油交由南充嘉源环保科技有限责任公司</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2.0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ind w:left="0" w:leftChars="0" w:right="0" w:rightChars="0"/>
                    <w:jc w:val="center"/>
                    <w:rPr>
                      <w:color w:val="auto"/>
                      <w:highlight w:val="none"/>
                    </w:rPr>
                  </w:pPr>
                </w:p>
              </w:tc>
              <w:tc>
                <w:tcPr>
                  <w:tcW w:w="1295" w:type="dxa"/>
                  <w:vMerge w:val="continue"/>
                  <w:vAlign w:val="center"/>
                </w:tcPr>
                <w:p>
                  <w:pPr>
                    <w:pageBreakBefore w:val="0"/>
                    <w:kinsoku/>
                    <w:wordWrap/>
                    <w:topLinePunct w:val="0"/>
                    <w:bidi w:val="0"/>
                    <w:ind w:left="0" w:leftChars="0" w:right="0" w:rightChars="0"/>
                    <w:jc w:val="center"/>
                    <w:rPr>
                      <w:color w:val="auto"/>
                      <w:highlight w:val="none"/>
                    </w:rPr>
                  </w:pPr>
                </w:p>
              </w:tc>
              <w:tc>
                <w:tcPr>
                  <w:tcW w:w="5359" w:type="dxa"/>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废紫外光灯交由有资质的单位处理</w:t>
                  </w:r>
                </w:p>
              </w:tc>
              <w:tc>
                <w:tcPr>
                  <w:tcW w:w="613" w:type="dxa"/>
                  <w:tcMar>
                    <w:left w:w="0" w:type="dxa"/>
                    <w:right w:w="0" w:type="dxa"/>
                  </w:tcMar>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1.0</w:t>
                  </w:r>
                </w:p>
              </w:tc>
              <w:tc>
                <w:tcPr>
                  <w:tcW w:w="744" w:type="dxa"/>
                  <w:vAlign w:val="center"/>
                </w:tcPr>
                <w:p>
                  <w:pPr>
                    <w:pageBreakBefore w:val="0"/>
                    <w:kinsoku/>
                    <w:wordWrap/>
                    <w:topLinePunct w:val="0"/>
                    <w:bidi w:val="0"/>
                    <w:adjustRightInd w:val="0"/>
                    <w:snapToGrid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bCs/>
                      <w:color w:val="auto"/>
                      <w:highlight w:val="none"/>
                    </w:rPr>
                    <w:t>地下水治理</w:t>
                  </w:r>
                </w:p>
              </w:tc>
              <w:tc>
                <w:tcPr>
                  <w:tcW w:w="1295" w:type="dxa"/>
                  <w:vMerge w:val="restart"/>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厂区防渗</w:t>
                  </w:r>
                </w:p>
              </w:tc>
              <w:tc>
                <w:tcPr>
                  <w:tcW w:w="5359" w:type="dxa"/>
                  <w:vAlign w:val="center"/>
                </w:tcPr>
                <w:p>
                  <w:pPr>
                    <w:pageBreakBefore w:val="0"/>
                    <w:kinsoku/>
                    <w:wordWrap/>
                    <w:topLinePunct w:val="0"/>
                    <w:bidi w:val="0"/>
                    <w:ind w:left="0" w:leftChars="0" w:right="0" w:rightChars="0"/>
                    <w:rPr>
                      <w:b/>
                      <w:bCs/>
                      <w:color w:val="auto"/>
                      <w:highlight w:val="none"/>
                    </w:rPr>
                  </w:pPr>
                  <w:r>
                    <w:rPr>
                      <w:b/>
                      <w:bCs/>
                      <w:color w:val="auto"/>
                      <w:highlight w:val="none"/>
                    </w:rPr>
                    <w:t>重点防渗区：</w:t>
                  </w:r>
                  <w:r>
                    <w:rPr>
                      <w:color w:val="auto"/>
                      <w:highlight w:val="none"/>
                      <w:lang w:bidi="ar"/>
                    </w:rPr>
                    <w:t>粗格栅及提升泵房、细格栅及旋流沉砂池、厌氧池、氧化沟、一期二沉池和污泥回流泵井等已采取基础及底板垫层C15防水混凝土+P6等级的C30防水混凝土进行重点防渗；危废暂存间地面及墙裙已采取基础及底板垫层C15防水混凝土+P6等级的C30防水混凝土+2mm环氧树脂进行重点防渗</w:t>
                  </w:r>
                </w:p>
                <w:p>
                  <w:pPr>
                    <w:pageBreakBefore w:val="0"/>
                    <w:kinsoku/>
                    <w:wordWrap/>
                    <w:topLinePunct w:val="0"/>
                    <w:bidi w:val="0"/>
                    <w:ind w:left="0" w:leftChars="0" w:right="0" w:rightChars="0"/>
                    <w:rPr>
                      <w:color w:val="auto"/>
                      <w:highlight w:val="none"/>
                      <w:lang w:bidi="ar"/>
                    </w:rPr>
                  </w:pPr>
                  <w:r>
                    <w:rPr>
                      <w:b/>
                      <w:bCs/>
                      <w:color w:val="auto"/>
                      <w:highlight w:val="none"/>
                      <w:lang w:bidi="ar"/>
                    </w:rPr>
                    <w:t>一般防渗区：</w:t>
                  </w:r>
                  <w:r>
                    <w:rPr>
                      <w:color w:val="auto"/>
                      <w:highlight w:val="none"/>
                      <w:lang w:bidi="ar"/>
                    </w:rPr>
                    <w:t>配电房、综合大楼、机修及库房等采取基础及底板垫层C15防水混凝土+C30混凝土</w:t>
                  </w:r>
                </w:p>
                <w:p>
                  <w:pPr>
                    <w:pageBreakBefore w:val="0"/>
                    <w:kinsoku/>
                    <w:wordWrap/>
                    <w:topLinePunct w:val="0"/>
                    <w:bidi w:val="0"/>
                    <w:ind w:left="0" w:leftChars="0" w:right="0" w:rightChars="0"/>
                    <w:rPr>
                      <w:color w:val="auto"/>
                      <w:highlight w:val="none"/>
                    </w:rPr>
                  </w:pPr>
                  <w:r>
                    <w:rPr>
                      <w:b/>
                      <w:bCs/>
                      <w:color w:val="auto"/>
                      <w:highlight w:val="none"/>
                      <w:lang w:bidi="ar"/>
                    </w:rPr>
                    <w:t>简单防渗区：</w:t>
                  </w:r>
                  <w:r>
                    <w:rPr>
                      <w:color w:val="auto"/>
                      <w:highlight w:val="none"/>
                      <w:lang w:bidi="ar"/>
                    </w:rPr>
                    <w:t>门卫及值班室、厂区道路等采取地面硬化进行简单防渗</w:t>
                  </w:r>
                </w:p>
              </w:tc>
              <w:tc>
                <w:tcPr>
                  <w:tcW w:w="613" w:type="dxa"/>
                  <w:vMerge w:val="restart"/>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计入工程费用</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adjustRightInd w:val="0"/>
                    <w:snapToGrid w:val="0"/>
                    <w:ind w:left="0" w:leftChars="0" w:right="0" w:rightChars="0"/>
                    <w:jc w:val="center"/>
                    <w:rPr>
                      <w:bCs/>
                      <w:color w:val="auto"/>
                      <w:highlight w:val="none"/>
                    </w:rPr>
                  </w:pPr>
                </w:p>
              </w:tc>
              <w:tc>
                <w:tcPr>
                  <w:tcW w:w="1295" w:type="dxa"/>
                  <w:vMerge w:val="continue"/>
                  <w:vAlign w:val="center"/>
                </w:tcPr>
                <w:p>
                  <w:pPr>
                    <w:pageBreakBefore w:val="0"/>
                    <w:kinsoku/>
                    <w:wordWrap/>
                    <w:topLinePunct w:val="0"/>
                    <w:bidi w:val="0"/>
                    <w:adjustRightInd w:val="0"/>
                    <w:snapToGrid w:val="0"/>
                    <w:ind w:left="0" w:leftChars="0" w:right="0" w:rightChars="0"/>
                    <w:jc w:val="center"/>
                    <w:rPr>
                      <w:bCs/>
                      <w:color w:val="auto"/>
                      <w:highlight w:val="none"/>
                    </w:rPr>
                  </w:pPr>
                </w:p>
              </w:tc>
              <w:tc>
                <w:tcPr>
                  <w:tcW w:w="5359" w:type="dxa"/>
                  <w:vAlign w:val="center"/>
                </w:tcPr>
                <w:p>
                  <w:pPr>
                    <w:pageBreakBefore w:val="0"/>
                    <w:kinsoku/>
                    <w:wordWrap/>
                    <w:topLinePunct w:val="0"/>
                    <w:bidi w:val="0"/>
                    <w:ind w:left="0" w:leftChars="0" w:right="0" w:rightChars="0"/>
                    <w:rPr>
                      <w:color w:val="auto"/>
                      <w:highlight w:val="none"/>
                      <w:lang w:bidi="ar"/>
                    </w:rPr>
                  </w:pPr>
                  <w:r>
                    <w:rPr>
                      <w:b/>
                      <w:bCs/>
                      <w:color w:val="auto"/>
                      <w:highlight w:val="none"/>
                    </w:rPr>
                    <w:t>重点防渗区：</w:t>
                  </w:r>
                  <w:r>
                    <w:rPr>
                      <w:color w:val="auto"/>
                      <w:highlight w:val="none"/>
                      <w:lang w:bidi="ar"/>
                    </w:rPr>
                    <w:t>MBBR池、二沉池、污泥泵井、絮凝池、转鼓滤池、脱泥机房及加药间等采取基础及底板垫层C15防水混凝土+P6等级的C30防水混凝土；柴油发电机房地面采取基础及底板垫层C15防水混凝土+C30混凝土+2mm环氧树脂进行重点防渗</w:t>
                  </w:r>
                </w:p>
                <w:p>
                  <w:pPr>
                    <w:pageBreakBefore w:val="0"/>
                    <w:kinsoku/>
                    <w:wordWrap/>
                    <w:topLinePunct w:val="0"/>
                    <w:bidi w:val="0"/>
                    <w:ind w:left="0" w:leftChars="0" w:right="0" w:rightChars="0"/>
                    <w:rPr>
                      <w:color w:val="auto"/>
                      <w:highlight w:val="none"/>
                    </w:rPr>
                  </w:pPr>
                  <w:r>
                    <w:rPr>
                      <w:b/>
                      <w:bCs/>
                      <w:color w:val="auto"/>
                      <w:highlight w:val="none"/>
                      <w:lang w:bidi="ar"/>
                    </w:rPr>
                    <w:t>一般防渗区：</w:t>
                  </w:r>
                  <w:r>
                    <w:rPr>
                      <w:color w:val="auto"/>
                      <w:highlight w:val="none"/>
                      <w:lang w:bidi="ar"/>
                    </w:rPr>
                    <w:t>紫外线消毒渠、鼓风机房、进出水在线监测室等采取基础及底板垫层C15防水混凝土+C30混凝土</w:t>
                  </w:r>
                </w:p>
              </w:tc>
              <w:tc>
                <w:tcPr>
                  <w:tcW w:w="613" w:type="dxa"/>
                  <w:vMerge w:val="continue"/>
                  <w:tcMar>
                    <w:left w:w="0" w:type="dxa"/>
                    <w:right w:w="0" w:type="dxa"/>
                  </w:tcMar>
                  <w:vAlign w:val="center"/>
                </w:tcPr>
                <w:p>
                  <w:pPr>
                    <w:pageBreakBefore w:val="0"/>
                    <w:kinsoku/>
                    <w:wordWrap/>
                    <w:topLinePunct w:val="0"/>
                    <w:bidi w:val="0"/>
                    <w:ind w:left="0" w:leftChars="0" w:right="0" w:rightChars="0"/>
                    <w:jc w:val="center"/>
                    <w:rPr>
                      <w:color w:val="auto"/>
                      <w:highlight w:val="none"/>
                    </w:rPr>
                  </w:pPr>
                </w:p>
              </w:tc>
              <w:tc>
                <w:tcPr>
                  <w:tcW w:w="744" w:type="dxa"/>
                  <w:vMerge w:val="restart"/>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669" w:type="dxa"/>
                  <w:vMerge w:val="continue"/>
                  <w:vAlign w:val="center"/>
                </w:tcPr>
                <w:p>
                  <w:pPr>
                    <w:pageBreakBefore w:val="0"/>
                    <w:kinsoku/>
                    <w:wordWrap/>
                    <w:topLinePunct w:val="0"/>
                    <w:bidi w:val="0"/>
                    <w:adjustRightInd w:val="0"/>
                    <w:snapToGrid w:val="0"/>
                    <w:ind w:left="0" w:leftChars="0" w:right="0" w:rightChars="0"/>
                    <w:jc w:val="center"/>
                    <w:rPr>
                      <w:bCs/>
                      <w:color w:val="auto"/>
                      <w:highlight w:val="none"/>
                    </w:rPr>
                  </w:pPr>
                </w:p>
              </w:tc>
              <w:tc>
                <w:tcPr>
                  <w:tcW w:w="1295" w:type="dxa"/>
                  <w:vMerge w:val="continue"/>
                  <w:vAlign w:val="center"/>
                </w:tcPr>
                <w:p>
                  <w:pPr>
                    <w:pageBreakBefore w:val="0"/>
                    <w:kinsoku/>
                    <w:wordWrap/>
                    <w:topLinePunct w:val="0"/>
                    <w:bidi w:val="0"/>
                    <w:adjustRightInd w:val="0"/>
                    <w:snapToGrid w:val="0"/>
                    <w:ind w:left="0" w:leftChars="0" w:right="0" w:rightChars="0"/>
                    <w:jc w:val="center"/>
                    <w:rPr>
                      <w:bCs/>
                      <w:color w:val="auto"/>
                      <w:highlight w:val="none"/>
                    </w:rPr>
                  </w:pPr>
                </w:p>
              </w:tc>
              <w:tc>
                <w:tcPr>
                  <w:tcW w:w="5359" w:type="dxa"/>
                  <w:vAlign w:val="center"/>
                </w:tcPr>
                <w:p>
                  <w:pPr>
                    <w:pageBreakBefore w:val="0"/>
                    <w:kinsoku/>
                    <w:wordWrap/>
                    <w:topLinePunct w:val="0"/>
                    <w:bidi w:val="0"/>
                    <w:ind w:left="0" w:leftChars="0" w:right="0" w:rightChars="0"/>
                    <w:rPr>
                      <w:color w:val="auto"/>
                      <w:highlight w:val="none"/>
                    </w:rPr>
                  </w:pPr>
                  <w:r>
                    <w:rPr>
                      <w:b/>
                      <w:bCs/>
                      <w:color w:val="auto"/>
                      <w:highlight w:val="none"/>
                    </w:rPr>
                    <w:t>重点防渗区：</w:t>
                  </w:r>
                  <w:r>
                    <w:rPr>
                      <w:color w:val="auto"/>
                      <w:highlight w:val="none"/>
                      <w:lang w:bidi="ar"/>
                    </w:rPr>
                    <w:t>柴油发电机房地面采取基础及底板垫层C15防水混凝土+C30混凝土+2mm环氧树脂进行重点防渗</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2.0</w:t>
                  </w:r>
                </w:p>
              </w:tc>
              <w:tc>
                <w:tcPr>
                  <w:tcW w:w="744"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1964" w:type="dxa"/>
                  <w:gridSpan w:val="2"/>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环境风险</w:t>
                  </w:r>
                </w:p>
              </w:tc>
              <w:tc>
                <w:tcPr>
                  <w:tcW w:w="5359" w:type="dxa"/>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详见表4-2</w:t>
                  </w:r>
                  <w:r>
                    <w:rPr>
                      <w:rFonts w:hint="eastAsia"/>
                      <w:color w:val="auto"/>
                      <w:kern w:val="0"/>
                      <w:highlight w:val="none"/>
                      <w:lang w:val="en-US" w:eastAsia="zh-CN"/>
                    </w:rPr>
                    <w:t>7</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8.0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1964" w:type="dxa"/>
                  <w:gridSpan w:val="2"/>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绿化</w:t>
                  </w:r>
                </w:p>
              </w:tc>
              <w:tc>
                <w:tcPr>
                  <w:tcW w:w="5359" w:type="dxa"/>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沿厂界建设绿化带，种植对恶臭有吸附作用的乔木</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1964" w:type="dxa"/>
                  <w:gridSpan w:val="2"/>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环境跟踪监测计划</w:t>
                  </w:r>
                </w:p>
              </w:tc>
              <w:tc>
                <w:tcPr>
                  <w:tcW w:w="5359" w:type="dxa"/>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对污染源及环境质量按照监测计划进行定期监测</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50.0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67" w:type="dxa"/>
                  <w:vMerge w:val="continue"/>
                  <w:vAlign w:val="center"/>
                </w:tcPr>
                <w:p>
                  <w:pPr>
                    <w:pageBreakBefore w:val="0"/>
                    <w:kinsoku/>
                    <w:wordWrap/>
                    <w:topLinePunct w:val="0"/>
                    <w:bidi w:val="0"/>
                    <w:adjustRightInd w:val="0"/>
                    <w:snapToGrid w:val="0"/>
                    <w:ind w:left="0" w:leftChars="0" w:right="0" w:rightChars="0"/>
                    <w:jc w:val="center"/>
                    <w:rPr>
                      <w:color w:val="auto"/>
                      <w:highlight w:val="none"/>
                    </w:rPr>
                  </w:pPr>
                </w:p>
              </w:tc>
              <w:tc>
                <w:tcPr>
                  <w:tcW w:w="1964" w:type="dxa"/>
                  <w:gridSpan w:val="2"/>
                  <w:vAlign w:val="center"/>
                </w:tcPr>
                <w:p>
                  <w:pPr>
                    <w:pageBreakBefore w:val="0"/>
                    <w:kinsoku/>
                    <w:wordWrap/>
                    <w:topLinePunct w:val="0"/>
                    <w:bidi w:val="0"/>
                    <w:adjustRightInd w:val="0"/>
                    <w:snapToGrid w:val="0"/>
                    <w:ind w:left="0" w:leftChars="0" w:right="0" w:rightChars="0"/>
                    <w:jc w:val="center"/>
                    <w:rPr>
                      <w:bCs/>
                      <w:color w:val="auto"/>
                      <w:highlight w:val="none"/>
                    </w:rPr>
                  </w:pPr>
                  <w:r>
                    <w:rPr>
                      <w:bCs/>
                      <w:color w:val="auto"/>
                      <w:highlight w:val="none"/>
                    </w:rPr>
                    <w:t>其他</w:t>
                  </w:r>
                </w:p>
              </w:tc>
              <w:tc>
                <w:tcPr>
                  <w:tcW w:w="5359" w:type="dxa"/>
                  <w:vAlign w:val="center"/>
                </w:tcPr>
                <w:p>
                  <w:pPr>
                    <w:pageBreakBefore w:val="0"/>
                    <w:kinsoku/>
                    <w:wordWrap/>
                    <w:topLinePunct w:val="0"/>
                    <w:bidi w:val="0"/>
                    <w:ind w:left="0" w:leftChars="0" w:right="0" w:rightChars="0"/>
                    <w:jc w:val="center"/>
                    <w:rPr>
                      <w:color w:val="auto"/>
                      <w:kern w:val="0"/>
                      <w:highlight w:val="none"/>
                    </w:rPr>
                  </w:pPr>
                  <w:r>
                    <w:rPr>
                      <w:rFonts w:hint="eastAsia"/>
                      <w:color w:val="auto"/>
                      <w:kern w:val="0"/>
                      <w:highlight w:val="none"/>
                      <w:lang w:val="en-US" w:eastAsia="zh-CN"/>
                    </w:rPr>
                    <w:t>对现有2间（25m</w:t>
                  </w:r>
                  <w:r>
                    <w:rPr>
                      <w:rFonts w:hint="eastAsia"/>
                      <w:color w:val="auto"/>
                      <w:kern w:val="0"/>
                      <w:highlight w:val="none"/>
                      <w:vertAlign w:val="superscript"/>
                      <w:lang w:val="en-US" w:eastAsia="zh-CN"/>
                    </w:rPr>
                    <w:t>2</w:t>
                  </w:r>
                  <w:r>
                    <w:rPr>
                      <w:rFonts w:hint="eastAsia"/>
                      <w:color w:val="auto"/>
                      <w:kern w:val="0"/>
                      <w:highlight w:val="none"/>
                      <w:lang w:val="en-US" w:eastAsia="zh-CN"/>
                    </w:rPr>
                    <w:t>/间）</w:t>
                  </w:r>
                  <w:r>
                    <w:rPr>
                      <w:color w:val="auto"/>
                      <w:kern w:val="0"/>
                      <w:highlight w:val="none"/>
                    </w:rPr>
                    <w:t>危废暂存间</w:t>
                  </w:r>
                  <w:r>
                    <w:rPr>
                      <w:rFonts w:hint="eastAsia"/>
                      <w:color w:val="auto"/>
                      <w:kern w:val="0"/>
                      <w:highlight w:val="none"/>
                      <w:lang w:val="en-US" w:eastAsia="zh-CN"/>
                    </w:rPr>
                    <w:t>进行</w:t>
                  </w:r>
                  <w:r>
                    <w:rPr>
                      <w:color w:val="auto"/>
                      <w:kern w:val="0"/>
                      <w:highlight w:val="none"/>
                    </w:rPr>
                    <w:t>防雨改造</w:t>
                  </w:r>
                </w:p>
              </w:tc>
              <w:tc>
                <w:tcPr>
                  <w:tcW w:w="613" w:type="dxa"/>
                  <w:tcMar>
                    <w:left w:w="0" w:type="dxa"/>
                    <w:right w:w="0" w:type="dxa"/>
                  </w:tcMar>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90" w:type="dxa"/>
                  <w:gridSpan w:val="4"/>
                  <w:vAlign w:val="center"/>
                </w:tcPr>
                <w:p>
                  <w:pPr>
                    <w:pageBreakBefore w:val="0"/>
                    <w:kinsoku/>
                    <w:wordWrap/>
                    <w:topLinePunct w:val="0"/>
                    <w:bidi w:val="0"/>
                    <w:adjustRightInd w:val="0"/>
                    <w:snapToGrid w:val="0"/>
                    <w:ind w:left="0" w:leftChars="0" w:right="0" w:rightChars="0"/>
                    <w:jc w:val="center"/>
                    <w:rPr>
                      <w:b/>
                      <w:color w:val="auto"/>
                      <w:highlight w:val="none"/>
                    </w:rPr>
                  </w:pPr>
                  <w:r>
                    <w:rPr>
                      <w:b/>
                      <w:color w:val="auto"/>
                      <w:highlight w:val="none"/>
                    </w:rPr>
                    <w:t>合计</w:t>
                  </w:r>
                </w:p>
              </w:tc>
              <w:tc>
                <w:tcPr>
                  <w:tcW w:w="613" w:type="dxa"/>
                  <w:tcMar>
                    <w:left w:w="0" w:type="dxa"/>
                    <w:right w:w="0" w:type="dxa"/>
                  </w:tcMar>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20</w:t>
                  </w:r>
                  <w:r>
                    <w:rPr>
                      <w:rFonts w:hint="eastAsia"/>
                      <w:color w:val="auto"/>
                      <w:highlight w:val="none"/>
                      <w:lang w:val="en-US" w:eastAsia="zh-CN"/>
                    </w:rPr>
                    <w:t>2</w:t>
                  </w:r>
                  <w:r>
                    <w:rPr>
                      <w:color w:val="auto"/>
                      <w:highlight w:val="none"/>
                    </w:rPr>
                    <w:t>.7</w:t>
                  </w:r>
                </w:p>
              </w:tc>
              <w:tc>
                <w:tcPr>
                  <w:tcW w:w="7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w:t>
                  </w:r>
                </w:p>
              </w:tc>
            </w:tr>
          </w:tbl>
          <w:p>
            <w:pPr>
              <w:pStyle w:val="22"/>
              <w:pageBreakBefore w:val="0"/>
              <w:kinsoku/>
              <w:wordWrap/>
              <w:topLinePunct w:val="0"/>
              <w:bidi w:val="0"/>
              <w:spacing w:after="0" w:line="360" w:lineRule="auto"/>
              <w:ind w:left="0" w:leftChars="0" w:right="0" w:rightChars="0" w:firstLine="0" w:firstLineChars="0"/>
              <w:jc w:val="both"/>
              <w:rPr>
                <w:rFonts w:hint="eastAsia"/>
                <w:color w:val="auto"/>
                <w:highlight w:val="none"/>
                <w:lang w:eastAsia="zh-CN"/>
              </w:rPr>
            </w:pPr>
          </w:p>
          <w:p>
            <w:pPr>
              <w:pStyle w:val="22"/>
              <w:pageBreakBefore w:val="0"/>
              <w:kinsoku/>
              <w:wordWrap/>
              <w:topLinePunct w:val="0"/>
              <w:bidi w:val="0"/>
              <w:spacing w:after="0" w:line="360" w:lineRule="auto"/>
              <w:ind w:left="0" w:leftChars="0" w:right="0" w:rightChars="0" w:firstLine="0" w:firstLineChars="0"/>
              <w:jc w:val="both"/>
              <w:rPr>
                <w:rFonts w:hint="eastAsia"/>
                <w:color w:val="auto"/>
                <w:highlight w:val="none"/>
                <w:lang w:eastAsia="zh-CN"/>
              </w:rPr>
            </w:pPr>
          </w:p>
          <w:p>
            <w:pPr>
              <w:pStyle w:val="22"/>
              <w:pageBreakBefore w:val="0"/>
              <w:kinsoku/>
              <w:wordWrap/>
              <w:topLinePunct w:val="0"/>
              <w:bidi w:val="0"/>
              <w:spacing w:after="0" w:line="360" w:lineRule="auto"/>
              <w:ind w:left="0" w:leftChars="0" w:right="0" w:rightChars="0" w:firstLine="0" w:firstLineChars="0"/>
              <w:jc w:val="both"/>
              <w:rPr>
                <w:rFonts w:hint="eastAsia"/>
                <w:color w:val="auto"/>
                <w:highlight w:val="none"/>
                <w:lang w:eastAsia="zh-CN"/>
              </w:rPr>
            </w:pPr>
          </w:p>
          <w:p>
            <w:pPr>
              <w:pStyle w:val="22"/>
              <w:pageBreakBefore w:val="0"/>
              <w:kinsoku/>
              <w:wordWrap/>
              <w:topLinePunct w:val="0"/>
              <w:bidi w:val="0"/>
              <w:spacing w:after="0" w:line="360" w:lineRule="auto"/>
              <w:ind w:left="0" w:leftChars="0" w:right="0" w:rightChars="0" w:firstLine="0" w:firstLineChars="0"/>
              <w:jc w:val="both"/>
              <w:rPr>
                <w:rFonts w:hint="eastAsia" w:eastAsia="宋体"/>
                <w:color w:val="auto"/>
                <w:highlight w:val="none"/>
                <w:lang w:eastAsia="zh-CN"/>
              </w:rPr>
            </w:pPr>
          </w:p>
        </w:tc>
      </w:tr>
    </w:tbl>
    <w:p>
      <w:pPr>
        <w:pStyle w:val="22"/>
        <w:pageBreakBefore w:val="0"/>
        <w:kinsoku/>
        <w:wordWrap/>
        <w:topLinePunct w:val="0"/>
        <w:bidi w:val="0"/>
        <w:spacing w:after="0" w:line="360" w:lineRule="auto"/>
        <w:ind w:left="0" w:leftChars="0" w:right="0" w:rightChars="0" w:firstLine="0"/>
        <w:jc w:val="center"/>
        <w:rPr>
          <w:color w:val="auto"/>
          <w:highlight w:val="none"/>
        </w:rPr>
        <w:sectPr>
          <w:pgSz w:w="11906" w:h="16838"/>
          <w:pgMar w:top="1440" w:right="1134" w:bottom="1440" w:left="1134" w:header="851" w:footer="992" w:gutter="0"/>
          <w:cols w:space="0" w:num="1"/>
          <w:docGrid w:type="lines" w:linePitch="312" w:charSpace="0"/>
        </w:sectPr>
      </w:pPr>
    </w:p>
    <w:p>
      <w:pPr>
        <w:pStyle w:val="34"/>
        <w:pageBreakBefore w:val="0"/>
        <w:kinsoku/>
        <w:wordWrap/>
        <w:topLinePunct w:val="0"/>
        <w:bidi w:val="0"/>
        <w:ind w:left="0" w:leftChars="0" w:right="0" w:rightChars="0"/>
        <w:jc w:val="center"/>
        <w:rPr>
          <w:rFonts w:eastAsia="黑体"/>
          <w:b w:val="0"/>
          <w:color w:val="auto"/>
          <w:sz w:val="30"/>
          <w:szCs w:val="30"/>
          <w:highlight w:val="none"/>
        </w:rPr>
      </w:pPr>
      <w:r>
        <w:rPr>
          <w:rFonts w:eastAsia="黑体"/>
          <w:b w:val="0"/>
          <w:color w:val="auto"/>
          <w:sz w:val="30"/>
          <w:szCs w:val="30"/>
          <w:highlight w:val="none"/>
        </w:rPr>
        <w:t>五、</w:t>
      </w:r>
      <w:bookmarkStart w:id="11" w:name="_Hlk54167917"/>
      <w:r>
        <w:rPr>
          <w:rFonts w:eastAsia="黑体"/>
          <w:b w:val="0"/>
          <w:color w:val="auto"/>
          <w:sz w:val="30"/>
          <w:szCs w:val="30"/>
          <w:highlight w:val="none"/>
        </w:rPr>
        <w:t>环境保护措施监督检查清单</w:t>
      </w:r>
      <w:bookmarkEnd w:id="11"/>
    </w:p>
    <w:tbl>
      <w:tblPr>
        <w:tblStyle w:val="23"/>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85"/>
        <w:gridCol w:w="1444"/>
        <w:gridCol w:w="3638"/>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l2br w:val="single" w:color="auto" w:sz="4" w:space="0"/>
            </w:tcBorders>
            <w:vAlign w:val="center"/>
          </w:tcPr>
          <w:p>
            <w:pPr>
              <w:pageBreakBefore w:val="0"/>
              <w:kinsoku/>
              <w:wordWrap/>
              <w:topLinePunct w:val="0"/>
              <w:bidi w:val="0"/>
              <w:ind w:left="0" w:leftChars="0" w:right="0" w:rightChars="0"/>
              <w:jc w:val="right"/>
              <w:rPr>
                <w:color w:val="auto"/>
                <w:highlight w:val="none"/>
              </w:rPr>
            </w:pPr>
            <w:r>
              <w:rPr>
                <w:color w:val="auto"/>
                <w:highlight w:val="none"/>
              </w:rPr>
              <w:t>内容</w:t>
            </w:r>
          </w:p>
          <w:p>
            <w:pPr>
              <w:pageBreakBefore w:val="0"/>
              <w:kinsoku/>
              <w:wordWrap/>
              <w:topLinePunct w:val="0"/>
              <w:bidi w:val="0"/>
              <w:ind w:left="0" w:leftChars="0" w:right="0" w:rightChars="0"/>
              <w:jc w:val="left"/>
              <w:rPr>
                <w:color w:val="auto"/>
                <w:highlight w:val="none"/>
              </w:rPr>
            </w:pPr>
            <w:r>
              <w:rPr>
                <w:color w:val="auto"/>
                <w:highlight w:val="none"/>
              </w:rPr>
              <w:t>要素</w:t>
            </w:r>
          </w:p>
        </w:tc>
        <w:tc>
          <w:tcPr>
            <w:tcW w:w="148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排放口（编号、名称）/污染源</w:t>
            </w:r>
          </w:p>
        </w:tc>
        <w:tc>
          <w:tcPr>
            <w:tcW w:w="144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污染物项目</w:t>
            </w:r>
          </w:p>
        </w:tc>
        <w:tc>
          <w:tcPr>
            <w:tcW w:w="363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环境保护措施</w:t>
            </w:r>
          </w:p>
        </w:tc>
        <w:tc>
          <w:tcPr>
            <w:tcW w:w="21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大气环境</w:t>
            </w:r>
          </w:p>
        </w:tc>
        <w:tc>
          <w:tcPr>
            <w:tcW w:w="148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厂界</w:t>
            </w:r>
          </w:p>
        </w:tc>
        <w:tc>
          <w:tcPr>
            <w:tcW w:w="1444" w:type="dxa"/>
            <w:vAlign w:val="center"/>
          </w:tcPr>
          <w:p>
            <w:pPr>
              <w:pageBreakBefore w:val="0"/>
              <w:kinsoku/>
              <w:wordWrap/>
              <w:topLinePunct w:val="0"/>
              <w:bidi w:val="0"/>
              <w:ind w:left="0" w:leftChars="0" w:right="0" w:rightChars="0"/>
              <w:jc w:val="center"/>
              <w:rPr>
                <w:color w:val="auto"/>
                <w:highlight w:val="none"/>
              </w:rPr>
            </w:pPr>
            <w:r>
              <w:rPr>
                <w:bCs/>
                <w:color w:val="auto"/>
                <w:highlight w:val="none"/>
              </w:rPr>
              <w:t>NH</w:t>
            </w:r>
            <w:r>
              <w:rPr>
                <w:bCs/>
                <w:color w:val="auto"/>
                <w:highlight w:val="none"/>
                <w:vertAlign w:val="subscript"/>
              </w:rPr>
              <w:t>3</w:t>
            </w:r>
            <w:r>
              <w:rPr>
                <w:bCs/>
                <w:color w:val="auto"/>
                <w:highlight w:val="none"/>
              </w:rPr>
              <w:t>、H</w:t>
            </w:r>
            <w:r>
              <w:rPr>
                <w:bCs/>
                <w:color w:val="auto"/>
                <w:highlight w:val="none"/>
                <w:vertAlign w:val="subscript"/>
              </w:rPr>
              <w:t>2</w:t>
            </w:r>
            <w:r>
              <w:rPr>
                <w:bCs/>
                <w:color w:val="auto"/>
                <w:highlight w:val="none"/>
              </w:rPr>
              <w:t>S、臭气浓度</w:t>
            </w:r>
          </w:p>
        </w:tc>
        <w:tc>
          <w:tcPr>
            <w:tcW w:w="3638" w:type="dxa"/>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rPr>
              <w:t>加强管理，控制污泥发酵；及时对脱水泥饼进行转运；设置绿化带；定期喷洒生物除臭剂；项目一期以恶臭单元（粗细格栅、污泥脱水间、贮泥池）边界外设置100m卫生防护距离，二期以生化处理区（厌氧池、氧化沟、MBBR池）、新建的污泥处理区（贮泥池、脱泥机房）构筑物边界划定50m卫生防护距离等措施对恶臭气体进行控制、处理</w:t>
            </w:r>
          </w:p>
        </w:tc>
        <w:tc>
          <w:tcPr>
            <w:tcW w:w="21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《城镇污水处理厂污染物排放标准》（GB18918-2002）表4厂界（防护带边缘）废气排放最高允许浓度中二级标准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vAlign w:val="center"/>
          </w:tcPr>
          <w:p>
            <w:pPr>
              <w:pageBreakBefore w:val="0"/>
              <w:kinsoku/>
              <w:wordWrap/>
              <w:topLinePunct w:val="0"/>
              <w:bidi w:val="0"/>
              <w:ind w:left="0" w:leftChars="0" w:right="0" w:rightChars="0"/>
              <w:jc w:val="center"/>
              <w:rPr>
                <w:color w:val="auto"/>
                <w:highlight w:val="none"/>
              </w:rPr>
            </w:pPr>
          </w:p>
        </w:tc>
        <w:tc>
          <w:tcPr>
            <w:tcW w:w="1485" w:type="dxa"/>
            <w:vAlign w:val="center"/>
          </w:tcPr>
          <w:p>
            <w:pPr>
              <w:pageBreakBefore w:val="0"/>
              <w:kinsoku/>
              <w:wordWrap/>
              <w:topLinePunct w:val="0"/>
              <w:bidi w:val="0"/>
              <w:adjustRightInd w:val="0"/>
              <w:snapToGrid w:val="0"/>
              <w:ind w:left="0" w:leftChars="0" w:right="0" w:rightChars="0"/>
              <w:jc w:val="center"/>
              <w:rPr>
                <w:iCs/>
                <w:snapToGrid w:val="0"/>
                <w:color w:val="auto"/>
                <w:kern w:val="0"/>
                <w:highlight w:val="none"/>
              </w:rPr>
            </w:pPr>
            <w:r>
              <w:rPr>
                <w:color w:val="auto"/>
                <w:highlight w:val="none"/>
              </w:rPr>
              <w:t>柴油发电机烟气</w:t>
            </w:r>
          </w:p>
        </w:tc>
        <w:tc>
          <w:tcPr>
            <w:tcW w:w="14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NO</w:t>
            </w:r>
            <w:r>
              <w:rPr>
                <w:color w:val="auto"/>
                <w:highlight w:val="none"/>
                <w:vertAlign w:val="subscript"/>
              </w:rPr>
              <w:t>X</w:t>
            </w:r>
            <w:r>
              <w:rPr>
                <w:color w:val="auto"/>
                <w:highlight w:val="none"/>
              </w:rPr>
              <w:t>和CO</w:t>
            </w:r>
          </w:p>
        </w:tc>
        <w:tc>
          <w:tcPr>
            <w:tcW w:w="3638"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采用0#柴油作为燃料，柴油发电机组经自带烟气净化装置，处理后的废气引至配电房楼顶排放</w:t>
            </w:r>
          </w:p>
        </w:tc>
        <w:tc>
          <w:tcPr>
            <w:tcW w:w="21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vAlign w:val="center"/>
          </w:tcPr>
          <w:p>
            <w:pPr>
              <w:pageBreakBefore w:val="0"/>
              <w:kinsoku/>
              <w:wordWrap/>
              <w:topLinePunct w:val="0"/>
              <w:bidi w:val="0"/>
              <w:ind w:left="0" w:leftChars="0" w:right="0" w:rightChars="0"/>
              <w:jc w:val="center"/>
              <w:rPr>
                <w:color w:val="auto"/>
                <w:highlight w:val="none"/>
              </w:rPr>
            </w:pPr>
          </w:p>
        </w:tc>
        <w:tc>
          <w:tcPr>
            <w:tcW w:w="1485" w:type="dxa"/>
            <w:vAlign w:val="center"/>
          </w:tcPr>
          <w:p>
            <w:pPr>
              <w:pageBreakBefore w:val="0"/>
              <w:kinsoku/>
              <w:wordWrap/>
              <w:topLinePunct w:val="0"/>
              <w:bidi w:val="0"/>
              <w:adjustRightInd w:val="0"/>
              <w:snapToGrid w:val="0"/>
              <w:ind w:left="0" w:leftChars="0" w:right="0" w:rightChars="0"/>
              <w:jc w:val="center"/>
              <w:rPr>
                <w:iCs/>
                <w:snapToGrid w:val="0"/>
                <w:color w:val="auto"/>
                <w:kern w:val="0"/>
                <w:highlight w:val="none"/>
              </w:rPr>
            </w:pPr>
            <w:r>
              <w:rPr>
                <w:iCs/>
                <w:snapToGrid w:val="0"/>
                <w:color w:val="auto"/>
                <w:kern w:val="0"/>
                <w:highlight w:val="none"/>
              </w:rPr>
              <w:t>食堂油烟</w:t>
            </w:r>
          </w:p>
        </w:tc>
        <w:tc>
          <w:tcPr>
            <w:tcW w:w="14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油烟</w:t>
            </w:r>
          </w:p>
        </w:tc>
        <w:tc>
          <w:tcPr>
            <w:tcW w:w="3638" w:type="dxa"/>
            <w:vAlign w:val="center"/>
          </w:tcPr>
          <w:p>
            <w:pPr>
              <w:pageBreakBefore w:val="0"/>
              <w:kinsoku/>
              <w:wordWrap/>
              <w:topLinePunct w:val="0"/>
              <w:bidi w:val="0"/>
              <w:ind w:left="0" w:leftChars="0" w:right="0" w:rightChars="0"/>
              <w:contextualSpacing/>
              <w:jc w:val="center"/>
              <w:rPr>
                <w:color w:val="auto"/>
                <w:highlight w:val="none"/>
              </w:rPr>
            </w:pPr>
            <w:r>
              <w:rPr>
                <w:color w:val="auto"/>
                <w:highlight w:val="none"/>
              </w:rPr>
              <w:t>食堂油烟经油烟净化器处理后引至综合大楼楼顶排放</w:t>
            </w:r>
          </w:p>
        </w:tc>
        <w:tc>
          <w:tcPr>
            <w:tcW w:w="21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地表水环境</w:t>
            </w:r>
          </w:p>
        </w:tc>
        <w:tc>
          <w:tcPr>
            <w:tcW w:w="148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废水总排放口</w:t>
            </w:r>
          </w:p>
        </w:tc>
        <w:tc>
          <w:tcPr>
            <w:tcW w:w="14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kern w:val="24"/>
                <w:highlight w:val="none"/>
              </w:rPr>
              <w:t>COD、BOD</w:t>
            </w:r>
            <w:r>
              <w:rPr>
                <w:color w:val="auto"/>
                <w:kern w:val="24"/>
                <w:highlight w:val="none"/>
                <w:vertAlign w:val="subscript"/>
              </w:rPr>
              <w:t>5</w:t>
            </w:r>
            <w:r>
              <w:rPr>
                <w:color w:val="auto"/>
                <w:kern w:val="24"/>
                <w:highlight w:val="none"/>
              </w:rPr>
              <w:t>、SS、NH</w:t>
            </w:r>
            <w:r>
              <w:rPr>
                <w:color w:val="auto"/>
                <w:kern w:val="24"/>
                <w:highlight w:val="none"/>
                <w:vertAlign w:val="subscript"/>
              </w:rPr>
              <w:t>3</w:t>
            </w:r>
            <w:r>
              <w:rPr>
                <w:color w:val="auto"/>
                <w:kern w:val="24"/>
                <w:highlight w:val="none"/>
              </w:rPr>
              <w:t>-N、TP、TN等</w:t>
            </w:r>
          </w:p>
        </w:tc>
        <w:tc>
          <w:tcPr>
            <w:tcW w:w="363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一期工程污水处理工艺采用：粗格栅及提升泵房+细格栅及旋流沉砂池+厌氧池+氧化沟+二沉池+絮凝池+转鼓滤池+紫外线消毒渠；二期工程污水处理工艺采用：粗格栅及提升泵房+细格栅及旋流沉砂池+MBBR+二沉池+絮凝池+转鼓滤池+紫外线消毒渠</w:t>
            </w:r>
          </w:p>
        </w:tc>
        <w:tc>
          <w:tcPr>
            <w:tcW w:w="21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声环境</w:t>
            </w:r>
          </w:p>
        </w:tc>
        <w:tc>
          <w:tcPr>
            <w:tcW w:w="148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车辆噪声</w:t>
            </w:r>
          </w:p>
        </w:tc>
        <w:tc>
          <w:tcPr>
            <w:tcW w:w="144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噪声</w:t>
            </w:r>
          </w:p>
        </w:tc>
        <w:tc>
          <w:tcPr>
            <w:tcW w:w="363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禁止超速、超载，减速慢行，禁鸣</w:t>
            </w:r>
          </w:p>
        </w:tc>
        <w:tc>
          <w:tcPr>
            <w:tcW w:w="2122" w:type="dxa"/>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vAlign w:val="center"/>
          </w:tcPr>
          <w:p>
            <w:pPr>
              <w:pageBreakBefore w:val="0"/>
              <w:kinsoku/>
              <w:wordWrap/>
              <w:topLinePunct w:val="0"/>
              <w:bidi w:val="0"/>
              <w:ind w:left="0" w:leftChars="0" w:right="0" w:rightChars="0"/>
              <w:jc w:val="center"/>
              <w:rPr>
                <w:color w:val="auto"/>
                <w:highlight w:val="none"/>
              </w:rPr>
            </w:pPr>
          </w:p>
        </w:tc>
        <w:tc>
          <w:tcPr>
            <w:tcW w:w="148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设备噪声</w:t>
            </w:r>
          </w:p>
        </w:tc>
        <w:tc>
          <w:tcPr>
            <w:tcW w:w="1444"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厂界</w:t>
            </w:r>
          </w:p>
        </w:tc>
        <w:tc>
          <w:tcPr>
            <w:tcW w:w="3638" w:type="dxa"/>
            <w:vAlign w:val="center"/>
          </w:tcPr>
          <w:p>
            <w:pPr>
              <w:pageBreakBefore w:val="0"/>
              <w:kinsoku/>
              <w:wordWrap/>
              <w:topLinePunct w:val="0"/>
              <w:bidi w:val="0"/>
              <w:adjustRightInd w:val="0"/>
              <w:snapToGrid w:val="0"/>
              <w:ind w:left="0" w:leftChars="0" w:right="0" w:rightChars="0"/>
              <w:jc w:val="center"/>
              <w:rPr>
                <w:color w:val="auto"/>
                <w:highlight w:val="none"/>
              </w:rPr>
            </w:pPr>
            <w:r>
              <w:rPr>
                <w:color w:val="auto"/>
                <w:highlight w:val="none"/>
              </w:rPr>
              <w:t>提升泵、搅拌机、潜水搅拌机、潜污泵、板框式压滤机、鼓风机、反洗水泵等通过选用低噪设备；水泵、风机等高噪声设备均设置减震措施；鼓风机房风机进出口安装消声器，整体安装隔音罩，其他各类泵房均采取低噪声设备，采取地下或半地下安置方式</w:t>
            </w:r>
          </w:p>
        </w:tc>
        <w:tc>
          <w:tcPr>
            <w:tcW w:w="2122" w:type="dxa"/>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电磁辐射</w:t>
            </w:r>
          </w:p>
        </w:tc>
        <w:tc>
          <w:tcPr>
            <w:tcW w:w="1485" w:type="dxa"/>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1444" w:type="dxa"/>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3638" w:type="dxa"/>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c>
          <w:tcPr>
            <w:tcW w:w="212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固体废物</w:t>
            </w:r>
          </w:p>
        </w:tc>
        <w:tc>
          <w:tcPr>
            <w:tcW w:w="8689" w:type="dxa"/>
            <w:gridSpan w:val="4"/>
            <w:vAlign w:val="center"/>
          </w:tcPr>
          <w:p>
            <w:pPr>
              <w:pageBreakBefore w:val="0"/>
              <w:kinsoku/>
              <w:wordWrap/>
              <w:topLinePunct w:val="0"/>
              <w:bidi w:val="0"/>
              <w:ind w:left="0" w:leftChars="0" w:right="0" w:rightChars="0"/>
              <w:jc w:val="left"/>
              <w:rPr>
                <w:color w:val="auto"/>
                <w:highlight w:val="none"/>
              </w:rPr>
            </w:pPr>
            <w:r>
              <w:rPr>
                <w:color w:val="auto"/>
                <w:kern w:val="0"/>
                <w:highlight w:val="none"/>
                <w:lang w:bidi="ar"/>
              </w:rPr>
              <w:t>生活垃圾、栅渣及沉砂</w:t>
            </w:r>
            <w:r>
              <w:rPr>
                <w:rFonts w:hint="eastAsia"/>
                <w:color w:val="auto"/>
                <w:highlight w:val="none"/>
                <w:lang w:eastAsia="zh-CN"/>
              </w:rPr>
              <w:t>交由环卫部门统一处置；</w:t>
            </w:r>
            <w:r>
              <w:rPr>
                <w:color w:val="auto"/>
                <w:kern w:val="0"/>
                <w:highlight w:val="none"/>
                <w:lang w:bidi="ar"/>
              </w:rPr>
              <w:t>餐厨垃圾</w:t>
            </w:r>
            <w:r>
              <w:rPr>
                <w:rFonts w:hint="eastAsia"/>
                <w:color w:val="auto"/>
                <w:highlight w:val="none"/>
                <w:lang w:eastAsia="zh-CN"/>
              </w:rPr>
              <w:t>交由</w:t>
            </w:r>
            <w:r>
              <w:rPr>
                <w:rFonts w:hint="eastAsia"/>
                <w:color w:val="auto"/>
                <w:highlight w:val="none"/>
                <w:lang w:val="en-US" w:eastAsia="zh-CN"/>
              </w:rPr>
              <w:t>有资质的单位处理</w:t>
            </w:r>
            <w:r>
              <w:rPr>
                <w:rFonts w:hint="eastAsia"/>
                <w:color w:val="auto"/>
                <w:highlight w:val="none"/>
                <w:lang w:eastAsia="zh-CN"/>
              </w:rPr>
              <w:t>；</w:t>
            </w:r>
            <w:r>
              <w:rPr>
                <w:color w:val="auto"/>
                <w:kern w:val="0"/>
                <w:highlight w:val="none"/>
                <w:lang w:bidi="ar"/>
              </w:rPr>
              <w:t>污泥根据后期其危险特性鉴别结果确定其最终处置方式</w:t>
            </w:r>
            <w:r>
              <w:rPr>
                <w:rFonts w:hint="eastAsia"/>
                <w:color w:val="auto"/>
                <w:kern w:val="0"/>
                <w:highlight w:val="none"/>
                <w:lang w:eastAsia="zh-CN" w:bidi="ar"/>
              </w:rPr>
              <w:t>，</w:t>
            </w:r>
            <w:r>
              <w:rPr>
                <w:rFonts w:hint="eastAsia"/>
                <w:color w:val="auto"/>
                <w:highlight w:val="none"/>
                <w:lang w:eastAsia="zh-CN"/>
              </w:rPr>
              <w:t>若不属于危险废物，则污泥脱水后（含水率控制在60%以内）交由宣汉海诺尔环保发电有限公司焚烧发电；若属于危险废物，则须委托有危废处理资质单位进行处置</w:t>
            </w:r>
            <w:r>
              <w:rPr>
                <w:rFonts w:hint="eastAsia"/>
                <w:color w:val="auto"/>
                <w:kern w:val="0"/>
                <w:highlight w:val="none"/>
                <w:lang w:eastAsia="zh-CN" w:bidi="ar"/>
              </w:rPr>
              <w:t>；</w:t>
            </w:r>
            <w:r>
              <w:rPr>
                <w:color w:val="auto"/>
                <w:kern w:val="0"/>
                <w:highlight w:val="none"/>
                <w:lang w:bidi="ar"/>
              </w:rPr>
              <w:t>废包装材料收集后由废品收购站回收；</w:t>
            </w:r>
            <w:r>
              <w:rPr>
                <w:color w:val="auto"/>
                <w:highlight w:val="none"/>
              </w:rPr>
              <w:t>危险废物（</w:t>
            </w:r>
            <w:r>
              <w:rPr>
                <w:color w:val="auto"/>
                <w:kern w:val="0"/>
                <w:highlight w:val="none"/>
                <w:lang w:bidi="ar"/>
              </w:rPr>
              <w:t>化验废液、废机油</w:t>
            </w:r>
            <w:r>
              <w:rPr>
                <w:rFonts w:hint="eastAsia"/>
                <w:color w:val="auto"/>
                <w:kern w:val="0"/>
                <w:highlight w:val="none"/>
                <w:lang w:eastAsia="zh-CN" w:bidi="ar"/>
              </w:rPr>
              <w:t>、</w:t>
            </w:r>
            <w:r>
              <w:rPr>
                <w:rFonts w:hint="eastAsia"/>
                <w:color w:val="auto"/>
                <w:highlight w:val="none"/>
                <w:lang w:val="en-US" w:eastAsia="zh-CN"/>
              </w:rPr>
              <w:t>废紫外灯管</w:t>
            </w:r>
            <w:r>
              <w:rPr>
                <w:color w:val="auto"/>
                <w:highlight w:val="none"/>
              </w:rPr>
              <w:t>）经分类收集、暂存，</w:t>
            </w:r>
            <w:r>
              <w:rPr>
                <w:color w:val="auto"/>
                <w:kern w:val="0"/>
                <w:highlight w:val="none"/>
                <w:lang w:bidi="ar"/>
              </w:rPr>
              <w:t>化验废液、废机油</w:t>
            </w:r>
            <w:r>
              <w:rPr>
                <w:color w:val="auto"/>
                <w:highlight w:val="none"/>
              </w:rPr>
              <w:t>交由南充嘉源环保科技有限责任公司处置</w:t>
            </w:r>
            <w:r>
              <w:rPr>
                <w:rFonts w:hint="eastAsia"/>
                <w:color w:val="auto"/>
                <w:highlight w:val="none"/>
                <w:lang w:eastAsia="zh-CN"/>
              </w:rPr>
              <w:t>，</w:t>
            </w:r>
            <w:r>
              <w:rPr>
                <w:rFonts w:hint="eastAsia"/>
                <w:color w:val="auto"/>
                <w:highlight w:val="none"/>
                <w:lang w:val="en-US" w:eastAsia="zh-CN"/>
              </w:rPr>
              <w:t>废紫外灯管交由有资质的单位处理</w:t>
            </w:r>
            <w:r>
              <w:rPr>
                <w:color w:val="auto"/>
                <w:highlight w:val="none"/>
              </w:rPr>
              <w:t>。</w:t>
            </w:r>
          </w:p>
          <w:p>
            <w:pPr>
              <w:pageBreakBefore w:val="0"/>
              <w:kinsoku/>
              <w:wordWrap/>
              <w:topLinePunct w:val="0"/>
              <w:bidi w:val="0"/>
              <w:ind w:left="0" w:leftChars="0" w:right="0" w:rightChars="0"/>
              <w:jc w:val="left"/>
              <w:rPr>
                <w:color w:val="auto"/>
                <w:highlight w:val="none"/>
              </w:rPr>
            </w:pPr>
            <w:r>
              <w:rPr>
                <w:color w:val="auto"/>
                <w:highlight w:val="none"/>
              </w:rPr>
              <w:t>本环评要求危废暂存间必须做好重点防渗，同时企业建立危险废物贮存台账，并如实记录危险废物贮存情况，并按规范设置危险废物识别标志。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土壤及地下水污染防治措施</w:t>
            </w:r>
          </w:p>
        </w:tc>
        <w:tc>
          <w:tcPr>
            <w:tcW w:w="8689" w:type="dxa"/>
            <w:gridSpan w:val="4"/>
            <w:vAlign w:val="center"/>
          </w:tcPr>
          <w:p>
            <w:pPr>
              <w:pageBreakBefore w:val="0"/>
              <w:kinsoku/>
              <w:wordWrap/>
              <w:topLinePunct w:val="0"/>
              <w:bidi w:val="0"/>
              <w:ind w:left="0" w:leftChars="0" w:right="0" w:rightChars="0"/>
              <w:rPr>
                <w:color w:val="auto"/>
                <w:highlight w:val="none"/>
                <w:lang w:bidi="ar"/>
              </w:rPr>
            </w:pPr>
            <w:r>
              <w:rPr>
                <w:b/>
                <w:bCs/>
                <w:color w:val="auto"/>
                <w:highlight w:val="none"/>
              </w:rPr>
              <w:t>重点防渗区：</w:t>
            </w:r>
            <w:r>
              <w:rPr>
                <w:color w:val="auto"/>
                <w:highlight w:val="none"/>
              </w:rPr>
              <w:t>项目</w:t>
            </w:r>
            <w:r>
              <w:rPr>
                <w:color w:val="auto"/>
                <w:highlight w:val="none"/>
                <w:lang w:bidi="ar"/>
              </w:rPr>
              <w:t>粗格栅及提升泵房、细格栅及旋流沉砂池、厌氧池、氧化沟、一期二沉池和污泥回流泵井等已采取基础及底板垫层C15防水混凝土+P6等级的C30防水混凝土进行重点防渗；危废暂存间地面及墙裙已采取基础及底板垫层C15防水混凝土+P6等级的C30防水混凝土+2mm环氧树脂进行重点防渗；本次新建的MBBR池、二沉池、污泥泵井、絮凝池、转鼓滤池、脱泥机房及加药间等采取基础及底板垫层C15防水混凝土+P6等级的C30防水混凝土；柴油发电机房地面采取基础及底板垫层C15防水混凝土+C30混凝土+2mm环氧树脂进行重点防渗；确保各单元防渗层能满足Mb≥6.0m、K≤1×10</w:t>
            </w:r>
            <w:r>
              <w:rPr>
                <w:color w:val="auto"/>
                <w:highlight w:val="none"/>
                <w:vertAlign w:val="superscript"/>
                <w:lang w:bidi="ar"/>
              </w:rPr>
              <w:t>-7</w:t>
            </w:r>
            <w:r>
              <w:rPr>
                <w:color w:val="auto"/>
                <w:highlight w:val="none"/>
                <w:lang w:bidi="ar"/>
              </w:rPr>
              <w:t>cm/s的要求。</w:t>
            </w:r>
          </w:p>
          <w:p>
            <w:pPr>
              <w:pageBreakBefore w:val="0"/>
              <w:kinsoku/>
              <w:wordWrap/>
              <w:topLinePunct w:val="0"/>
              <w:bidi w:val="0"/>
              <w:ind w:left="0" w:leftChars="0" w:right="0" w:rightChars="0"/>
              <w:rPr>
                <w:color w:val="auto"/>
                <w:highlight w:val="none"/>
              </w:rPr>
            </w:pPr>
            <w:r>
              <w:rPr>
                <w:b/>
                <w:bCs/>
                <w:color w:val="auto"/>
                <w:highlight w:val="none"/>
              </w:rPr>
              <w:t>一般防渗区：</w:t>
            </w:r>
            <w:r>
              <w:rPr>
                <w:color w:val="auto"/>
                <w:highlight w:val="none"/>
              </w:rPr>
              <w:t>项目</w:t>
            </w:r>
            <w:r>
              <w:rPr>
                <w:color w:val="auto"/>
                <w:highlight w:val="none"/>
                <w:lang w:bidi="ar"/>
              </w:rPr>
              <w:t>配电房、综合大楼、机修及库房等已采取基础及底板垫层C15防水混凝土+C30混凝土；</w:t>
            </w:r>
            <w:r>
              <w:rPr>
                <w:color w:val="auto"/>
                <w:highlight w:val="none"/>
              </w:rPr>
              <w:t>新建的</w:t>
            </w:r>
            <w:r>
              <w:rPr>
                <w:color w:val="auto"/>
                <w:highlight w:val="none"/>
                <w:lang w:bidi="ar"/>
              </w:rPr>
              <w:t>紫外线消毒渠、鼓风机房、进出水在线监测室等采取基础及底板垫层C15防水混凝土+C30混凝土；确保可以达到等效黏土防渗层Mb≥1.5m，K≤1×10</w:t>
            </w:r>
            <w:r>
              <w:rPr>
                <w:color w:val="auto"/>
                <w:highlight w:val="none"/>
                <w:vertAlign w:val="superscript"/>
                <w:lang w:bidi="ar"/>
              </w:rPr>
              <w:t>-7</w:t>
            </w:r>
            <w:r>
              <w:rPr>
                <w:color w:val="auto"/>
                <w:highlight w:val="none"/>
                <w:lang w:bidi="ar"/>
              </w:rPr>
              <w:t>cm/s要求。</w:t>
            </w:r>
          </w:p>
          <w:p>
            <w:pPr>
              <w:pageBreakBefore w:val="0"/>
              <w:kinsoku/>
              <w:wordWrap/>
              <w:topLinePunct w:val="0"/>
              <w:bidi w:val="0"/>
              <w:ind w:left="0" w:leftChars="0" w:right="0" w:rightChars="0"/>
              <w:rPr>
                <w:color w:val="auto"/>
                <w:highlight w:val="none"/>
              </w:rPr>
            </w:pPr>
            <w:r>
              <w:rPr>
                <w:b/>
                <w:bCs/>
                <w:color w:val="auto"/>
                <w:highlight w:val="none"/>
              </w:rPr>
              <w:t>简单防渗区：</w:t>
            </w:r>
            <w:r>
              <w:rPr>
                <w:color w:val="auto"/>
                <w:highlight w:val="none"/>
              </w:rPr>
              <w:t>项目</w:t>
            </w:r>
            <w:r>
              <w:rPr>
                <w:color w:val="auto"/>
                <w:highlight w:val="none"/>
                <w:lang w:bidi="ar"/>
              </w:rPr>
              <w:t>门卫及值班室、厂区道路等已采取地面硬化进行简单防渗。</w:t>
            </w:r>
          </w:p>
          <w:p>
            <w:pPr>
              <w:pageBreakBefore w:val="0"/>
              <w:kinsoku/>
              <w:wordWrap/>
              <w:topLinePunct w:val="0"/>
              <w:bidi w:val="0"/>
              <w:ind w:left="0" w:leftChars="0" w:right="0" w:rightChars="0" w:firstLine="420" w:firstLineChars="200"/>
              <w:rPr>
                <w:color w:val="auto"/>
                <w:highlight w:val="none"/>
              </w:rPr>
            </w:pPr>
            <w:r>
              <w:rPr>
                <w:color w:val="auto"/>
                <w:highlight w:val="none"/>
                <w:lang w:bidi="ar"/>
              </w:rPr>
              <w:t>同时，污水及污泥输入管道应采用不锈钢、PVC、ABS等防腐材质。所有阀体（空气管道除外），包括自动阀、切换阀、球阀等均为PVC、衬胶等防腐材质；另外，定期进行检漏监测及检修。强化各相关工程的转弯、承插、对接等处的防渗，做好隐蔽工程记录，强化防渗工程的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生态保护措施</w:t>
            </w:r>
          </w:p>
        </w:tc>
        <w:tc>
          <w:tcPr>
            <w:tcW w:w="8689" w:type="dxa"/>
            <w:gridSpan w:val="4"/>
            <w:vAlign w:val="center"/>
          </w:tcPr>
          <w:p>
            <w:pPr>
              <w:pageBreakBefore w:val="0"/>
              <w:kinsoku/>
              <w:wordWrap/>
              <w:topLinePunct w:val="0"/>
              <w:bidi w:val="0"/>
              <w:ind w:left="0" w:leftChars="0" w:right="0" w:rightChars="0"/>
              <w:jc w:val="left"/>
              <w:rPr>
                <w:color w:val="auto"/>
                <w:highlight w:val="none"/>
              </w:rPr>
            </w:pPr>
            <w:r>
              <w:rPr>
                <w:color w:val="auto"/>
                <w:highlight w:val="none"/>
              </w:rPr>
              <w:t>防治水土流失：①应尽量避开雨季施工，强降雨来临前做好预防；②制定合理的施工方案，施工材料堆放场应选择较为平整的场地且远离河流；③工程施工应分期分区进行，不要全面铺开以缩短单项工期，减少开挖的裸露面；④根据工程施工进度，开挖的裸露面要有防止措施，尽量缩短暴露时间，减少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环境风险</w:t>
            </w:r>
          </w:p>
          <w:p>
            <w:pPr>
              <w:pageBreakBefore w:val="0"/>
              <w:kinsoku/>
              <w:wordWrap/>
              <w:topLinePunct w:val="0"/>
              <w:bidi w:val="0"/>
              <w:ind w:left="0" w:leftChars="0" w:right="0" w:rightChars="0"/>
              <w:jc w:val="center"/>
              <w:rPr>
                <w:color w:val="auto"/>
                <w:highlight w:val="none"/>
              </w:rPr>
            </w:pPr>
            <w:r>
              <w:rPr>
                <w:color w:val="auto"/>
                <w:highlight w:val="none"/>
              </w:rPr>
              <w:t>防范措施</w:t>
            </w:r>
          </w:p>
        </w:tc>
        <w:tc>
          <w:tcPr>
            <w:tcW w:w="8689" w:type="dxa"/>
            <w:gridSpan w:val="4"/>
            <w:vAlign w:val="center"/>
          </w:tcPr>
          <w:p>
            <w:pPr>
              <w:pageBreakBefore w:val="0"/>
              <w:kinsoku/>
              <w:wordWrap/>
              <w:topLinePunct w:val="0"/>
              <w:bidi w:val="0"/>
              <w:ind w:left="0" w:leftChars="0" w:right="0" w:rightChars="0"/>
              <w:jc w:val="left"/>
              <w:rPr>
                <w:color w:val="auto"/>
                <w:highlight w:val="none"/>
              </w:rPr>
            </w:pPr>
            <w:r>
              <w:rPr>
                <w:color w:val="auto"/>
                <w:highlight w:val="none"/>
              </w:rPr>
              <w:t>严格规范化操作、建立必要的预备系统或设备、制定事故及时处理计划、编制应急预案，制定高效的应急措施、地下水和土壤环境防渗。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Align w:val="center"/>
          </w:tcPr>
          <w:p>
            <w:pPr>
              <w:pageBreakBefore w:val="0"/>
              <w:kinsoku/>
              <w:wordWrap/>
              <w:topLinePunct w:val="0"/>
              <w:bidi w:val="0"/>
              <w:ind w:left="0" w:leftChars="0" w:right="0" w:rightChars="0"/>
              <w:jc w:val="center"/>
              <w:rPr>
                <w:color w:val="auto"/>
                <w:highlight w:val="none"/>
              </w:rPr>
            </w:pPr>
            <w:r>
              <w:rPr>
                <w:color w:val="auto"/>
                <w:highlight w:val="none"/>
              </w:rPr>
              <w:t>其他环境管理要求</w:t>
            </w:r>
          </w:p>
        </w:tc>
        <w:tc>
          <w:tcPr>
            <w:tcW w:w="8689" w:type="dxa"/>
            <w:gridSpan w:val="4"/>
            <w:vAlign w:val="center"/>
          </w:tcPr>
          <w:p>
            <w:pPr>
              <w:pageBreakBefore w:val="0"/>
              <w:kinsoku/>
              <w:wordWrap/>
              <w:topLinePunct w:val="0"/>
              <w:bidi w:val="0"/>
              <w:ind w:left="0" w:leftChars="0" w:right="0" w:rightChars="0" w:firstLine="422" w:firstLineChars="200"/>
              <w:outlineLvl w:val="3"/>
              <w:rPr>
                <w:b/>
                <w:color w:val="auto"/>
                <w:highlight w:val="none"/>
              </w:rPr>
            </w:pPr>
            <w:bookmarkStart w:id="12" w:name="_Toc25678978"/>
            <w:bookmarkStart w:id="13" w:name="_Toc50734299"/>
            <w:bookmarkStart w:id="14" w:name="_Toc10620716"/>
            <w:r>
              <w:rPr>
                <w:b/>
                <w:color w:val="auto"/>
                <w:highlight w:val="none"/>
              </w:rPr>
              <w:t>1、环境管理</w:t>
            </w:r>
            <w:bookmarkEnd w:id="12"/>
            <w:bookmarkEnd w:id="13"/>
            <w:bookmarkEnd w:id="14"/>
          </w:p>
          <w:p>
            <w:pPr>
              <w:pageBreakBefore w:val="0"/>
              <w:kinsoku/>
              <w:wordWrap/>
              <w:topLinePunct w:val="0"/>
              <w:bidi w:val="0"/>
              <w:ind w:left="0" w:leftChars="0" w:right="0" w:rightChars="0" w:firstLine="420" w:firstLineChars="200"/>
              <w:rPr>
                <w:color w:val="auto"/>
                <w:highlight w:val="none"/>
              </w:rPr>
            </w:pPr>
            <w:r>
              <w:rPr>
                <w:color w:val="auto"/>
                <w:highlight w:val="none"/>
              </w:rPr>
              <w:t>（1）环境管理目的</w:t>
            </w:r>
          </w:p>
          <w:p>
            <w:pPr>
              <w:pageBreakBefore w:val="0"/>
              <w:kinsoku/>
              <w:wordWrap/>
              <w:topLinePunct w:val="0"/>
              <w:bidi w:val="0"/>
              <w:ind w:left="0" w:leftChars="0" w:right="0" w:rightChars="0" w:firstLine="420" w:firstLineChars="200"/>
              <w:rPr>
                <w:color w:val="auto"/>
                <w:highlight w:val="none"/>
              </w:rPr>
            </w:pPr>
            <w:r>
              <w:rPr>
                <w:color w:val="auto"/>
                <w:highlight w:val="none"/>
              </w:rPr>
              <w:t>通过环境管理计划的实施，是达到预防、消减、缓解或补偿工程建设带来的不利影响的最终目的。在工程营运期间，通过先进的环境管理方式，指导并监督工程的环境保护工作，预防并减缓工程建设和生产过程中对周围环境的不利影响，保障各污染治理设施的正常运转，消减大气污染物、水污染物和固体废物对环境的影响，并通过生态恢复工程措施，补偿工程建设带来的不利影响，充分发挥工程建设的社会效益和生态效益；明确各管理部门的职责，更好落实工程的环境管理工作：落实各项目的生态保护和污染防治设施，使其达到相应的环保要求。</w:t>
            </w:r>
          </w:p>
          <w:p>
            <w:pPr>
              <w:pageBreakBefore w:val="0"/>
              <w:kinsoku/>
              <w:wordWrap/>
              <w:topLinePunct w:val="0"/>
              <w:bidi w:val="0"/>
              <w:ind w:left="0" w:leftChars="0" w:right="0" w:rightChars="0" w:firstLine="420" w:firstLineChars="200"/>
              <w:rPr>
                <w:color w:val="auto"/>
                <w:highlight w:val="none"/>
              </w:rPr>
            </w:pPr>
            <w:r>
              <w:rPr>
                <w:color w:val="auto"/>
                <w:highlight w:val="none"/>
              </w:rPr>
              <w:t>（2）环境管理体系</w:t>
            </w:r>
          </w:p>
          <w:p>
            <w:pPr>
              <w:pageBreakBefore w:val="0"/>
              <w:kinsoku/>
              <w:wordWrap/>
              <w:topLinePunct w:val="0"/>
              <w:bidi w:val="0"/>
              <w:ind w:left="0" w:leftChars="0" w:right="0" w:rightChars="0" w:firstLine="420" w:firstLineChars="200"/>
              <w:rPr>
                <w:color w:val="auto"/>
                <w:highlight w:val="none"/>
              </w:rPr>
            </w:pPr>
            <w:r>
              <w:rPr>
                <w:color w:val="auto"/>
                <w:highlight w:val="none"/>
              </w:rPr>
              <w:t>为做好环境管理工作，建设单位已经建立环境管理体系，将环境管理工作自上而下的贯穿到企业的管理中，现就建立环境管理体系建议如下：</w:t>
            </w:r>
          </w:p>
          <w:p>
            <w:pPr>
              <w:pageBreakBefore w:val="0"/>
              <w:kinsoku/>
              <w:wordWrap/>
              <w:topLinePunct w:val="0"/>
              <w:bidi w:val="0"/>
              <w:ind w:left="0" w:leftChars="0" w:right="0" w:rightChars="0" w:firstLine="420" w:firstLineChars="200"/>
              <w:rPr>
                <w:color w:val="auto"/>
                <w:highlight w:val="none"/>
              </w:rPr>
            </w:pPr>
            <w:r>
              <w:rPr>
                <w:color w:val="auto"/>
                <w:highlight w:val="none"/>
              </w:rPr>
              <w:t>1）企业的环境管理工作实行企业主要负责人负责制，由环保领导小组负责，并制定环保方针、制度、规划，协调人力、物力和财力等方面，将环境管理和企业营运管理结合起来。</w:t>
            </w:r>
          </w:p>
          <w:p>
            <w:pPr>
              <w:pageBreakBefore w:val="0"/>
              <w:kinsoku/>
              <w:wordWrap/>
              <w:topLinePunct w:val="0"/>
              <w:bidi w:val="0"/>
              <w:ind w:left="0" w:leftChars="0" w:right="0" w:rightChars="0" w:firstLine="420" w:firstLineChars="200"/>
              <w:rPr>
                <w:color w:val="auto"/>
                <w:highlight w:val="none"/>
              </w:rPr>
            </w:pPr>
            <w:r>
              <w:rPr>
                <w:color w:val="auto"/>
                <w:highlight w:val="none"/>
              </w:rPr>
              <w:t>2）建立环境管理机构，配备专职环保管理人员，负责建设单位的环境管理工作，并负责与政府环保主管部门的联系与协调工作。</w:t>
            </w:r>
          </w:p>
          <w:p>
            <w:pPr>
              <w:pageBreakBefore w:val="0"/>
              <w:kinsoku/>
              <w:wordWrap/>
              <w:topLinePunct w:val="0"/>
              <w:bidi w:val="0"/>
              <w:ind w:left="0" w:leftChars="0" w:right="0" w:rightChars="0" w:firstLine="420" w:firstLineChars="200"/>
              <w:rPr>
                <w:color w:val="auto"/>
                <w:highlight w:val="none"/>
              </w:rPr>
            </w:pPr>
            <w:r>
              <w:rPr>
                <w:color w:val="auto"/>
                <w:highlight w:val="none"/>
              </w:rPr>
              <w:t>环境管理机构主要职责如下：</w:t>
            </w:r>
          </w:p>
          <w:p>
            <w:pPr>
              <w:pageBreakBefore w:val="0"/>
              <w:kinsoku/>
              <w:wordWrap/>
              <w:topLinePunct w:val="0"/>
              <w:bidi w:val="0"/>
              <w:ind w:left="0" w:leftChars="0" w:right="0" w:rightChars="0" w:firstLine="420" w:firstLineChars="200"/>
              <w:rPr>
                <w:color w:val="auto"/>
                <w:highlight w:val="none"/>
              </w:rPr>
            </w:pPr>
            <w:r>
              <w:rPr>
                <w:color w:val="auto"/>
                <w:highlight w:val="none"/>
              </w:rPr>
              <w:t>①贯彻、宣传国家的环保方针、政策和法律法规。</w:t>
            </w:r>
          </w:p>
          <w:p>
            <w:pPr>
              <w:pageBreakBefore w:val="0"/>
              <w:kinsoku/>
              <w:wordWrap/>
              <w:topLinePunct w:val="0"/>
              <w:bidi w:val="0"/>
              <w:ind w:left="0" w:leftChars="0" w:right="0" w:rightChars="0" w:firstLine="420" w:firstLineChars="200"/>
              <w:rPr>
                <w:color w:val="auto"/>
                <w:highlight w:val="none"/>
              </w:rPr>
            </w:pPr>
            <w:r>
              <w:rPr>
                <w:color w:val="auto"/>
                <w:highlight w:val="none"/>
              </w:rPr>
              <w:t>②制定建设单位的环保管理制度、环保技术经济政策、环境保护发展规划和年度实施计划。</w:t>
            </w:r>
          </w:p>
          <w:p>
            <w:pPr>
              <w:pageBreakBefore w:val="0"/>
              <w:kinsoku/>
              <w:wordWrap/>
              <w:topLinePunct w:val="0"/>
              <w:bidi w:val="0"/>
              <w:ind w:left="0" w:leftChars="0" w:right="0" w:rightChars="0" w:firstLine="420" w:firstLineChars="200"/>
              <w:rPr>
                <w:color w:val="auto"/>
                <w:highlight w:val="none"/>
              </w:rPr>
            </w:pPr>
            <w:r>
              <w:rPr>
                <w:color w:val="auto"/>
                <w:highlight w:val="none"/>
              </w:rPr>
              <w:t>③监督检查本项目执行“三同时”规定的情况。</w:t>
            </w:r>
          </w:p>
          <w:p>
            <w:pPr>
              <w:pageBreakBefore w:val="0"/>
              <w:kinsoku/>
              <w:wordWrap/>
              <w:topLinePunct w:val="0"/>
              <w:bidi w:val="0"/>
              <w:ind w:left="0" w:leftChars="0" w:right="0" w:rightChars="0" w:firstLine="420" w:firstLineChars="200"/>
              <w:rPr>
                <w:color w:val="auto"/>
                <w:highlight w:val="none"/>
              </w:rPr>
            </w:pPr>
            <w:r>
              <w:rPr>
                <w:color w:val="auto"/>
                <w:highlight w:val="none"/>
              </w:rPr>
              <w:t>④定期进行环保设备检查、维修和保养工作，确保环保设施长期、稳定、达标运转。</w:t>
            </w:r>
          </w:p>
          <w:p>
            <w:pPr>
              <w:pageBreakBefore w:val="0"/>
              <w:kinsoku/>
              <w:wordWrap/>
              <w:topLinePunct w:val="0"/>
              <w:bidi w:val="0"/>
              <w:ind w:left="0" w:leftChars="0" w:right="0" w:rightChars="0" w:firstLine="420" w:firstLineChars="200"/>
              <w:rPr>
                <w:color w:val="auto"/>
                <w:highlight w:val="none"/>
              </w:rPr>
            </w:pPr>
            <w:r>
              <w:rPr>
                <w:color w:val="auto"/>
                <w:highlight w:val="none"/>
              </w:rPr>
              <w:t>⑤负责企业环保设施的日常运行管理工作，制定事故防范措施，一旦发生事故，组织污染源调查及控制工作，并及时总结经验教训。</w:t>
            </w:r>
          </w:p>
          <w:p>
            <w:pPr>
              <w:pageBreakBefore w:val="0"/>
              <w:kinsoku/>
              <w:wordWrap/>
              <w:topLinePunct w:val="0"/>
              <w:bidi w:val="0"/>
              <w:ind w:left="0" w:leftChars="0" w:right="0" w:rightChars="0" w:firstLine="420" w:firstLineChars="200"/>
              <w:rPr>
                <w:color w:val="auto"/>
                <w:highlight w:val="none"/>
              </w:rPr>
            </w:pPr>
            <w:r>
              <w:rPr>
                <w:color w:val="auto"/>
                <w:highlight w:val="none"/>
              </w:rPr>
              <w:t>⑥负责对企业环保人员进行环境保护教育，不断提高环保人员的业务素质。</w:t>
            </w:r>
          </w:p>
          <w:p>
            <w:pPr>
              <w:pageBreakBefore w:val="0"/>
              <w:kinsoku/>
              <w:wordWrap/>
              <w:topLinePunct w:val="0"/>
              <w:bidi w:val="0"/>
              <w:ind w:left="0" w:leftChars="0" w:right="0" w:rightChars="0" w:firstLine="420" w:firstLineChars="200"/>
              <w:rPr>
                <w:color w:val="auto"/>
                <w:highlight w:val="none"/>
              </w:rPr>
            </w:pPr>
            <w:r>
              <w:rPr>
                <w:color w:val="auto"/>
                <w:highlight w:val="none"/>
              </w:rPr>
              <w:t>3）以水、气、固废、声等环境要素的保护和改善作为推动企业环境保护工作的基础，并在营运工作中检查环境管理的成效。</w:t>
            </w:r>
          </w:p>
          <w:p>
            <w:pPr>
              <w:pageBreakBefore w:val="0"/>
              <w:kinsoku/>
              <w:wordWrap/>
              <w:topLinePunct w:val="0"/>
              <w:bidi w:val="0"/>
              <w:ind w:left="0" w:leftChars="0" w:right="0" w:rightChars="0" w:firstLine="420" w:firstLineChars="200"/>
              <w:rPr>
                <w:color w:val="auto"/>
                <w:highlight w:val="none"/>
              </w:rPr>
            </w:pPr>
            <w:r>
              <w:rPr>
                <w:color w:val="auto"/>
                <w:highlight w:val="none"/>
              </w:rPr>
              <w:t>4）按照所制定的环保方针和环境管理方案，将环境管理目标和指标层层分解，落实到各科室部门和人，签订责任书，定期考核。</w:t>
            </w:r>
          </w:p>
          <w:p>
            <w:pPr>
              <w:pageBreakBefore w:val="0"/>
              <w:kinsoku/>
              <w:wordWrap/>
              <w:topLinePunct w:val="0"/>
              <w:bidi w:val="0"/>
              <w:ind w:left="0" w:leftChars="0" w:right="0" w:rightChars="0" w:firstLine="420" w:firstLineChars="200"/>
              <w:rPr>
                <w:color w:val="auto"/>
                <w:highlight w:val="none"/>
              </w:rPr>
            </w:pPr>
            <w:r>
              <w:rPr>
                <w:color w:val="auto"/>
                <w:highlight w:val="none"/>
              </w:rPr>
              <w:t>5）按照环境管理的要求，将计划实现的目标和过程编制成文件，有关指标制成目标管理图表，标明工作内容和进度，以便与目标对比，及时掌握环保工作的进展情况。</w:t>
            </w:r>
          </w:p>
          <w:p>
            <w:pPr>
              <w:pageBreakBefore w:val="0"/>
              <w:kinsoku/>
              <w:wordWrap/>
              <w:topLinePunct w:val="0"/>
              <w:bidi w:val="0"/>
              <w:ind w:left="0" w:leftChars="0" w:right="0" w:rightChars="0" w:firstLine="420" w:firstLineChars="200"/>
              <w:rPr>
                <w:color w:val="auto"/>
                <w:highlight w:val="none"/>
              </w:rPr>
            </w:pPr>
            <w:r>
              <w:rPr>
                <w:color w:val="auto"/>
                <w:highlight w:val="none"/>
              </w:rPr>
              <w:t>（3）环境管理计划</w:t>
            </w:r>
          </w:p>
          <w:p>
            <w:pPr>
              <w:pageBreakBefore w:val="0"/>
              <w:kinsoku/>
              <w:wordWrap/>
              <w:topLinePunct w:val="0"/>
              <w:bidi w:val="0"/>
              <w:ind w:left="0" w:leftChars="0" w:right="0" w:rightChars="0" w:firstLine="420" w:firstLineChars="200"/>
              <w:rPr>
                <w:color w:val="auto"/>
                <w:highlight w:val="none"/>
              </w:rPr>
            </w:pPr>
            <w:r>
              <w:rPr>
                <w:color w:val="auto"/>
                <w:highlight w:val="none"/>
              </w:rPr>
              <w:t>1）施工期</w:t>
            </w:r>
          </w:p>
          <w:p>
            <w:pPr>
              <w:pageBreakBefore w:val="0"/>
              <w:kinsoku/>
              <w:wordWrap/>
              <w:topLinePunct w:val="0"/>
              <w:bidi w:val="0"/>
              <w:ind w:left="0" w:leftChars="0" w:right="0" w:rightChars="0" w:firstLine="420" w:firstLineChars="200"/>
              <w:rPr>
                <w:color w:val="auto"/>
                <w:highlight w:val="none"/>
              </w:rPr>
            </w:pPr>
            <w:r>
              <w:rPr>
                <w:color w:val="auto"/>
                <w:highlight w:val="none"/>
              </w:rPr>
              <w:t>①环境管理机构对施工期环境保护工作全面负责，履行施工期各阶段环境管理职责。</w:t>
            </w:r>
          </w:p>
          <w:p>
            <w:pPr>
              <w:pageBreakBefore w:val="0"/>
              <w:kinsoku/>
              <w:wordWrap/>
              <w:topLinePunct w:val="0"/>
              <w:bidi w:val="0"/>
              <w:ind w:left="0" w:leftChars="0" w:right="0" w:rightChars="0" w:firstLine="420" w:firstLineChars="200"/>
              <w:rPr>
                <w:color w:val="auto"/>
                <w:highlight w:val="none"/>
              </w:rPr>
            </w:pPr>
            <w:r>
              <w:rPr>
                <w:color w:val="auto"/>
                <w:highlight w:val="none"/>
              </w:rPr>
              <w:t>②对施工队伍实行职责管理，要求施工队伍应文明施工，并做好监督、检查和教育工作。</w:t>
            </w:r>
          </w:p>
          <w:p>
            <w:pPr>
              <w:pageBreakBefore w:val="0"/>
              <w:kinsoku/>
              <w:wordWrap/>
              <w:topLinePunct w:val="0"/>
              <w:bidi w:val="0"/>
              <w:ind w:left="0" w:leftChars="0" w:right="0" w:rightChars="0" w:firstLine="420" w:firstLineChars="200"/>
              <w:rPr>
                <w:color w:val="auto"/>
                <w:highlight w:val="none"/>
              </w:rPr>
            </w:pPr>
            <w:r>
              <w:rPr>
                <w:color w:val="auto"/>
                <w:highlight w:val="none"/>
              </w:rPr>
              <w:t>③按照环保主管部门的要求和本报告中有关环境保护对策措施对施工程序和场地布置实施统一安排。</w:t>
            </w:r>
          </w:p>
          <w:p>
            <w:pPr>
              <w:pageBreakBefore w:val="0"/>
              <w:kinsoku/>
              <w:wordWrap/>
              <w:topLinePunct w:val="0"/>
              <w:bidi w:val="0"/>
              <w:ind w:left="0" w:leftChars="0" w:right="0" w:rightChars="0" w:firstLine="420" w:firstLineChars="200"/>
              <w:rPr>
                <w:color w:val="auto"/>
                <w:highlight w:val="none"/>
              </w:rPr>
            </w:pPr>
            <w:r>
              <w:rPr>
                <w:color w:val="auto"/>
                <w:highlight w:val="none"/>
              </w:rPr>
              <w:t>④对产生的扬尘应及时洒水，及时清除弃土，避免二次扬尘。</w:t>
            </w:r>
          </w:p>
          <w:p>
            <w:pPr>
              <w:pageBreakBefore w:val="0"/>
              <w:kinsoku/>
              <w:wordWrap/>
              <w:topLinePunct w:val="0"/>
              <w:bidi w:val="0"/>
              <w:ind w:left="0" w:leftChars="0" w:right="0" w:rightChars="0" w:firstLine="420" w:firstLineChars="200"/>
              <w:rPr>
                <w:color w:val="auto"/>
                <w:highlight w:val="none"/>
              </w:rPr>
            </w:pPr>
            <w:r>
              <w:rPr>
                <w:color w:val="auto"/>
                <w:highlight w:val="none"/>
              </w:rPr>
              <w:t>⑤合理布置施工场内机械和设备，把噪声较大的机械设备布置到远离居民的地点。</w:t>
            </w:r>
          </w:p>
          <w:p>
            <w:pPr>
              <w:pageBreakBefore w:val="0"/>
              <w:kinsoku/>
              <w:wordWrap/>
              <w:topLinePunct w:val="0"/>
              <w:bidi w:val="0"/>
              <w:ind w:left="0" w:leftChars="0" w:right="0" w:rightChars="0" w:firstLine="420" w:firstLineChars="200"/>
              <w:rPr>
                <w:color w:val="auto"/>
                <w:highlight w:val="none"/>
              </w:rPr>
            </w:pPr>
            <w:r>
              <w:rPr>
                <w:color w:val="auto"/>
                <w:highlight w:val="none"/>
              </w:rPr>
              <w:t>⑥对施工活动进行监督、管理，提出恢复措施，并将此要求纳入施工招标合同，签订协议。</w:t>
            </w:r>
          </w:p>
          <w:p>
            <w:pPr>
              <w:pageBreakBefore w:val="0"/>
              <w:kinsoku/>
              <w:wordWrap/>
              <w:topLinePunct w:val="0"/>
              <w:bidi w:val="0"/>
              <w:ind w:left="0" w:leftChars="0" w:right="0" w:rightChars="0" w:firstLine="420" w:firstLineChars="200"/>
              <w:rPr>
                <w:color w:val="auto"/>
                <w:highlight w:val="none"/>
              </w:rPr>
            </w:pPr>
            <w:r>
              <w:rPr>
                <w:color w:val="auto"/>
                <w:highlight w:val="none"/>
              </w:rPr>
              <w:t>2）营运期</w:t>
            </w:r>
          </w:p>
          <w:p>
            <w:pPr>
              <w:pageBreakBefore w:val="0"/>
              <w:kinsoku/>
              <w:wordWrap/>
              <w:topLinePunct w:val="0"/>
              <w:bidi w:val="0"/>
              <w:ind w:left="0" w:leftChars="0" w:right="0" w:rightChars="0" w:firstLine="420" w:firstLineChars="200"/>
              <w:rPr>
                <w:color w:val="auto"/>
                <w:highlight w:val="none"/>
              </w:rPr>
            </w:pPr>
            <w:r>
              <w:rPr>
                <w:color w:val="auto"/>
                <w:highlight w:val="none"/>
              </w:rPr>
              <w:t>①根据国家环保政策、标准及环境监测要求，制定该项目运行期环境管理规章制度、各种污染物排放指标。</w:t>
            </w:r>
          </w:p>
          <w:p>
            <w:pPr>
              <w:pageBreakBefore w:val="0"/>
              <w:kinsoku/>
              <w:wordWrap/>
              <w:topLinePunct w:val="0"/>
              <w:bidi w:val="0"/>
              <w:ind w:left="0" w:leftChars="0" w:right="0" w:rightChars="0" w:firstLine="420" w:firstLineChars="200"/>
              <w:rPr>
                <w:color w:val="auto"/>
                <w:highlight w:val="none"/>
              </w:rPr>
            </w:pPr>
            <w:r>
              <w:rPr>
                <w:color w:val="auto"/>
                <w:highlight w:val="none"/>
              </w:rPr>
              <w:t>②对项目各种环保设备设施进行监督管理、维护和检修（如确保污水处理系统的正常运行），确保项目环保设施的正常运行，各污染物达标排放。</w:t>
            </w:r>
          </w:p>
          <w:p>
            <w:pPr>
              <w:pageBreakBefore w:val="0"/>
              <w:kinsoku/>
              <w:wordWrap/>
              <w:topLinePunct w:val="0"/>
              <w:bidi w:val="0"/>
              <w:ind w:left="0" w:leftChars="0" w:right="0" w:rightChars="0" w:firstLine="420" w:firstLineChars="200"/>
              <w:rPr>
                <w:color w:val="auto"/>
                <w:highlight w:val="none"/>
              </w:rPr>
            </w:pPr>
            <w:r>
              <w:rPr>
                <w:color w:val="auto"/>
                <w:highlight w:val="none"/>
              </w:rPr>
              <w:t>排污单位应建立环境管理台账记录制度，落实相关责任部门和责任人，明确工作职责，真实记录污染治理设施运行、自行监测和其他环境管理等与污染物排放相关的信息，并对环境管理台账的真实性、完整性和规范性负责。</w:t>
            </w:r>
          </w:p>
          <w:p>
            <w:pPr>
              <w:pageBreakBefore w:val="0"/>
              <w:kinsoku/>
              <w:wordWrap/>
              <w:topLinePunct w:val="0"/>
              <w:bidi w:val="0"/>
              <w:ind w:left="0" w:leftChars="0" w:right="0" w:rightChars="0" w:firstLine="420" w:firstLineChars="200"/>
              <w:rPr>
                <w:color w:val="auto"/>
                <w:highlight w:val="none"/>
              </w:rPr>
            </w:pPr>
            <w:r>
              <w:rPr>
                <w:color w:val="auto"/>
                <w:highlight w:val="none"/>
              </w:rPr>
              <w:t>为便于携带、储存、导出及证明排污许可证执行情况，环境管理台账应按照电子化储存和纸质储存两种形式同步管理，保存期限不得少于三年。</w:t>
            </w:r>
          </w:p>
          <w:p>
            <w:pPr>
              <w:pageBreakBefore w:val="0"/>
              <w:kinsoku/>
              <w:wordWrap/>
              <w:topLinePunct w:val="0"/>
              <w:bidi w:val="0"/>
              <w:ind w:left="0" w:leftChars="0" w:right="0" w:rightChars="0" w:firstLine="420" w:firstLineChars="200"/>
              <w:rPr>
                <w:color w:val="auto"/>
                <w:highlight w:val="none"/>
              </w:rPr>
            </w:pPr>
            <w:r>
              <w:rPr>
                <w:color w:val="auto"/>
                <w:highlight w:val="none"/>
              </w:rPr>
              <w:t>污染治理设施运行信息</w:t>
            </w:r>
          </w:p>
          <w:p>
            <w:pPr>
              <w:pageBreakBefore w:val="0"/>
              <w:kinsoku/>
              <w:wordWrap/>
              <w:topLinePunct w:val="0"/>
              <w:bidi w:val="0"/>
              <w:ind w:left="0" w:leftChars="0" w:right="0" w:rightChars="0" w:firstLine="420" w:firstLineChars="200"/>
              <w:rPr>
                <w:color w:val="auto"/>
                <w:highlight w:val="none"/>
              </w:rPr>
            </w:pPr>
            <w:r>
              <w:rPr>
                <w:color w:val="auto"/>
                <w:highlight w:val="none"/>
              </w:rPr>
              <w:t>污染治理设施基本信息包括污水处理设施和污泥治理设施的相关参数。</w:t>
            </w:r>
          </w:p>
          <w:p>
            <w:pPr>
              <w:pageBreakBefore w:val="0"/>
              <w:kinsoku/>
              <w:wordWrap/>
              <w:topLinePunct w:val="0"/>
              <w:bidi w:val="0"/>
              <w:ind w:left="0" w:leftChars="0" w:right="0" w:rightChars="0" w:firstLine="420" w:firstLineChars="200"/>
              <w:rPr>
                <w:color w:val="auto"/>
                <w:highlight w:val="none"/>
              </w:rPr>
            </w:pPr>
            <w:r>
              <w:rPr>
                <w:color w:val="auto"/>
                <w:highlight w:val="none"/>
              </w:rPr>
              <w:t>a.进水信息</w:t>
            </w:r>
          </w:p>
          <w:p>
            <w:pPr>
              <w:pageBreakBefore w:val="0"/>
              <w:kinsoku/>
              <w:wordWrap/>
              <w:topLinePunct w:val="0"/>
              <w:bidi w:val="0"/>
              <w:ind w:left="0" w:leftChars="0" w:right="0" w:rightChars="0" w:firstLine="420" w:firstLineChars="200"/>
              <w:rPr>
                <w:color w:val="auto"/>
                <w:highlight w:val="none"/>
              </w:rPr>
            </w:pPr>
            <w:r>
              <w:rPr>
                <w:color w:val="auto"/>
                <w:highlight w:val="none"/>
              </w:rPr>
              <w:t>记录进水总口水质、水量信息。</w:t>
            </w:r>
          </w:p>
          <w:p>
            <w:pPr>
              <w:pageBreakBefore w:val="0"/>
              <w:kinsoku/>
              <w:wordWrap/>
              <w:topLinePunct w:val="0"/>
              <w:bidi w:val="0"/>
              <w:ind w:left="0" w:leftChars="0" w:right="0" w:rightChars="0" w:firstLine="420" w:firstLineChars="200"/>
              <w:rPr>
                <w:color w:val="auto"/>
                <w:highlight w:val="none"/>
              </w:rPr>
            </w:pPr>
            <w:r>
              <w:rPr>
                <w:color w:val="auto"/>
                <w:highlight w:val="none"/>
              </w:rPr>
              <w:t>b.污水处理设施日常运行信息</w:t>
            </w:r>
          </w:p>
          <w:p>
            <w:pPr>
              <w:pageBreakBefore w:val="0"/>
              <w:kinsoku/>
              <w:wordWrap/>
              <w:topLinePunct w:val="0"/>
              <w:bidi w:val="0"/>
              <w:ind w:left="0" w:leftChars="0" w:right="0" w:rightChars="0" w:firstLine="420" w:firstLineChars="200"/>
              <w:rPr>
                <w:color w:val="auto"/>
                <w:highlight w:val="none"/>
              </w:rPr>
            </w:pPr>
            <w:r>
              <w:rPr>
                <w:color w:val="auto"/>
                <w:highlight w:val="none"/>
              </w:rPr>
              <w:t>记录主要设施的设施参数、进出水、污泥、药剂使用等信息。</w:t>
            </w:r>
          </w:p>
          <w:p>
            <w:pPr>
              <w:pageBreakBefore w:val="0"/>
              <w:kinsoku/>
              <w:wordWrap/>
              <w:topLinePunct w:val="0"/>
              <w:bidi w:val="0"/>
              <w:ind w:left="0" w:leftChars="0" w:right="0" w:rightChars="0" w:firstLine="420" w:firstLineChars="200"/>
              <w:rPr>
                <w:color w:val="auto"/>
                <w:highlight w:val="none"/>
              </w:rPr>
            </w:pPr>
            <w:r>
              <w:rPr>
                <w:color w:val="auto"/>
                <w:highlight w:val="none"/>
              </w:rPr>
              <w:t>c.污泥处理设施日常运行信息</w:t>
            </w:r>
          </w:p>
          <w:p>
            <w:pPr>
              <w:pageBreakBefore w:val="0"/>
              <w:kinsoku/>
              <w:wordWrap/>
              <w:topLinePunct w:val="0"/>
              <w:bidi w:val="0"/>
              <w:ind w:left="0" w:leftChars="0" w:right="0" w:rightChars="0" w:firstLine="420" w:firstLineChars="200"/>
              <w:rPr>
                <w:color w:val="auto"/>
                <w:highlight w:val="none"/>
              </w:rPr>
            </w:pPr>
            <w:r>
              <w:rPr>
                <w:color w:val="auto"/>
                <w:highlight w:val="none"/>
              </w:rPr>
              <w:t>记录污泥产生量及含水率、处理方式、处理后污泥量及含水率、厂内暂存量、综合利用量、自行处置量、委托处置利用贮存量、委托单位等信息。</w:t>
            </w:r>
          </w:p>
          <w:p>
            <w:pPr>
              <w:pageBreakBefore w:val="0"/>
              <w:kinsoku/>
              <w:wordWrap/>
              <w:topLinePunct w:val="0"/>
              <w:bidi w:val="0"/>
              <w:ind w:left="0" w:leftChars="0" w:right="0" w:rightChars="0" w:firstLine="420" w:firstLineChars="200"/>
              <w:rPr>
                <w:color w:val="auto"/>
                <w:highlight w:val="none"/>
              </w:rPr>
            </w:pPr>
            <w:r>
              <w:rPr>
                <w:color w:val="auto"/>
                <w:highlight w:val="none"/>
              </w:rPr>
              <w:t>d.污染治理设施维修维护记录</w:t>
            </w:r>
          </w:p>
          <w:p>
            <w:pPr>
              <w:pageBreakBefore w:val="0"/>
              <w:kinsoku/>
              <w:wordWrap/>
              <w:topLinePunct w:val="0"/>
              <w:bidi w:val="0"/>
              <w:ind w:left="0" w:leftChars="0" w:right="0" w:rightChars="0" w:firstLine="420" w:firstLineChars="200"/>
              <w:rPr>
                <w:color w:val="auto"/>
                <w:highlight w:val="none"/>
              </w:rPr>
            </w:pPr>
            <w:r>
              <w:rPr>
                <w:color w:val="auto"/>
                <w:highlight w:val="none"/>
              </w:rPr>
              <w:t>排污单位污染治理设施维修维护记录应记录设施故障（事故、维护）状态、故障（事故、维护）时刻、恢复（启动）时刻、事件原因、污染物排放量、排放浓度、是否报告。维护维修记录原则上在异常状态（故障、停运、维护）发生后随时记录，及时向地方生态环境主管部门报告。</w:t>
            </w:r>
          </w:p>
          <w:p>
            <w:pPr>
              <w:pageBreakBefore w:val="0"/>
              <w:kinsoku/>
              <w:wordWrap/>
              <w:topLinePunct w:val="0"/>
              <w:bidi w:val="0"/>
              <w:ind w:left="0" w:leftChars="0" w:right="0" w:rightChars="0" w:firstLine="420" w:firstLineChars="200"/>
              <w:rPr>
                <w:color w:val="auto"/>
                <w:highlight w:val="none"/>
              </w:rPr>
            </w:pPr>
            <w:r>
              <w:rPr>
                <w:color w:val="auto"/>
                <w:highlight w:val="none"/>
              </w:rPr>
              <w:t>（2）监测记录信息</w:t>
            </w:r>
          </w:p>
          <w:p>
            <w:pPr>
              <w:pageBreakBefore w:val="0"/>
              <w:kinsoku/>
              <w:wordWrap/>
              <w:topLinePunct w:val="0"/>
              <w:bidi w:val="0"/>
              <w:ind w:left="0" w:leftChars="0" w:right="0" w:rightChars="0" w:firstLine="420" w:firstLineChars="200"/>
              <w:rPr>
                <w:color w:val="auto"/>
                <w:highlight w:val="none"/>
              </w:rPr>
            </w:pPr>
            <w:r>
              <w:rPr>
                <w:color w:val="auto"/>
                <w:highlight w:val="none"/>
              </w:rPr>
              <w:t>排污单位监测记录信息包括手工监测记录信息和自动监测运维记录信息。</w:t>
            </w:r>
          </w:p>
          <w:p>
            <w:pPr>
              <w:pageBreakBefore w:val="0"/>
              <w:kinsoku/>
              <w:wordWrap/>
              <w:topLinePunct w:val="0"/>
              <w:bidi w:val="0"/>
              <w:ind w:left="0" w:leftChars="0" w:right="0" w:rightChars="0" w:firstLine="420" w:firstLineChars="200"/>
              <w:rPr>
                <w:color w:val="auto"/>
                <w:highlight w:val="none"/>
              </w:rPr>
            </w:pPr>
            <w:r>
              <w:rPr>
                <w:color w:val="auto"/>
                <w:highlight w:val="none"/>
              </w:rPr>
              <w:t>③生活垃圾和危险废物的收集管理应由专人负责，分类收集，对分散布置的垃圾桶应定期清洗和消毒；外运时，应采用封闭自卸专用车，运到指定地点处置。</w:t>
            </w:r>
          </w:p>
          <w:p>
            <w:pPr>
              <w:pageBreakBefore w:val="0"/>
              <w:kinsoku/>
              <w:wordWrap/>
              <w:topLinePunct w:val="0"/>
              <w:bidi w:val="0"/>
              <w:ind w:left="0" w:leftChars="0" w:right="0" w:rightChars="0" w:firstLine="420" w:firstLineChars="200"/>
              <w:rPr>
                <w:color w:val="auto"/>
                <w:highlight w:val="none"/>
              </w:rPr>
            </w:pPr>
            <w:r>
              <w:rPr>
                <w:color w:val="auto"/>
                <w:highlight w:val="none"/>
              </w:rPr>
              <w:t>④对工程产生的污染物及处置情况进行记录、管理，完善污染源档案管理等制度；</w:t>
            </w:r>
          </w:p>
          <w:p>
            <w:pPr>
              <w:pageBreakBefore w:val="0"/>
              <w:kinsoku/>
              <w:wordWrap/>
              <w:topLinePunct w:val="0"/>
              <w:bidi w:val="0"/>
              <w:ind w:left="0" w:leftChars="0" w:right="0" w:rightChars="0" w:firstLine="420" w:firstLineChars="200"/>
              <w:rPr>
                <w:color w:val="auto"/>
                <w:highlight w:val="none"/>
              </w:rPr>
            </w:pPr>
            <w:r>
              <w:rPr>
                <w:color w:val="auto"/>
                <w:highlight w:val="none"/>
              </w:rPr>
              <w:t>⑤按国家有关法律、法规做好企业的环保宣传工作。</w:t>
            </w:r>
          </w:p>
          <w:p>
            <w:pPr>
              <w:pageBreakBefore w:val="0"/>
              <w:kinsoku/>
              <w:wordWrap/>
              <w:topLinePunct w:val="0"/>
              <w:bidi w:val="0"/>
              <w:ind w:left="0" w:leftChars="0" w:right="0" w:rightChars="0" w:firstLine="422" w:firstLineChars="200"/>
              <w:rPr>
                <w:b/>
                <w:bCs/>
                <w:color w:val="auto"/>
                <w:highlight w:val="none"/>
              </w:rPr>
            </w:pPr>
            <w:r>
              <w:rPr>
                <w:b/>
                <w:bCs/>
                <w:color w:val="auto"/>
                <w:highlight w:val="none"/>
              </w:rPr>
              <w:t>2</w:t>
            </w:r>
            <w:r>
              <w:rPr>
                <w:b/>
                <w:bCs/>
                <w:color w:val="auto"/>
                <w:highlight w:val="none"/>
                <w:lang w:eastAsia="zh-TW"/>
              </w:rPr>
              <w:t>、</w:t>
            </w:r>
            <w:r>
              <w:rPr>
                <w:rFonts w:hint="default"/>
                <w:b/>
                <w:bCs/>
                <w:color w:val="auto"/>
                <w:highlight w:val="none"/>
                <w:lang w:val="en-US" w:eastAsia="zh-TW"/>
              </w:rPr>
              <w:t>排污口规范化设置</w:t>
            </w:r>
          </w:p>
          <w:p>
            <w:pPr>
              <w:pageBreakBefore w:val="0"/>
              <w:kinsoku/>
              <w:wordWrap/>
              <w:topLinePunct w:val="0"/>
              <w:bidi w:val="0"/>
              <w:ind w:left="0" w:leftChars="0" w:right="0" w:rightChars="0" w:firstLine="420" w:firstLineChars="200"/>
              <w:rPr>
                <w:rFonts w:hint="default"/>
                <w:color w:val="auto"/>
                <w:highlight w:val="none"/>
                <w:lang w:eastAsia="zh-CN"/>
              </w:rPr>
            </w:pPr>
            <w:r>
              <w:rPr>
                <w:rFonts w:hint="default"/>
                <w:color w:val="auto"/>
                <w:highlight w:val="none"/>
                <w:lang w:eastAsia="zh-CN"/>
              </w:rPr>
              <w:t>排污口是污水处理厂排放污染物进入环境的通道，强化排污口的管理是实施污染物总量控制的基础工作之一，也是区域环境管理逐步实现污染物排放科学化、定量化的重要手段。</w:t>
            </w:r>
          </w:p>
          <w:p>
            <w:pPr>
              <w:pageBreakBefore w:val="0"/>
              <w:kinsoku/>
              <w:wordWrap/>
              <w:topLinePunct w:val="0"/>
              <w:bidi w:val="0"/>
              <w:ind w:left="0" w:leftChars="0" w:right="0" w:rightChars="0" w:firstLine="420" w:firstLineChars="200"/>
              <w:rPr>
                <w:color w:val="auto"/>
                <w:highlight w:val="none"/>
              </w:rPr>
            </w:pPr>
            <w:r>
              <w:rPr>
                <w:color w:val="auto"/>
                <w:highlight w:val="none"/>
              </w:rPr>
              <w:t>（1）</w:t>
            </w:r>
            <w:r>
              <w:rPr>
                <w:rFonts w:hint="default"/>
                <w:color w:val="auto"/>
                <w:highlight w:val="none"/>
                <w:lang w:val="en-US" w:eastAsia="zh-CN"/>
              </w:rPr>
              <w:t>排污口规范化管理的基本原则</w:t>
            </w:r>
          </w:p>
          <w:p>
            <w:pPr>
              <w:pageBreakBefore w:val="0"/>
              <w:kinsoku/>
              <w:wordWrap/>
              <w:topLinePunct w:val="0"/>
              <w:bidi w:val="0"/>
              <w:ind w:left="0" w:leftChars="0" w:right="0" w:rightChars="0" w:firstLine="420" w:firstLineChars="200"/>
              <w:rPr>
                <w:rFonts w:hint="default"/>
                <w:color w:val="auto"/>
                <w:highlight w:val="none"/>
                <w:lang w:eastAsia="zh-TW"/>
              </w:rPr>
            </w:pPr>
            <w:r>
              <w:rPr>
                <w:color w:val="auto"/>
                <w:highlight w:val="none"/>
                <w:lang w:eastAsia="zh-TW"/>
              </w:rPr>
              <w:t>①</w:t>
            </w:r>
            <w:r>
              <w:rPr>
                <w:rFonts w:hint="default"/>
                <w:color w:val="auto"/>
                <w:highlight w:val="none"/>
                <w:lang w:eastAsia="zh-TW"/>
              </w:rPr>
              <w:t>向环境排放污染物的排污口必须规范化。</w:t>
            </w:r>
          </w:p>
          <w:p>
            <w:pPr>
              <w:pageBreakBefore w:val="0"/>
              <w:kinsoku/>
              <w:wordWrap/>
              <w:topLinePunct w:val="0"/>
              <w:bidi w:val="0"/>
              <w:ind w:left="0" w:leftChars="0" w:right="0" w:rightChars="0" w:firstLine="420" w:firstLineChars="200"/>
              <w:rPr>
                <w:rFonts w:hint="default"/>
                <w:color w:val="auto"/>
                <w:highlight w:val="none"/>
                <w:lang w:eastAsia="zh-TW"/>
              </w:rPr>
            </w:pPr>
            <w:r>
              <w:rPr>
                <w:color w:val="auto"/>
                <w:highlight w:val="none"/>
                <w:lang w:eastAsia="zh-TW"/>
              </w:rPr>
              <w:t>②</w:t>
            </w:r>
            <w:r>
              <w:rPr>
                <w:rFonts w:hint="default"/>
                <w:color w:val="auto"/>
                <w:highlight w:val="none"/>
                <w:lang w:eastAsia="zh-TW"/>
              </w:rPr>
              <w:t>考虑列入总量控制指标的污染物中排放的COD、NH</w:t>
            </w:r>
            <w:r>
              <w:rPr>
                <w:rFonts w:hint="default"/>
                <w:color w:val="auto"/>
                <w:highlight w:val="none"/>
                <w:vertAlign w:val="subscript"/>
                <w:lang w:eastAsia="zh-TW"/>
              </w:rPr>
              <w:t>3</w:t>
            </w:r>
            <w:r>
              <w:rPr>
                <w:rFonts w:hint="default"/>
                <w:color w:val="auto"/>
                <w:highlight w:val="none"/>
                <w:lang w:eastAsia="zh-TW"/>
              </w:rPr>
              <w:t>-N、TP排放口为管理重点。</w:t>
            </w:r>
          </w:p>
          <w:p>
            <w:pPr>
              <w:pageBreakBefore w:val="0"/>
              <w:kinsoku/>
              <w:wordWrap/>
              <w:topLinePunct w:val="0"/>
              <w:bidi w:val="0"/>
              <w:ind w:left="0" w:leftChars="0" w:right="0" w:rightChars="0" w:firstLine="420" w:firstLineChars="200"/>
              <w:rPr>
                <w:rFonts w:hint="eastAsia"/>
                <w:color w:val="auto"/>
                <w:highlight w:val="none"/>
                <w:lang w:eastAsia="zh-TW"/>
              </w:rPr>
            </w:pPr>
            <w:r>
              <w:rPr>
                <w:color w:val="auto"/>
                <w:highlight w:val="none"/>
                <w:lang w:eastAsia="zh-TW"/>
              </w:rPr>
              <w:t>③</w:t>
            </w:r>
            <w:r>
              <w:rPr>
                <w:rFonts w:hint="default"/>
                <w:color w:val="auto"/>
                <w:highlight w:val="none"/>
                <w:lang w:eastAsia="zh-TW"/>
              </w:rPr>
              <w:t>排污口应便于采样与计量监测，</w:t>
            </w:r>
            <w:r>
              <w:rPr>
                <w:rFonts w:hint="eastAsia"/>
                <w:color w:val="auto"/>
                <w:highlight w:val="none"/>
                <w:lang w:val="en-US" w:eastAsia="zh-TW"/>
              </w:rPr>
              <w:t>便于设施安装及维护，</w:t>
            </w:r>
            <w:r>
              <w:rPr>
                <w:rFonts w:hint="default"/>
                <w:color w:val="auto"/>
                <w:highlight w:val="none"/>
                <w:lang w:eastAsia="zh-TW"/>
              </w:rPr>
              <w:t>便于日常现场监督检查</w:t>
            </w:r>
            <w:r>
              <w:rPr>
                <w:rFonts w:hint="eastAsia"/>
                <w:color w:val="auto"/>
                <w:highlight w:val="none"/>
                <w:lang w:eastAsia="zh-TW"/>
              </w:rPr>
              <w:t>，</w:t>
            </w:r>
            <w:r>
              <w:rPr>
                <w:rFonts w:hint="eastAsia"/>
                <w:color w:val="auto"/>
                <w:highlight w:val="none"/>
                <w:lang w:val="en-US" w:eastAsia="zh-TW"/>
              </w:rPr>
              <w:t>便于公众参与监督管理</w:t>
            </w:r>
            <w:r>
              <w:rPr>
                <w:rFonts w:hint="eastAsia"/>
                <w:color w:val="auto"/>
                <w:highlight w:val="none"/>
                <w:lang w:eastAsia="zh-TW"/>
              </w:rPr>
              <w:t>。</w:t>
            </w:r>
          </w:p>
          <w:p>
            <w:pPr>
              <w:pageBreakBefore w:val="0"/>
              <w:kinsoku/>
              <w:wordWrap/>
              <w:topLinePunct w:val="0"/>
              <w:bidi w:val="0"/>
              <w:ind w:left="0" w:leftChars="0" w:right="0" w:rightChars="0" w:firstLine="420" w:firstLineChars="200"/>
              <w:rPr>
                <w:rFonts w:hint="eastAsia"/>
                <w:color w:val="auto"/>
                <w:highlight w:val="none"/>
                <w:lang w:eastAsia="zh-TW"/>
              </w:rPr>
            </w:pPr>
            <w:r>
              <w:rPr>
                <w:rFonts w:hint="eastAsia"/>
                <w:color w:val="auto"/>
                <w:highlight w:val="none"/>
                <w:lang w:val="en-US" w:eastAsia="zh-CN"/>
              </w:rPr>
              <w:t>④</w:t>
            </w:r>
            <w:r>
              <w:rPr>
                <w:rFonts w:hint="eastAsia"/>
                <w:color w:val="auto"/>
                <w:highlight w:val="none"/>
                <w:lang w:eastAsia="zh-TW"/>
              </w:rPr>
              <w:t>入河排污口宜设置在设计洪水淹没线之上，不应影响河道、堤防、涵闸等水利设施行洪，不应破坏周围环境或造成二次污染。</w:t>
            </w:r>
          </w:p>
          <w:p>
            <w:pPr>
              <w:pageBreakBefore w:val="0"/>
              <w:kinsoku/>
              <w:wordWrap/>
              <w:topLinePunct w:val="0"/>
              <w:bidi w:val="0"/>
              <w:ind w:left="0" w:leftChars="0" w:right="0" w:rightChars="0" w:firstLine="420" w:firstLineChars="200"/>
              <w:rPr>
                <w:rFonts w:hint="default"/>
                <w:color w:val="auto"/>
                <w:highlight w:val="none"/>
                <w:lang w:eastAsia="zh-TW"/>
              </w:rPr>
            </w:pPr>
            <w:r>
              <w:rPr>
                <w:rFonts w:hint="eastAsia"/>
                <w:color w:val="auto"/>
                <w:highlight w:val="none"/>
                <w:lang w:val="en-US" w:eastAsia="zh-CN"/>
              </w:rPr>
              <w:t>⑤</w:t>
            </w:r>
            <w:r>
              <w:rPr>
                <w:rFonts w:hint="eastAsia"/>
                <w:color w:val="auto"/>
                <w:highlight w:val="none"/>
                <w:lang w:eastAsia="zh-TW"/>
              </w:rPr>
              <w:t>应按要求在入河处或监测点处明显位置设置标识牌，公示入河排污口的基本信息和监督管理单位信息等。</w:t>
            </w:r>
          </w:p>
          <w:p>
            <w:pPr>
              <w:pageBreakBefore w:val="0"/>
              <w:kinsoku/>
              <w:wordWrap/>
              <w:topLinePunct w:val="0"/>
              <w:bidi w:val="0"/>
              <w:ind w:left="0" w:leftChars="0" w:right="0" w:rightChars="0" w:firstLine="420" w:firstLineChars="200"/>
              <w:rPr>
                <w:color w:val="auto"/>
                <w:highlight w:val="none"/>
              </w:rPr>
            </w:pPr>
            <w:r>
              <w:rPr>
                <w:rFonts w:hint="eastAsia"/>
                <w:color w:val="auto"/>
                <w:highlight w:val="none"/>
                <w:lang w:val="en-US" w:eastAsia="zh-CN"/>
              </w:rPr>
              <w:t>⑥</w:t>
            </w:r>
            <w:r>
              <w:rPr>
                <w:rFonts w:hint="eastAsia"/>
                <w:color w:val="auto"/>
                <w:highlight w:val="none"/>
                <w:lang w:eastAsia="zh-TW"/>
              </w:rPr>
              <w:t>应对监测点、标识牌、计量和监控设备开展日常维护，确保正常运行。</w:t>
            </w:r>
          </w:p>
          <w:p>
            <w:pPr>
              <w:pageBreakBefore w:val="0"/>
              <w:kinsoku/>
              <w:wordWrap/>
              <w:topLinePunct w:val="0"/>
              <w:bidi w:val="0"/>
              <w:ind w:left="0" w:leftChars="0" w:right="0" w:rightChars="0" w:firstLine="420" w:firstLineChars="200"/>
              <w:rPr>
                <w:color w:val="auto"/>
                <w:highlight w:val="none"/>
                <w:lang w:eastAsia="zh-TW"/>
              </w:rPr>
            </w:pPr>
            <w:r>
              <w:rPr>
                <w:color w:val="auto"/>
                <w:highlight w:val="none"/>
              </w:rPr>
              <w:t>（2）</w:t>
            </w:r>
            <w:r>
              <w:rPr>
                <w:rFonts w:hint="default"/>
                <w:color w:val="auto"/>
                <w:highlight w:val="none"/>
              </w:rPr>
              <w:t>排污口规范化建设要求</w:t>
            </w:r>
          </w:p>
          <w:p>
            <w:pPr>
              <w:pageBreakBefore w:val="0"/>
              <w:kinsoku/>
              <w:wordWrap/>
              <w:topLinePunct w:val="0"/>
              <w:bidi w:val="0"/>
              <w:ind w:left="0" w:leftChars="0" w:right="0" w:rightChars="0" w:firstLine="420" w:firstLineChars="200"/>
              <w:rPr>
                <w:color w:val="auto"/>
                <w:highlight w:val="none"/>
              </w:rPr>
            </w:pPr>
            <w:r>
              <w:rPr>
                <w:rFonts w:hint="default"/>
                <w:color w:val="auto"/>
                <w:highlight w:val="none"/>
                <w:lang w:eastAsia="zh-CN"/>
              </w:rPr>
              <w:t>严格按照《生态环境部办公厅关于印发〈长江、黄河和渤海入海（河）排污口排查整治分类规则（试行）〉〈长江、黄河和渤海入海（河）排污口命名与编码规则（试行）〉〈长江、黄河和渤海入海（河）排污口标志牌设置规则（试行）〉的通知》（环办执法函〔2020〕718号）、《入河排污口管理技术导则》（SL532-2011）</w:t>
            </w:r>
            <w:r>
              <w:rPr>
                <w:rFonts w:hint="eastAsia"/>
                <w:color w:val="auto"/>
                <w:highlight w:val="none"/>
                <w:lang w:eastAsia="zh-CN"/>
              </w:rPr>
              <w:t>、《入河排污口监督管理技术指南规范化建设》（征求意见稿）</w:t>
            </w:r>
            <w:r>
              <w:rPr>
                <w:rFonts w:hint="default"/>
                <w:color w:val="auto"/>
                <w:highlight w:val="none"/>
                <w:lang w:eastAsia="zh-CN"/>
              </w:rPr>
              <w:t>的文件要求进行规范化建设及管理。项目排污口建设及管理应满足以下要求：</w:t>
            </w:r>
          </w:p>
          <w:p>
            <w:pPr>
              <w:pageBreakBefore w:val="0"/>
              <w:kinsoku/>
              <w:wordWrap/>
              <w:topLinePunct w:val="0"/>
              <w:bidi w:val="0"/>
              <w:ind w:left="0" w:leftChars="0" w:right="0" w:rightChars="0" w:firstLine="420" w:firstLineChars="200"/>
              <w:rPr>
                <w:rFonts w:hint="default"/>
                <w:color w:val="auto"/>
                <w:highlight w:val="none"/>
                <w:lang w:eastAsia="zh-CN"/>
              </w:rPr>
            </w:pPr>
            <w:r>
              <w:rPr>
                <w:color w:val="auto"/>
                <w:highlight w:val="none"/>
                <w:lang w:eastAsia="zh-TW"/>
              </w:rPr>
              <w:t>①</w:t>
            </w:r>
            <w:r>
              <w:rPr>
                <w:rFonts w:hint="default"/>
                <w:color w:val="auto"/>
                <w:highlight w:val="none"/>
                <w:lang w:eastAsia="zh-CN"/>
              </w:rPr>
              <w:t>采样设置方案</w:t>
            </w:r>
          </w:p>
          <w:p>
            <w:pPr>
              <w:pageBreakBefore w:val="0"/>
              <w:kinsoku/>
              <w:wordWrap/>
              <w:topLinePunct w:val="0"/>
              <w:bidi w:val="0"/>
              <w:ind w:left="0" w:leftChars="0" w:right="0" w:rightChars="0" w:firstLine="420" w:firstLineChars="200"/>
              <w:rPr>
                <w:rFonts w:hint="default"/>
                <w:color w:val="auto"/>
                <w:highlight w:val="none"/>
                <w:lang w:eastAsia="zh-CN"/>
              </w:rPr>
            </w:pPr>
            <w:r>
              <w:rPr>
                <w:rFonts w:hint="default"/>
                <w:color w:val="auto"/>
                <w:highlight w:val="none"/>
                <w:lang w:eastAsia="zh-CN"/>
              </w:rPr>
              <w:t>应遵循便于采集样品、计量监控、日常现场监督检查、公众参与监督管理的原则，在排污管道入河前设置监测窗口，便于生态环境行政主管部门进行监督性采样监测。安装在线自动监测系统，监测因子主要包括流量、pH、COD、NH</w:t>
            </w:r>
            <w:r>
              <w:rPr>
                <w:rFonts w:hint="default"/>
                <w:color w:val="auto"/>
                <w:highlight w:val="none"/>
                <w:vertAlign w:val="subscript"/>
                <w:lang w:eastAsia="zh-CN"/>
              </w:rPr>
              <w:t>3</w:t>
            </w:r>
            <w:r>
              <w:rPr>
                <w:rFonts w:hint="default"/>
                <w:color w:val="auto"/>
                <w:highlight w:val="none"/>
                <w:lang w:eastAsia="zh-CN"/>
              </w:rPr>
              <w:t>-N、</w:t>
            </w:r>
            <w:r>
              <w:rPr>
                <w:rFonts w:hint="default"/>
                <w:color w:val="auto"/>
                <w:highlight w:val="none"/>
                <w:lang w:val="en-US" w:eastAsia="zh-CN"/>
              </w:rPr>
              <w:t>TP</w:t>
            </w:r>
            <w:r>
              <w:rPr>
                <w:rFonts w:hint="default"/>
                <w:color w:val="auto"/>
                <w:highlight w:val="none"/>
                <w:lang w:eastAsia="zh-CN"/>
              </w:rPr>
              <w:t>等，相关环境数据向社会公开，与相关部门联网，接受监督。</w:t>
            </w:r>
          </w:p>
          <w:p>
            <w:pPr>
              <w:pageBreakBefore w:val="0"/>
              <w:kinsoku/>
              <w:wordWrap/>
              <w:topLinePunct w:val="0"/>
              <w:bidi w:val="0"/>
              <w:ind w:left="0" w:leftChars="0" w:right="0" w:rightChars="0" w:firstLine="420" w:firstLineChars="200"/>
              <w:rPr>
                <w:rFonts w:hint="default"/>
                <w:color w:val="auto"/>
                <w:highlight w:val="none"/>
                <w:lang w:eastAsia="zh-CN"/>
              </w:rPr>
            </w:pPr>
            <w:r>
              <w:rPr>
                <w:color w:val="auto"/>
                <w:highlight w:val="none"/>
                <w:lang w:eastAsia="zh-TW"/>
              </w:rPr>
              <w:t>②</w:t>
            </w:r>
            <w:r>
              <w:rPr>
                <w:rFonts w:hint="default"/>
                <w:color w:val="auto"/>
                <w:highlight w:val="none"/>
                <w:lang w:eastAsia="zh-CN"/>
              </w:rPr>
              <w:t>设立排污口标识标牌</w:t>
            </w:r>
          </w:p>
          <w:p>
            <w:pPr>
              <w:pageBreakBefore w:val="0"/>
              <w:kinsoku/>
              <w:wordWrap/>
              <w:topLinePunct w:val="0"/>
              <w:bidi w:val="0"/>
              <w:ind w:left="0" w:leftChars="0" w:right="0" w:rightChars="0" w:firstLine="420" w:firstLineChars="200"/>
              <w:rPr>
                <w:rFonts w:hint="default"/>
                <w:color w:val="auto"/>
                <w:highlight w:val="none"/>
                <w:lang w:eastAsia="zh-CN"/>
              </w:rPr>
            </w:pPr>
            <w:r>
              <w:rPr>
                <w:rFonts w:hint="default"/>
                <w:color w:val="auto"/>
                <w:highlight w:val="none"/>
                <w:lang w:eastAsia="zh-CN"/>
              </w:rPr>
              <w:t>按照《入河排污口管理技术导则》（SL532-2011）等规定，在厂外入江处外设置相应的标志牌</w:t>
            </w:r>
            <w:r>
              <w:rPr>
                <w:rFonts w:hint="eastAsia"/>
                <w:color w:val="auto"/>
                <w:highlight w:val="none"/>
                <w:lang w:eastAsia="zh-CN"/>
              </w:rPr>
              <w:t>。</w:t>
            </w:r>
            <w:r>
              <w:rPr>
                <w:rFonts w:hint="default"/>
                <w:color w:val="auto"/>
                <w:highlight w:val="none"/>
                <w:lang w:eastAsia="zh-CN"/>
              </w:rPr>
              <w:t>在排污口附近竖立明显的排污口建筑物标示碑、标明入河排污口编号、名称、设置单位、地理位置及经纬度坐标、排入的水功能区名称及水质保护目标、水污染物限制排放总量及浓度情况、明确责任主体及监督单位、电话等</w:t>
            </w:r>
            <w:r>
              <w:rPr>
                <w:rFonts w:hint="eastAsia"/>
                <w:color w:val="auto"/>
                <w:highlight w:val="none"/>
                <w:lang w:eastAsia="zh-CN"/>
              </w:rPr>
              <w:t>；</w:t>
            </w:r>
            <w:r>
              <w:rPr>
                <w:rFonts w:hint="eastAsia"/>
                <w:color w:val="auto"/>
                <w:highlight w:val="none"/>
                <w:lang w:val="en-US" w:eastAsia="zh-CN"/>
              </w:rPr>
              <w:t>或含有前述内容的二维码信息</w:t>
            </w:r>
            <w:r>
              <w:rPr>
                <w:rFonts w:hint="default"/>
                <w:color w:val="auto"/>
                <w:highlight w:val="none"/>
                <w:lang w:eastAsia="zh-CN"/>
              </w:rPr>
              <w:t>。标志牌外形长1.2m、宽0.7m。设立式标志牌，标志牌最下端距地面不小于1.5m。标志牌的背景颜色为蓝色，图案、边框、支架和辅助标志的文字为白色，文字字体为黑体。</w:t>
            </w:r>
          </w:p>
          <w:p>
            <w:pPr>
              <w:pageBreakBefore w:val="0"/>
              <w:kinsoku/>
              <w:wordWrap/>
              <w:topLinePunct w:val="0"/>
              <w:bidi w:val="0"/>
              <w:ind w:left="0" w:leftChars="0" w:right="0" w:rightChars="0" w:firstLine="420" w:firstLineChars="200"/>
              <w:rPr>
                <w:rFonts w:hint="default"/>
                <w:color w:val="auto"/>
                <w:highlight w:val="none"/>
                <w:lang w:eastAsia="zh-CN"/>
              </w:rPr>
            </w:pPr>
            <w:r>
              <w:rPr>
                <w:color w:val="auto"/>
                <w:highlight w:val="none"/>
                <w:lang w:eastAsia="zh-TW"/>
              </w:rPr>
              <w:t>③</w:t>
            </w:r>
            <w:r>
              <w:rPr>
                <w:rFonts w:hint="default"/>
                <w:color w:val="auto"/>
                <w:highlight w:val="none"/>
                <w:lang w:eastAsia="zh-CN"/>
              </w:rPr>
              <w:t>按要求填写《中华人民共和国规范化排污口标志登记证》，并根据登记证的相关内容建立排污口管理档案</w:t>
            </w:r>
            <w:r>
              <w:rPr>
                <w:rFonts w:hint="eastAsia"/>
                <w:color w:val="auto"/>
                <w:highlight w:val="none"/>
                <w:lang w:eastAsia="zh-CN"/>
              </w:rPr>
              <w:t>，明确唯一的入河排污口名称、编码</w:t>
            </w:r>
            <w:r>
              <w:rPr>
                <w:rFonts w:hint="default"/>
                <w:color w:val="auto"/>
                <w:highlight w:val="none"/>
                <w:lang w:eastAsia="zh-CN"/>
              </w:rPr>
              <w:t>。</w:t>
            </w:r>
          </w:p>
          <w:p>
            <w:pPr>
              <w:pageBreakBefore w:val="0"/>
              <w:kinsoku/>
              <w:wordWrap/>
              <w:topLinePunct w:val="0"/>
              <w:bidi w:val="0"/>
              <w:ind w:left="0" w:leftChars="0" w:right="0" w:rightChars="0" w:firstLine="420" w:firstLineChars="200"/>
              <w:rPr>
                <w:rFonts w:hint="default"/>
                <w:color w:val="auto"/>
                <w:highlight w:val="none"/>
                <w:lang w:eastAsia="zh-CN"/>
              </w:rPr>
            </w:pPr>
            <w:r>
              <w:rPr>
                <w:rFonts w:hint="eastAsia"/>
                <w:color w:val="auto"/>
                <w:highlight w:val="none"/>
                <w:lang w:val="en-US" w:eastAsia="zh-CN"/>
              </w:rPr>
              <w:t>④</w:t>
            </w:r>
            <w:r>
              <w:rPr>
                <w:rFonts w:hint="default"/>
                <w:color w:val="auto"/>
                <w:highlight w:val="none"/>
                <w:lang w:eastAsia="zh-CN"/>
              </w:rPr>
              <w:t>规范化排污口有关设施属于环境保护设施，应将其纳入本单位设备管理，并选派责任心强、有专业知识和技能的专、兼职人员对排污口进行管理。</w:t>
            </w:r>
          </w:p>
          <w:p>
            <w:pPr>
              <w:pageBreakBefore w:val="0"/>
              <w:kinsoku/>
              <w:wordWrap/>
              <w:topLinePunct w:val="0"/>
              <w:bidi w:val="0"/>
              <w:ind w:left="0" w:leftChars="0" w:right="0" w:rightChars="0" w:firstLine="420" w:firstLineChars="200"/>
              <w:rPr>
                <w:color w:val="auto"/>
                <w:highlight w:val="none"/>
              </w:rPr>
            </w:pPr>
            <w:r>
              <w:rPr>
                <w:rFonts w:hint="eastAsia"/>
                <w:color w:val="auto"/>
                <w:highlight w:val="none"/>
                <w:lang w:val="en-US" w:eastAsia="zh-CN"/>
              </w:rPr>
              <w:t>⑤加强监管，确保发生事故时项目废污水污染物不会进入前河。加强对废污水的监测和监控，禁止不达标的废污水进入污水排放管道，采取措施做到稳定达标排放和符合总量控制要求。同时，应严格安全管理维护，落实事故防范措施，制定并落实事故状态下的废污水处置应急预案，防止各类污染事故及事故处理过程中的伴生、次生污染，确保发生事故时污染物不会进入前河。</w:t>
            </w:r>
          </w:p>
          <w:p>
            <w:pPr>
              <w:pageBreakBefore w:val="0"/>
              <w:kinsoku/>
              <w:wordWrap/>
              <w:topLinePunct w:val="0"/>
              <w:bidi w:val="0"/>
              <w:ind w:left="0" w:leftChars="0" w:right="0" w:rightChars="0" w:firstLine="420" w:firstLineChars="200"/>
              <w:rPr>
                <w:color w:val="auto"/>
                <w:highlight w:val="none"/>
              </w:rPr>
            </w:pPr>
            <w:r>
              <w:rPr>
                <w:color w:val="auto"/>
                <w:highlight w:val="none"/>
              </w:rPr>
              <w:t>排放口图形标志见图5-1。</w:t>
            </w:r>
          </w:p>
          <w:p>
            <w:pPr>
              <w:pageBreakBefore w:val="0"/>
              <w:kinsoku/>
              <w:wordWrap/>
              <w:topLinePunct w:val="0"/>
              <w:bidi w:val="0"/>
              <w:ind w:left="0" w:leftChars="0" w:right="0" w:rightChars="0"/>
              <w:jc w:val="center"/>
              <w:rPr>
                <w:color w:val="auto"/>
                <w:highlight w:val="none"/>
              </w:rPr>
            </w:pPr>
            <w:r>
              <w:rPr>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2933065</wp:posOffset>
                      </wp:positionH>
                      <wp:positionV relativeFrom="paragraph">
                        <wp:posOffset>167005</wp:posOffset>
                      </wp:positionV>
                      <wp:extent cx="1151890" cy="295275"/>
                      <wp:effectExtent l="0" t="0" r="10160" b="9525"/>
                      <wp:wrapNone/>
                      <wp:docPr id="10" name="文本框 10"/>
                      <wp:cNvGraphicFramePr/>
                      <a:graphic xmlns:a="http://schemas.openxmlformats.org/drawingml/2006/main">
                        <a:graphicData uri="http://schemas.microsoft.com/office/word/2010/wordprocessingShape">
                          <wps:wsp>
                            <wps:cNvSpPr txBox="1"/>
                            <wps:spPr>
                              <a:xfrm>
                                <a:off x="4363085" y="1483995"/>
                                <a:ext cx="1151890" cy="295275"/>
                              </a:xfrm>
                              <a:prstGeom prst="rect">
                                <a:avLst/>
                              </a:prstGeom>
                              <a:solidFill>
                                <a:srgbClr val="009F55"/>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color w:val="FFFFFF" w:themeColor="background1"/>
                                      <w:w w:val="150"/>
                                      <w:sz w:val="24"/>
                                      <w:szCs w:val="24"/>
                                      <w:lang w:val="en-US" w:eastAsia="zh-CN"/>
                                      <w14:textFill>
                                        <w14:solidFill>
                                          <w14:schemeClr w14:val="bg1"/>
                                        </w14:solidFill>
                                      </w14:textFill>
                                    </w:rPr>
                                  </w:pPr>
                                  <w:r>
                                    <w:rPr>
                                      <w:rFonts w:hint="eastAsia" w:ascii="黑体" w:hAnsi="黑体" w:eastAsia="黑体" w:cs="黑体"/>
                                      <w:color w:val="FFFFFF" w:themeColor="background1"/>
                                      <w:spacing w:val="1"/>
                                      <w:w w:val="92"/>
                                      <w:kern w:val="0"/>
                                      <w:sz w:val="24"/>
                                      <w:szCs w:val="24"/>
                                      <w:fitText w:val="1050" w:id="761015011"/>
                                      <w:lang w:val="en-US" w:eastAsia="zh-CN"/>
                                      <w14:textFill>
                                        <w14:solidFill>
                                          <w14:schemeClr w14:val="bg1"/>
                                        </w14:solidFill>
                                      </w14:textFill>
                                    </w:rPr>
                                    <w:t>XXX排污</w:t>
                                  </w:r>
                                  <w:r>
                                    <w:rPr>
                                      <w:rFonts w:hint="eastAsia" w:ascii="黑体" w:hAnsi="黑体" w:eastAsia="黑体" w:cs="黑体"/>
                                      <w:color w:val="FFFFFF" w:themeColor="background1"/>
                                      <w:spacing w:val="0"/>
                                      <w:w w:val="92"/>
                                      <w:kern w:val="0"/>
                                      <w:sz w:val="24"/>
                                      <w:szCs w:val="24"/>
                                      <w:fitText w:val="1050" w:id="761015011"/>
                                      <w:lang w:val="en-US" w:eastAsia="zh-CN"/>
                                      <w14:textFill>
                                        <w14:solidFill>
                                          <w14:schemeClr w14:val="bg1"/>
                                        </w14:solidFill>
                                      </w14:textFill>
                                    </w:rPr>
                                    <w:t>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95pt;margin-top:13.15pt;height:23.25pt;width:90.7pt;z-index:251671552;mso-width-relative:page;mso-height-relative:page;" fillcolor="#009F55" filled="t" stroked="f" coordsize="21600,21600" o:gfxdata="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V&#10;9bFQ2AAAAAkBAAAPAAAAAAAAAAEAIAAAACIAAABkcnMvZG93bnJldi54bWxQSwECFAAUAAAACACH&#10;TuJA9BEyNV0CAACdBAAADgAAAAAAAAABACAAAAAnAQAAZHJzL2Uyb0RvYy54bWxQSwUGAAAAAAYA&#10;BgBZAQAA9gUAAAAA&#10;">
                      <v:fill on="t" focussize="0,0"/>
                      <v:stroke on="f" weight="0.5pt"/>
                      <v:imagedata o:title=""/>
                      <o:lock v:ext="edit" aspectratio="f"/>
                      <v:textbox>
                        <w:txbxContent>
                          <w:p>
                            <w:pPr>
                              <w:jc w:val="center"/>
                              <w:rPr>
                                <w:rFonts w:hint="eastAsia" w:ascii="黑体" w:hAnsi="黑体" w:eastAsia="黑体" w:cs="黑体"/>
                                <w:color w:val="FFFFFF" w:themeColor="background1"/>
                                <w:w w:val="150"/>
                                <w:sz w:val="24"/>
                                <w:szCs w:val="24"/>
                                <w:lang w:val="en-US" w:eastAsia="zh-CN"/>
                                <w14:textFill>
                                  <w14:solidFill>
                                    <w14:schemeClr w14:val="bg1"/>
                                  </w14:solidFill>
                                </w14:textFill>
                              </w:rPr>
                            </w:pPr>
                            <w:r>
                              <w:rPr>
                                <w:rFonts w:hint="eastAsia" w:ascii="黑体" w:hAnsi="黑体" w:eastAsia="黑体" w:cs="黑体"/>
                                <w:color w:val="FFFFFF" w:themeColor="background1"/>
                                <w:spacing w:val="1"/>
                                <w:w w:val="92"/>
                                <w:kern w:val="0"/>
                                <w:sz w:val="24"/>
                                <w:szCs w:val="24"/>
                                <w:fitText w:val="1050" w:id="761015011"/>
                                <w:lang w:val="en-US" w:eastAsia="zh-CN"/>
                                <w14:textFill>
                                  <w14:solidFill>
                                    <w14:schemeClr w14:val="bg1"/>
                                  </w14:solidFill>
                                </w14:textFill>
                              </w:rPr>
                              <w:t>XXX排污</w:t>
                            </w:r>
                            <w:r>
                              <w:rPr>
                                <w:rFonts w:hint="eastAsia" w:ascii="黑体" w:hAnsi="黑体" w:eastAsia="黑体" w:cs="黑体"/>
                                <w:color w:val="FFFFFF" w:themeColor="background1"/>
                                <w:spacing w:val="0"/>
                                <w:w w:val="92"/>
                                <w:kern w:val="0"/>
                                <w:sz w:val="24"/>
                                <w:szCs w:val="24"/>
                                <w:fitText w:val="1050" w:id="761015011"/>
                                <w:lang w:val="en-US" w:eastAsia="zh-CN"/>
                                <w14:textFill>
                                  <w14:solidFill>
                                    <w14:schemeClr w14:val="bg1"/>
                                  </w14:solidFill>
                                </w14:textFill>
                              </w:rPr>
                              <w:t>口</w:t>
                            </w:r>
                          </w:p>
                        </w:txbxContent>
                      </v:textbox>
                    </v:shape>
                  </w:pict>
                </mc:Fallback>
              </mc:AlternateContent>
            </w:r>
            <w:r>
              <w:rPr>
                <w:rFonts w:hint="default" w:ascii="Times New Roman" w:hAnsi="Times New Roman" w:cs="Times New Roman"/>
                <w:color w:val="auto"/>
                <w:highlight w:val="none"/>
              </w:rPr>
              <w:drawing>
                <wp:inline distT="0" distB="0" distL="114300" distR="114300">
                  <wp:extent cx="3143885" cy="1873250"/>
                  <wp:effectExtent l="0" t="0" r="18415" b="12700"/>
                  <wp:docPr id="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pic:cNvPicPr>
                            <a:picLocks noChangeAspect="1"/>
                          </pic:cNvPicPr>
                        </pic:nvPicPr>
                        <pic:blipFill>
                          <a:blip r:embed="rId36"/>
                          <a:stretch>
                            <a:fillRect/>
                          </a:stretch>
                        </pic:blipFill>
                        <pic:spPr>
                          <a:xfrm>
                            <a:off x="0" y="0"/>
                            <a:ext cx="3143885" cy="1873250"/>
                          </a:xfrm>
                          <a:prstGeom prst="rect">
                            <a:avLst/>
                          </a:prstGeom>
                          <a:noFill/>
                          <a:ln>
                            <a:noFill/>
                          </a:ln>
                        </pic:spPr>
                      </pic:pic>
                    </a:graphicData>
                  </a:graphic>
                </wp:inline>
              </w:drawing>
            </w:r>
          </w:p>
          <w:p>
            <w:pPr>
              <w:pageBreakBefore w:val="0"/>
              <w:tabs>
                <w:tab w:val="left" w:pos="420"/>
              </w:tabs>
              <w:kinsoku/>
              <w:wordWrap/>
              <w:topLinePunct w:val="0"/>
              <w:bidi w:val="0"/>
              <w:ind w:left="0" w:leftChars="0" w:right="0" w:rightChars="0"/>
              <w:jc w:val="center"/>
              <w:rPr>
                <w:rFonts w:eastAsia="黑体"/>
                <w:color w:val="auto"/>
                <w:szCs w:val="22"/>
                <w:highlight w:val="none"/>
              </w:rPr>
            </w:pPr>
            <w:r>
              <w:rPr>
                <w:rFonts w:eastAsia="黑体"/>
                <w:color w:val="auto"/>
                <w:szCs w:val="22"/>
                <w:highlight w:val="none"/>
              </w:rPr>
              <w:t>图5-1</w:t>
            </w:r>
            <w:r>
              <w:rPr>
                <w:rFonts w:hint="eastAsia" w:eastAsia="黑体"/>
                <w:color w:val="auto"/>
                <w:szCs w:val="22"/>
                <w:highlight w:val="none"/>
              </w:rPr>
              <w:t xml:space="preserve"> </w:t>
            </w:r>
            <w:r>
              <w:rPr>
                <w:rFonts w:eastAsia="黑体"/>
                <w:color w:val="auto"/>
                <w:szCs w:val="22"/>
                <w:highlight w:val="none"/>
              </w:rPr>
              <w:t>排放口图形标志牌</w:t>
            </w:r>
          </w:p>
          <w:p>
            <w:pPr>
              <w:pageBreakBefore w:val="0"/>
              <w:kinsoku/>
              <w:wordWrap/>
              <w:topLinePunct w:val="0"/>
              <w:bidi w:val="0"/>
              <w:ind w:left="0" w:leftChars="0" w:right="0" w:rightChars="0" w:firstLine="422" w:firstLineChars="200"/>
              <w:rPr>
                <w:rFonts w:hint="default"/>
                <w:b/>
                <w:bCs/>
                <w:color w:val="auto"/>
                <w:highlight w:val="none"/>
                <w:lang w:val="en-US" w:eastAsia="zh-CN"/>
              </w:rPr>
            </w:pPr>
            <w:r>
              <w:rPr>
                <w:rFonts w:hint="eastAsia"/>
                <w:b/>
                <w:bCs/>
                <w:color w:val="auto"/>
                <w:highlight w:val="none"/>
                <w:lang w:val="en-US" w:eastAsia="zh-CN"/>
              </w:rPr>
              <w:t>3、危废暂存间设置规范</w:t>
            </w:r>
          </w:p>
          <w:p>
            <w:pPr>
              <w:pageBreakBefore w:val="0"/>
              <w:kinsoku/>
              <w:wordWrap/>
              <w:topLinePunct w:val="0"/>
              <w:bidi w:val="0"/>
              <w:ind w:left="0" w:leftChars="0" w:right="0" w:rightChars="0" w:firstLine="420" w:firstLineChars="200"/>
              <w:rPr>
                <w:color w:val="auto"/>
                <w:highlight w:val="none"/>
              </w:rPr>
            </w:pPr>
            <w:r>
              <w:rPr>
                <w:rFonts w:hint="eastAsia"/>
                <w:color w:val="auto"/>
                <w:highlight w:val="none"/>
                <w:lang w:val="en-US" w:eastAsia="zh-CN"/>
              </w:rPr>
              <w:t>根据《危险废物识别标准设置技术规范》（HJ1276-2022），</w:t>
            </w:r>
            <w:r>
              <w:rPr>
                <w:color w:val="auto"/>
                <w:highlight w:val="none"/>
              </w:rPr>
              <w:t>项目危险废物暂存间应按下述要求进行设置：</w:t>
            </w:r>
          </w:p>
          <w:p>
            <w:pPr>
              <w:pageBreakBefore w:val="0"/>
              <w:kinsoku/>
              <w:wordWrap/>
              <w:topLinePunct w:val="0"/>
              <w:bidi w:val="0"/>
              <w:ind w:left="0" w:leftChars="0" w:right="0" w:rightChars="0"/>
              <w:jc w:val="center"/>
              <w:rPr>
                <w:color w:val="auto"/>
                <w:highlight w:val="none"/>
              </w:rPr>
            </w:pPr>
            <w:r>
              <w:rPr>
                <w:rFonts w:eastAsia="黑体"/>
                <w:color w:val="auto"/>
                <w:szCs w:val="22"/>
                <w:highlight w:val="none"/>
              </w:rPr>
              <w:t>表5-1</w:t>
            </w:r>
            <w:r>
              <w:rPr>
                <w:rFonts w:hint="eastAsia" w:eastAsia="黑体"/>
                <w:color w:val="auto"/>
                <w:szCs w:val="22"/>
                <w:highlight w:val="none"/>
              </w:rPr>
              <w:t xml:space="preserve"> </w:t>
            </w:r>
            <w:r>
              <w:rPr>
                <w:rFonts w:eastAsia="黑体"/>
                <w:color w:val="auto"/>
                <w:szCs w:val="22"/>
                <w:highlight w:val="none"/>
              </w:rPr>
              <w:t>项目危险废物张贴标准</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2695"/>
              <w:gridCol w:w="1235"/>
              <w:gridCol w:w="70"/>
              <w:gridCol w:w="1170"/>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2" w:hRule="atLeast"/>
              </w:trPr>
              <w:tc>
                <w:tcPr>
                  <w:tcW w:w="3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t>适用于危险废物暂存间外张贴标牌</w:t>
                  </w:r>
                </w:p>
              </w:tc>
              <w:tc>
                <w:tcPr>
                  <w:tcW w:w="232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auto"/>
                      <w:sz w:val="18"/>
                      <w:szCs w:val="18"/>
                      <w:highlight w:val="none"/>
                      <w:lang w:eastAsia="zh-CN"/>
                    </w:rPr>
                  </w:pPr>
                  <w:r>
                    <w:rPr>
                      <w:color w:val="auto"/>
                      <w:sz w:val="18"/>
                      <w:szCs w:val="18"/>
                      <w:highlight w:val="none"/>
                    </w:rPr>
                    <w:drawing>
                      <wp:inline distT="0" distB="0" distL="114300" distR="114300">
                        <wp:extent cx="2361565" cy="1534795"/>
                        <wp:effectExtent l="0" t="0" r="635" b="825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7"/>
                                <a:stretch>
                                  <a:fillRect/>
                                </a:stretch>
                              </pic:blipFill>
                              <pic:spPr>
                                <a:xfrm>
                                  <a:off x="0" y="0"/>
                                  <a:ext cx="2361565" cy="15347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附着式危险废物设施标志设置示意图</w:t>
                  </w:r>
                </w:p>
              </w:tc>
              <w:tc>
                <w:tcPr>
                  <w:tcW w:w="2323"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sz w:val="18"/>
                      <w:szCs w:val="18"/>
                      <w:highlight w:val="none"/>
                      <w:lang w:val="en-US" w:eastAsia="zh-CN"/>
                    </w:rPr>
                  </w:pPr>
                  <w:r>
                    <w:rPr>
                      <w:color w:val="auto"/>
                      <w:sz w:val="18"/>
                      <w:szCs w:val="18"/>
                      <w:highlight w:val="none"/>
                    </w:rPr>
                    <w:drawing>
                      <wp:inline distT="0" distB="0" distL="114300" distR="114300">
                        <wp:extent cx="2233930" cy="1189355"/>
                        <wp:effectExtent l="0" t="0" r="13970" b="1079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8"/>
                                <a:stretch>
                                  <a:fillRect/>
                                </a:stretch>
                              </pic:blipFill>
                              <pic:spPr>
                                <a:xfrm>
                                  <a:off x="0" y="0"/>
                                  <a:ext cx="2233930" cy="1189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rFonts w:hint="eastAsia"/>
                      <w:color w:val="auto"/>
                      <w:sz w:val="18"/>
                      <w:szCs w:val="18"/>
                      <w:highlight w:val="none"/>
                      <w:lang w:val="en-US" w:eastAsia="zh-CN"/>
                    </w:rPr>
                    <w:t>柱式危险废物设施标志设置示意图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color w:val="auto"/>
                      <w:sz w:val="18"/>
                      <w:szCs w:val="18"/>
                      <w:highlight w:val="none"/>
                      <w:lang w:val="en-US" w:eastAsia="zh-CN"/>
                    </w:rPr>
                  </w:pPr>
                  <w:r>
                    <w:rPr>
                      <w:color w:val="auto"/>
                      <w:sz w:val="18"/>
                      <w:szCs w:val="18"/>
                      <w:highlight w:val="none"/>
                    </w:rPr>
                    <w:t>适用于危险废物暂存间</w:t>
                  </w:r>
                  <w:r>
                    <w:rPr>
                      <w:rFonts w:hint="eastAsia"/>
                      <w:color w:val="auto"/>
                      <w:sz w:val="18"/>
                      <w:szCs w:val="18"/>
                      <w:highlight w:val="none"/>
                      <w:lang w:val="en-US" w:eastAsia="zh-CN"/>
                    </w:rPr>
                    <w:t>内分区张贴标牌</w:t>
                  </w:r>
                </w:p>
              </w:tc>
              <w:tc>
                <w:tcPr>
                  <w:tcW w:w="159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drawing>
                      <wp:inline distT="0" distB="0" distL="114300" distR="114300">
                        <wp:extent cx="1576705" cy="1214120"/>
                        <wp:effectExtent l="0" t="0" r="4445" b="508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9"/>
                                <a:stretch>
                                  <a:fillRect/>
                                </a:stretch>
                              </pic:blipFill>
                              <pic:spPr>
                                <a:xfrm>
                                  <a:off x="0" y="0"/>
                                  <a:ext cx="1576705" cy="12141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附着式危险废物贮存分区标志设置示意图</w:t>
                  </w:r>
                </w:p>
              </w:tc>
              <w:tc>
                <w:tcPr>
                  <w:tcW w:w="1462"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drawing>
                      <wp:inline distT="0" distB="0" distL="114300" distR="114300">
                        <wp:extent cx="1453515" cy="1150620"/>
                        <wp:effectExtent l="0" t="0" r="13335" b="1143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40"/>
                                <a:stretch>
                                  <a:fillRect/>
                                </a:stretch>
                              </pic:blipFill>
                              <pic:spPr>
                                <a:xfrm>
                                  <a:off x="0" y="0"/>
                                  <a:ext cx="1453515" cy="115062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柱式危险废物贮存分区标志设置示意图</w:t>
                  </w:r>
                </w:p>
              </w:tc>
              <w:tc>
                <w:tcPr>
                  <w:tcW w:w="1590" w:type="pc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color w:val="auto"/>
                      <w:sz w:val="18"/>
                      <w:szCs w:val="18"/>
                      <w:highlight w:val="none"/>
                    </w:rPr>
                  </w:pPr>
                  <w:r>
                    <w:rPr>
                      <w:color w:val="auto"/>
                      <w:sz w:val="18"/>
                      <w:szCs w:val="18"/>
                      <w:highlight w:val="none"/>
                    </w:rPr>
                    <w:drawing>
                      <wp:inline distT="0" distB="0" distL="114300" distR="114300">
                        <wp:extent cx="1633220" cy="1393825"/>
                        <wp:effectExtent l="0" t="0" r="5080" b="1587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41"/>
                                <a:stretch>
                                  <a:fillRect/>
                                </a:stretch>
                              </pic:blipFill>
                              <pic:spPr>
                                <a:xfrm>
                                  <a:off x="0" y="0"/>
                                  <a:ext cx="1633220" cy="13938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危险废物贮存分区标志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t>适用于危险废物存放区域的危险废物标签式样</w:t>
                  </w:r>
                </w:p>
              </w:tc>
              <w:tc>
                <w:tcPr>
                  <w:tcW w:w="4645"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drawing>
                      <wp:inline distT="0" distB="0" distL="114300" distR="114300">
                        <wp:extent cx="2359025" cy="2372360"/>
                        <wp:effectExtent l="0" t="0" r="3175" b="8890"/>
                        <wp:docPr id="22" name="图片 22" descr="168973881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89738811852"/>
                                <pic:cNvPicPr>
                                  <a:picLocks noChangeAspect="1"/>
                                </pic:cNvPicPr>
                              </pic:nvPicPr>
                              <pic:blipFill>
                                <a:blip r:embed="rId42"/>
                                <a:stretch>
                                  <a:fillRect/>
                                </a:stretch>
                              </pic:blipFill>
                              <pic:spPr>
                                <a:xfrm>
                                  <a:off x="0" y="0"/>
                                  <a:ext cx="2359025" cy="2372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rFonts w:hint="eastAsia"/>
                      <w:color w:val="auto"/>
                      <w:sz w:val="18"/>
                      <w:szCs w:val="18"/>
                      <w:highlight w:val="none"/>
                      <w:lang w:val="en-US" w:eastAsia="zh-CN"/>
                    </w:rPr>
                    <w:t>危险废物标签样式示意图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t>适用于危险废物</w:t>
                  </w:r>
                  <w:r>
                    <w:rPr>
                      <w:rFonts w:hint="eastAsia"/>
                      <w:color w:val="auto"/>
                      <w:sz w:val="18"/>
                      <w:szCs w:val="18"/>
                      <w:highlight w:val="none"/>
                      <w:lang w:val="en-US" w:eastAsia="zh-CN"/>
                    </w:rPr>
                    <w:t>贮存设施的</w:t>
                  </w:r>
                  <w:r>
                    <w:rPr>
                      <w:color w:val="auto"/>
                      <w:sz w:val="18"/>
                      <w:szCs w:val="18"/>
                      <w:highlight w:val="none"/>
                    </w:rPr>
                    <w:t>危险废物标签式样</w:t>
                  </w:r>
                </w:p>
              </w:tc>
              <w:tc>
                <w:tcPr>
                  <w:tcW w:w="236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drawing>
                      <wp:inline distT="0" distB="0" distL="114300" distR="114300">
                        <wp:extent cx="2401570" cy="5175250"/>
                        <wp:effectExtent l="0" t="0" r="17780" b="635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43"/>
                                <a:stretch>
                                  <a:fillRect/>
                                </a:stretch>
                              </pic:blipFill>
                              <pic:spPr>
                                <a:xfrm>
                                  <a:off x="0" y="0"/>
                                  <a:ext cx="2401570" cy="5175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横版危险废物贮存、利用、处置设施标志样式示意图</w:t>
                  </w:r>
                </w:p>
              </w:tc>
              <w:tc>
                <w:tcPr>
                  <w:tcW w:w="228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sz w:val="18"/>
                      <w:szCs w:val="18"/>
                      <w:highlight w:val="none"/>
                    </w:rPr>
                  </w:pPr>
                  <w:r>
                    <w:rPr>
                      <w:color w:val="auto"/>
                      <w:sz w:val="18"/>
                      <w:szCs w:val="18"/>
                      <w:highlight w:val="none"/>
                    </w:rPr>
                    <w:drawing>
                      <wp:inline distT="0" distB="0" distL="114300" distR="114300">
                        <wp:extent cx="2313940" cy="3521075"/>
                        <wp:effectExtent l="0" t="0" r="10160" b="317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44"/>
                                <a:stretch>
                                  <a:fillRect/>
                                </a:stretch>
                              </pic:blipFill>
                              <pic:spPr>
                                <a:xfrm>
                                  <a:off x="0" y="0"/>
                                  <a:ext cx="2313940" cy="3521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竖版危险废物贮存、利用、处置设施标志样式示意图</w:t>
                  </w:r>
                </w:p>
              </w:tc>
            </w:tr>
          </w:tbl>
          <w:p>
            <w:pPr>
              <w:pageBreakBefore w:val="0"/>
              <w:kinsoku/>
              <w:wordWrap/>
              <w:overflowPunct w:val="0"/>
              <w:topLinePunct w:val="0"/>
              <w:autoSpaceDE w:val="0"/>
              <w:autoSpaceDN w:val="0"/>
              <w:bidi w:val="0"/>
              <w:adjustRightInd w:val="0"/>
              <w:ind w:left="0" w:leftChars="0" w:right="0" w:rightChars="0" w:firstLine="422" w:firstLineChars="200"/>
              <w:textAlignment w:val="baseline"/>
              <w:rPr>
                <w:b/>
                <w:bCs/>
                <w:color w:val="auto"/>
                <w:kern w:val="0"/>
                <w:highlight w:val="none"/>
              </w:rPr>
            </w:pPr>
            <w:r>
              <w:rPr>
                <w:rFonts w:hint="eastAsia"/>
                <w:b/>
                <w:bCs/>
                <w:color w:val="auto"/>
                <w:kern w:val="0"/>
                <w:highlight w:val="none"/>
                <w:lang w:val="en-US" w:eastAsia="zh-CN"/>
              </w:rPr>
              <w:t>4</w:t>
            </w:r>
            <w:r>
              <w:rPr>
                <w:b/>
                <w:bCs/>
                <w:color w:val="auto"/>
                <w:kern w:val="0"/>
                <w:highlight w:val="none"/>
              </w:rPr>
              <w:t>、监测设备</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（1）项目化验室常规设备</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环境监测组配备常规的分析仪器及设备，可承担公司进出水水质及地表水水质的测试工作，厂界处恶臭无组织排放的定期监测，可委托当地环境监测站承担。环境监测组监测仪器应由专人负责管理和使用，以防污染和损坏，保证仪器的稳定正常，并应定期请相关部门进行检测和计量认证，以确保仪器设备的精确性。</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（2）在线监测设施</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在污水处理厂进水口及出水口处分别设置1套在线监测系统，对项目进出水水质、水量进行实时监测。</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进水在线监测：</w:t>
            </w:r>
            <w:r>
              <w:rPr>
                <w:bCs/>
                <w:color w:val="auto"/>
                <w:highlight w:val="none"/>
              </w:rPr>
              <w:t>流量、COD、NH</w:t>
            </w:r>
            <w:r>
              <w:rPr>
                <w:bCs/>
                <w:color w:val="auto"/>
                <w:highlight w:val="none"/>
                <w:vertAlign w:val="subscript"/>
              </w:rPr>
              <w:t>3</w:t>
            </w:r>
            <w:r>
              <w:rPr>
                <w:bCs/>
                <w:color w:val="auto"/>
                <w:highlight w:val="none"/>
              </w:rPr>
              <w:t>-N、总磷；</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出水在线监测：</w:t>
            </w:r>
            <w:r>
              <w:rPr>
                <w:bCs/>
                <w:color w:val="auto"/>
                <w:highlight w:val="none"/>
              </w:rPr>
              <w:t>流量、pH、水温、COD、NH</w:t>
            </w:r>
            <w:r>
              <w:rPr>
                <w:bCs/>
                <w:color w:val="auto"/>
                <w:highlight w:val="none"/>
                <w:vertAlign w:val="subscript"/>
              </w:rPr>
              <w:t>3</w:t>
            </w:r>
            <w:r>
              <w:rPr>
                <w:bCs/>
                <w:color w:val="auto"/>
                <w:highlight w:val="none"/>
              </w:rPr>
              <w:t>-N、总磷、总氮</w:t>
            </w:r>
            <w:r>
              <w:rPr>
                <w:color w:val="auto"/>
                <w:kern w:val="0"/>
                <w:highlight w:val="none"/>
              </w:rPr>
              <w:t>。</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（3）监测机构设置</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除在线监测系统外，项目运营期应按照环境监测计划对污水处理厂废气、废水、噪声等进行例行监测。</w:t>
            </w:r>
          </w:p>
          <w:p>
            <w:pPr>
              <w:pageBreakBefore w:val="0"/>
              <w:tabs>
                <w:tab w:val="left" w:pos="420"/>
              </w:tabs>
              <w:kinsoku/>
              <w:wordWrap/>
              <w:topLinePunct w:val="0"/>
              <w:bidi w:val="0"/>
              <w:ind w:left="0" w:leftChars="0" w:right="0" w:rightChars="0"/>
              <w:jc w:val="center"/>
              <w:rPr>
                <w:rFonts w:eastAsia="黑体"/>
                <w:color w:val="auto"/>
                <w:szCs w:val="22"/>
                <w:highlight w:val="none"/>
              </w:rPr>
            </w:pPr>
            <w:r>
              <w:rPr>
                <w:rFonts w:eastAsia="黑体"/>
                <w:color w:val="auto"/>
                <w:szCs w:val="22"/>
                <w:highlight w:val="none"/>
              </w:rPr>
              <w:t>表5-2</w:t>
            </w:r>
            <w:r>
              <w:rPr>
                <w:rFonts w:hint="eastAsia" w:eastAsia="黑体"/>
                <w:color w:val="auto"/>
                <w:szCs w:val="22"/>
                <w:highlight w:val="none"/>
              </w:rPr>
              <w:t xml:space="preserve"> </w:t>
            </w:r>
            <w:r>
              <w:rPr>
                <w:rFonts w:eastAsia="黑体"/>
                <w:color w:val="auto"/>
                <w:szCs w:val="22"/>
                <w:highlight w:val="none"/>
              </w:rPr>
              <w:t>项目运营期环境监测计划表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93"/>
              <w:gridCol w:w="3480"/>
              <w:gridCol w:w="1093"/>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项目</w:t>
                  </w:r>
                </w:p>
              </w:tc>
              <w:tc>
                <w:tcPr>
                  <w:tcW w:w="646"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监测点位</w:t>
                  </w:r>
                </w:p>
              </w:tc>
              <w:tc>
                <w:tcPr>
                  <w:tcW w:w="2057"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监测项目</w:t>
                  </w:r>
                </w:p>
              </w:tc>
              <w:tc>
                <w:tcPr>
                  <w:tcW w:w="646"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监测频次</w:t>
                  </w:r>
                </w:p>
              </w:tc>
              <w:tc>
                <w:tcPr>
                  <w:tcW w:w="1221"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废气</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厂界</w:t>
                  </w: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臭气浓度、硫化氢、氨</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1221"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《城镇污水处理厂污染物排放标准》（GB18918-2002）表4厂界（防护带边缘）废气排放最高允许浓度中二级标准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甲烷（厂区最高体积浓度）</w:t>
                  </w: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甲烷</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1次/年</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进出水质监测</w:t>
                  </w:r>
                </w:p>
              </w:tc>
              <w:tc>
                <w:tcPr>
                  <w:tcW w:w="646"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进水总管</w:t>
                  </w: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流量、化学需氧量、氨氮</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自动监测</w:t>
                  </w:r>
                </w:p>
              </w:tc>
              <w:tc>
                <w:tcPr>
                  <w:tcW w:w="1221"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Merge w:val="continue"/>
                  <w:vAlign w:val="center"/>
                </w:tcPr>
                <w:p>
                  <w:pPr>
                    <w:pageBreakBefore w:val="0"/>
                    <w:kinsoku/>
                    <w:wordWrap/>
                    <w:topLinePunct w:val="0"/>
                    <w:bidi w:val="0"/>
                    <w:ind w:left="0" w:leftChars="0" w:right="0" w:rightChars="0"/>
                    <w:jc w:val="center"/>
                    <w:rPr>
                      <w:color w:val="auto"/>
                      <w:highlight w:val="none"/>
                    </w:rPr>
                  </w:pP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总磷、总氮*</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1次/日</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废水总排放口</w:t>
                  </w: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流量、pH值、水温、化学需氧量、氨氮、总磷、总氮</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自动监测</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Merge w:val="continue"/>
                  <w:vAlign w:val="center"/>
                </w:tcPr>
                <w:p>
                  <w:pPr>
                    <w:pageBreakBefore w:val="0"/>
                    <w:kinsoku/>
                    <w:wordWrap/>
                    <w:topLinePunct w:val="0"/>
                    <w:bidi w:val="0"/>
                    <w:ind w:left="0" w:leftChars="0" w:right="0" w:rightChars="0"/>
                    <w:jc w:val="center"/>
                    <w:rPr>
                      <w:color w:val="auto"/>
                      <w:highlight w:val="none"/>
                    </w:rPr>
                  </w:pP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悬浮物、色度、五日生化需氧量、动植物油、石油类、阴离子表面活性剂、粪大肠菌群</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1次/季度</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Merge w:val="continue"/>
                  <w:vAlign w:val="center"/>
                </w:tcPr>
                <w:p>
                  <w:pPr>
                    <w:pageBreakBefore w:val="0"/>
                    <w:kinsoku/>
                    <w:wordWrap/>
                    <w:topLinePunct w:val="0"/>
                    <w:bidi w:val="0"/>
                    <w:ind w:left="0" w:leftChars="0" w:right="0" w:rightChars="0"/>
                    <w:jc w:val="center"/>
                    <w:rPr>
                      <w:color w:val="auto"/>
                      <w:highlight w:val="none"/>
                    </w:rPr>
                  </w:pP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总镉、总铬、总汞、总铅、总砷、六价铬</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Merge w:val="continue"/>
                  <w:vAlign w:val="center"/>
                </w:tcPr>
                <w:p>
                  <w:pPr>
                    <w:pageBreakBefore w:val="0"/>
                    <w:kinsoku/>
                    <w:wordWrap/>
                    <w:topLinePunct w:val="0"/>
                    <w:bidi w:val="0"/>
                    <w:ind w:left="0" w:leftChars="0" w:right="0" w:rightChars="0"/>
                    <w:jc w:val="center"/>
                    <w:rPr>
                      <w:color w:val="auto"/>
                      <w:highlight w:val="none"/>
                    </w:rPr>
                  </w:pP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烷基汞</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Merge w:val="continue"/>
                  <w:vAlign w:val="center"/>
                </w:tcPr>
                <w:p>
                  <w:pPr>
                    <w:pageBreakBefore w:val="0"/>
                    <w:kinsoku/>
                    <w:wordWrap/>
                    <w:topLinePunct w:val="0"/>
                    <w:bidi w:val="0"/>
                    <w:ind w:left="0" w:leftChars="0" w:right="0" w:rightChars="0"/>
                    <w:jc w:val="center"/>
                    <w:rPr>
                      <w:color w:val="auto"/>
                      <w:highlight w:val="none"/>
                    </w:rPr>
                  </w:pPr>
                </w:p>
              </w:tc>
              <w:tc>
                <w:tcPr>
                  <w:tcW w:w="646" w:type="pct"/>
                  <w:vMerge w:val="continue"/>
                  <w:vAlign w:val="center"/>
                </w:tcPr>
                <w:p>
                  <w:pPr>
                    <w:pageBreakBefore w:val="0"/>
                    <w:kinsoku/>
                    <w:wordWrap/>
                    <w:topLinePunct w:val="0"/>
                    <w:bidi w:val="0"/>
                    <w:ind w:left="0" w:leftChars="0" w:right="0" w:rightChars="0"/>
                    <w:jc w:val="center"/>
                    <w:rPr>
                      <w:color w:val="auto"/>
                      <w:highlight w:val="none"/>
                    </w:rPr>
                  </w:pP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GB18918的表3中纳入许可的指标</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w:t>
                  </w:r>
                </w:p>
              </w:tc>
              <w:tc>
                <w:tcPr>
                  <w:tcW w:w="1221" w:type="pct"/>
                  <w:vMerge w:val="continue"/>
                  <w:vAlign w:val="center"/>
                </w:tcPr>
                <w:p>
                  <w:pPr>
                    <w:pageBreakBefore w:val="0"/>
                    <w:kinsoku/>
                    <w:wordWrap/>
                    <w:topLinePunct w:val="0"/>
                    <w:bidi w:val="0"/>
                    <w:ind w:left="0" w:leftChars="0" w:right="0" w:rightChars="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8"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噪声</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四周厂界外1m处</w:t>
                  </w:r>
                </w:p>
              </w:tc>
              <w:tc>
                <w:tcPr>
                  <w:tcW w:w="2057" w:type="pct"/>
                  <w:vAlign w:val="center"/>
                </w:tcPr>
                <w:p>
                  <w:pPr>
                    <w:pageBreakBefore w:val="0"/>
                    <w:kinsoku/>
                    <w:wordWrap/>
                    <w:topLinePunct w:val="0"/>
                    <w:bidi w:val="0"/>
                    <w:ind w:left="0" w:leftChars="0" w:right="0" w:rightChars="0"/>
                    <w:jc w:val="center"/>
                    <w:rPr>
                      <w:color w:val="auto"/>
                      <w:highlight w:val="none"/>
                    </w:rPr>
                  </w:pPr>
                  <w:r>
                    <w:rPr>
                      <w:color w:val="auto"/>
                      <w:highlight w:val="none"/>
                    </w:rPr>
                    <w:t>Leq（A）</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1次/半年，昼夜各一次</w:t>
                  </w:r>
                </w:p>
              </w:tc>
              <w:tc>
                <w:tcPr>
                  <w:tcW w:w="122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5"/>
                  <w:vAlign w:val="center"/>
                </w:tcPr>
                <w:p>
                  <w:pPr>
                    <w:pageBreakBefore w:val="0"/>
                    <w:kinsoku/>
                    <w:wordWrap/>
                    <w:topLinePunct w:val="0"/>
                    <w:bidi w:val="0"/>
                    <w:ind w:left="0" w:leftChars="0" w:right="0" w:rightChars="0"/>
                    <w:rPr>
                      <w:color w:val="auto"/>
                      <w:highlight w:val="none"/>
                    </w:rPr>
                  </w:pPr>
                  <w:r>
                    <w:rPr>
                      <w:color w:val="auto"/>
                      <w:highlight w:val="none"/>
                    </w:rPr>
                    <w:t>*总氮自动监测技术规范发布实施前，按日监测。</w:t>
                  </w:r>
                </w:p>
              </w:tc>
            </w:tr>
          </w:tbl>
          <w:p>
            <w:pPr>
              <w:pageBreakBefore w:val="0"/>
              <w:kinsoku/>
              <w:wordWrap/>
              <w:overflowPunct w:val="0"/>
              <w:topLinePunct w:val="0"/>
              <w:autoSpaceDE w:val="0"/>
              <w:autoSpaceDN w:val="0"/>
              <w:bidi w:val="0"/>
              <w:adjustRightInd w:val="0"/>
              <w:ind w:left="0" w:leftChars="0" w:right="0" w:rightChars="0" w:firstLine="422" w:firstLineChars="200"/>
              <w:textAlignment w:val="baseline"/>
              <w:rPr>
                <w:b/>
                <w:bCs/>
                <w:color w:val="auto"/>
                <w:kern w:val="0"/>
                <w:highlight w:val="none"/>
              </w:rPr>
            </w:pPr>
            <w:r>
              <w:rPr>
                <w:rFonts w:hint="eastAsia"/>
                <w:b/>
                <w:bCs/>
                <w:color w:val="auto"/>
                <w:kern w:val="0"/>
                <w:highlight w:val="none"/>
                <w:lang w:val="en-US" w:eastAsia="zh-CN"/>
              </w:rPr>
              <w:t>5</w:t>
            </w:r>
            <w:r>
              <w:rPr>
                <w:b/>
                <w:bCs/>
                <w:color w:val="auto"/>
                <w:kern w:val="0"/>
                <w:highlight w:val="none"/>
              </w:rPr>
              <w:t>、排污许可</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持证者应按照《排污许可证管理暂行规定》申请变更、延续或者补发排污许可证。</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在排污许可证有效期内，下列事项发生变化的，排污单位应当在规定时间内向原核发机关提出变更排污许可证的申请。</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（一）排污单位名称、注册地址、法定代表人或者实际负责人等正本中载明的基本信息发生变更之日起二十日内。</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（二）第十条中许可事项发生变更之日前二十日内。</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（三）排污单位在原场址内实施新改扩建项目应当开展环境影响评价的，在通过环境影响评价审批或者备案后，产生实际排污行为之前二十日内。</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（四）国家或地方实施新污染物排放标准的，核发机关应主动通知排污单位进行变更，排污单位在接到通知后二十日内申请变更。</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（五）政府相关文件或与其他企业达成协议，进行区域替代实现减量排放的，应在文件或协议规定时限内提出变更申请。</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（六）需要进行变更的其他情形。</w:t>
            </w:r>
          </w:p>
          <w:p>
            <w:pPr>
              <w:pageBreakBefore w:val="0"/>
              <w:kinsoku/>
              <w:wordWrap/>
              <w:overflowPunct w:val="0"/>
              <w:topLinePunct w:val="0"/>
              <w:autoSpaceDE w:val="0"/>
              <w:autoSpaceDN w:val="0"/>
              <w:bidi w:val="0"/>
              <w:adjustRightInd w:val="0"/>
              <w:ind w:left="0" w:leftChars="0" w:right="0" w:rightChars="0" w:firstLine="422" w:firstLineChars="200"/>
              <w:textAlignment w:val="baseline"/>
              <w:rPr>
                <w:b/>
                <w:bCs/>
                <w:color w:val="auto"/>
                <w:kern w:val="0"/>
                <w:highlight w:val="none"/>
              </w:rPr>
            </w:pPr>
            <w:r>
              <w:rPr>
                <w:rFonts w:hint="eastAsia"/>
                <w:b/>
                <w:bCs/>
                <w:color w:val="auto"/>
                <w:kern w:val="0"/>
                <w:highlight w:val="none"/>
                <w:lang w:val="en-US" w:eastAsia="zh-CN"/>
              </w:rPr>
              <w:t>6</w:t>
            </w:r>
            <w:r>
              <w:rPr>
                <w:b/>
                <w:bCs/>
                <w:color w:val="auto"/>
                <w:kern w:val="0"/>
                <w:highlight w:val="none"/>
              </w:rPr>
              <w:t>、环保设施竣工验收管理</w:t>
            </w:r>
          </w:p>
          <w:p>
            <w:pPr>
              <w:pageBreakBefore w:val="0"/>
              <w:kinsoku/>
              <w:wordWrap/>
              <w:overflowPunct w:val="0"/>
              <w:topLinePunct w:val="0"/>
              <w:autoSpaceDE w:val="0"/>
              <w:autoSpaceDN w:val="0"/>
              <w:bidi w:val="0"/>
              <w:adjustRightInd w:val="0"/>
              <w:ind w:left="0" w:leftChars="0" w:right="0" w:rightChars="0" w:firstLine="422" w:firstLineChars="200"/>
              <w:textAlignment w:val="baseline"/>
              <w:rPr>
                <w:rFonts w:hint="eastAsia" w:eastAsia="宋体"/>
                <w:b/>
                <w:bCs/>
                <w:color w:val="auto"/>
                <w:kern w:val="0"/>
                <w:highlight w:val="none"/>
                <w:lang w:eastAsia="zh-CN"/>
              </w:rPr>
            </w:pPr>
            <w:r>
              <w:rPr>
                <w:b/>
                <w:bCs/>
                <w:color w:val="auto"/>
                <w:kern w:val="0"/>
                <w:highlight w:val="none"/>
              </w:rPr>
              <w:t>环保工程设计要求</w:t>
            </w:r>
            <w:r>
              <w:rPr>
                <w:rFonts w:hint="eastAsia"/>
                <w:b/>
                <w:bCs/>
                <w:color w:val="auto"/>
                <w:kern w:val="0"/>
                <w:highlight w:val="none"/>
                <w:lang w:eastAsia="zh-CN"/>
              </w:rPr>
              <w:t>：</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1）按照环评报告表提出的污染防治措施，完善本项目的环保工程设计，并针对本项目的特点，重点做好恶臭的无组织排放污染防治，废水的处理以及污泥的处置与综合利用设计工作，确保工程建成投产后“三废”做到达标排放。</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（2）核准环保投资概算，加增环保资金，要求做到专款专用，环保投资及时到位。</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（3）主体工程完工后，其配套建设的环境保护设施必须与主体工程同时完工；如需进行试生产，其配套建设的环境保护设施必须与主体工程同时投入运行。</w:t>
            </w:r>
          </w:p>
          <w:p>
            <w:pPr>
              <w:pageBreakBefore w:val="0"/>
              <w:kinsoku/>
              <w:wordWrap/>
              <w:overflowPunct w:val="0"/>
              <w:topLinePunct w:val="0"/>
              <w:autoSpaceDE w:val="0"/>
              <w:autoSpaceDN w:val="0"/>
              <w:bidi w:val="0"/>
              <w:adjustRightInd w:val="0"/>
              <w:ind w:left="0" w:leftChars="0" w:right="0" w:rightChars="0" w:firstLine="422" w:firstLineChars="200"/>
              <w:textAlignment w:val="baseline"/>
              <w:rPr>
                <w:rFonts w:hint="eastAsia" w:eastAsia="宋体"/>
                <w:b/>
                <w:bCs/>
                <w:color w:val="auto"/>
                <w:kern w:val="0"/>
                <w:highlight w:val="none"/>
                <w:lang w:eastAsia="zh-CN"/>
              </w:rPr>
            </w:pPr>
            <w:r>
              <w:rPr>
                <w:b/>
                <w:bCs/>
                <w:color w:val="auto"/>
                <w:kern w:val="0"/>
                <w:highlight w:val="none"/>
              </w:rPr>
              <w:t>环保设施验收建议</w:t>
            </w:r>
            <w:r>
              <w:rPr>
                <w:rFonts w:hint="eastAsia"/>
                <w:b/>
                <w:bCs/>
                <w:color w:val="auto"/>
                <w:kern w:val="0"/>
                <w:highlight w:val="none"/>
                <w:lang w:eastAsia="zh-CN"/>
              </w:rPr>
              <w:t>：</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（1）验收范围</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①与本项目有关的各项环境保护设施，包括为污染防治和保护环境所建成或配套的工程、设备、装置和监测手段，各项生态保护设施等。</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②本报告表和有关文件规定应采取的其他各项环保措施。</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（2）验收清单</w:t>
            </w:r>
          </w:p>
          <w:p>
            <w:pPr>
              <w:pageBreakBefore w:val="0"/>
              <w:kinsoku/>
              <w:wordWrap/>
              <w:overflowPunct w:val="0"/>
              <w:topLinePunct w:val="0"/>
              <w:autoSpaceDE w:val="0"/>
              <w:autoSpaceDN w:val="0"/>
              <w:bidi w:val="0"/>
              <w:adjustRightInd w:val="0"/>
              <w:ind w:left="0" w:leftChars="0" w:right="0" w:rightChars="0" w:firstLine="420" w:firstLineChars="200"/>
              <w:textAlignment w:val="baseline"/>
              <w:rPr>
                <w:color w:val="auto"/>
                <w:kern w:val="0"/>
                <w:highlight w:val="none"/>
              </w:rPr>
            </w:pPr>
            <w:r>
              <w:rPr>
                <w:color w:val="auto"/>
                <w:kern w:val="0"/>
                <w:highlight w:val="none"/>
              </w:rPr>
              <w:t>建设单位在工程投产后正常生产工况下达到设计规模75%以上时，应按照《建设项目环境保护设施竣工验收管理规定》中的有关要求，及时向项目环保主管部门提出环保设施竣工验收申请，进行验收。</w:t>
            </w:r>
          </w:p>
          <w:p>
            <w:pPr>
              <w:pageBreakBefore w:val="0"/>
              <w:kinsoku/>
              <w:wordWrap/>
              <w:topLinePunct w:val="0"/>
              <w:bidi w:val="0"/>
              <w:ind w:left="0" w:leftChars="0" w:right="0" w:rightChars="0" w:firstLine="420" w:firstLineChars="200"/>
              <w:jc w:val="center"/>
              <w:rPr>
                <w:color w:val="auto"/>
                <w:highlight w:val="none"/>
              </w:rPr>
            </w:pPr>
          </w:p>
          <w:p>
            <w:pPr>
              <w:pageBreakBefore w:val="0"/>
              <w:kinsoku/>
              <w:wordWrap/>
              <w:topLinePunct w:val="0"/>
              <w:bidi w:val="0"/>
              <w:ind w:left="0" w:leftChars="0" w:right="0" w:rightChars="0" w:firstLine="420" w:firstLineChars="200"/>
              <w:jc w:val="center"/>
              <w:rPr>
                <w:color w:val="auto"/>
                <w:highlight w:val="none"/>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color w:val="auto"/>
                <w:highlight w:val="none"/>
                <w:lang w:eastAsia="zh-CN"/>
              </w:rPr>
            </w:pPr>
          </w:p>
          <w:p>
            <w:pPr>
              <w:pageBreakBefore w:val="0"/>
              <w:kinsoku/>
              <w:wordWrap/>
              <w:topLinePunct w:val="0"/>
              <w:bidi w:val="0"/>
              <w:ind w:left="0" w:leftChars="0" w:right="0" w:rightChars="0" w:firstLine="420" w:firstLineChars="200"/>
              <w:jc w:val="center"/>
              <w:rPr>
                <w:rFonts w:hint="eastAsia" w:eastAsia="宋体"/>
                <w:color w:val="auto"/>
                <w:highlight w:val="none"/>
                <w:lang w:eastAsia="zh-CN"/>
              </w:rPr>
            </w:pPr>
          </w:p>
        </w:tc>
      </w:tr>
    </w:tbl>
    <w:p>
      <w:pPr>
        <w:pStyle w:val="22"/>
        <w:pageBreakBefore w:val="0"/>
        <w:kinsoku/>
        <w:wordWrap/>
        <w:topLinePunct w:val="0"/>
        <w:bidi w:val="0"/>
        <w:spacing w:after="0" w:line="360" w:lineRule="auto"/>
        <w:ind w:left="0" w:leftChars="0" w:right="0" w:rightChars="0" w:firstLine="0"/>
        <w:jc w:val="center"/>
        <w:rPr>
          <w:color w:val="auto"/>
          <w:highlight w:val="none"/>
        </w:rPr>
        <w:sectPr>
          <w:pgSz w:w="11906" w:h="16838"/>
          <w:pgMar w:top="1440" w:right="1134" w:bottom="1440" w:left="1134" w:header="851" w:footer="992" w:gutter="0"/>
          <w:cols w:space="0" w:num="1"/>
          <w:docGrid w:type="lines" w:linePitch="312" w:charSpace="0"/>
        </w:sectPr>
      </w:pPr>
    </w:p>
    <w:p>
      <w:pPr>
        <w:pStyle w:val="34"/>
        <w:pageBreakBefore w:val="0"/>
        <w:kinsoku/>
        <w:wordWrap/>
        <w:topLinePunct w:val="0"/>
        <w:bidi w:val="0"/>
        <w:ind w:left="0" w:leftChars="0" w:right="0" w:rightChars="0"/>
        <w:jc w:val="center"/>
        <w:rPr>
          <w:rFonts w:eastAsia="黑体"/>
          <w:b w:val="0"/>
          <w:color w:val="auto"/>
          <w:sz w:val="30"/>
          <w:szCs w:val="30"/>
          <w:highlight w:val="none"/>
        </w:rPr>
      </w:pPr>
      <w:r>
        <w:rPr>
          <w:rFonts w:eastAsia="黑体"/>
          <w:b w:val="0"/>
          <w:color w:val="auto"/>
          <w:sz w:val="30"/>
          <w:szCs w:val="30"/>
          <w:highlight w:val="none"/>
        </w:rPr>
        <w:t>六、结论</w:t>
      </w:r>
    </w:p>
    <w:tbl>
      <w:tblPr>
        <w:tblStyle w:val="23"/>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shd w:val="clear" w:color="auto" w:fill="auto"/>
          </w:tcPr>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宣汉县南坝镇城市生活污水处理厂提标改造及二期工程建设符合规划要求；符合国家和地方的产业政策；经采取本环评提出的各项污染防治措施后，本项目所产生的各种污染物能够达标排放，不会对周围环境产生明显的不利影响，建设方认真落实本环评建议的各项污染防治措施后、切实做到“三同时”制度、强化管理，则本项目对周围环境影响较小，从环境保护角度上讲是可行的。</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上述结论是在建设方提供的项目规模及相应排污情况基础上作出的评价结论，如果建设方的规模及相应排污情况有所变化，建设方应按环保部门的要求另行申报审批。</w:t>
            </w: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color w:val="auto"/>
                <w:sz w:val="24"/>
                <w:szCs w:val="24"/>
                <w:highlight w:val="none"/>
              </w:rPr>
            </w:pPr>
          </w:p>
          <w:p>
            <w:pPr>
              <w:pageBreakBefore w:val="0"/>
              <w:kinsoku/>
              <w:wordWrap/>
              <w:topLinePunct w:val="0"/>
              <w:bidi w:val="0"/>
              <w:spacing w:line="360" w:lineRule="auto"/>
              <w:ind w:left="0" w:leftChars="0" w:right="0" w:rightChars="0" w:firstLine="480" w:firstLineChars="200"/>
              <w:rPr>
                <w:rFonts w:hint="eastAsia"/>
                <w:color w:val="auto"/>
                <w:sz w:val="24"/>
                <w:szCs w:val="24"/>
                <w:highlight w:val="none"/>
                <w:lang w:eastAsia="zh-CN"/>
              </w:rPr>
            </w:pPr>
          </w:p>
          <w:p>
            <w:pPr>
              <w:pageBreakBefore w:val="0"/>
              <w:kinsoku/>
              <w:wordWrap/>
              <w:topLinePunct w:val="0"/>
              <w:bidi w:val="0"/>
              <w:spacing w:line="360" w:lineRule="auto"/>
              <w:ind w:left="0" w:leftChars="0" w:right="0" w:rightChars="0" w:firstLine="480" w:firstLineChars="200"/>
              <w:rPr>
                <w:rFonts w:hint="eastAsia" w:eastAsia="宋体"/>
                <w:color w:val="auto"/>
                <w:sz w:val="24"/>
                <w:szCs w:val="24"/>
                <w:highlight w:val="none"/>
                <w:lang w:eastAsia="zh-CN"/>
              </w:rPr>
            </w:pPr>
          </w:p>
          <w:p>
            <w:pPr>
              <w:pageBreakBefore w:val="0"/>
              <w:kinsoku/>
              <w:wordWrap/>
              <w:topLinePunct w:val="0"/>
              <w:bidi w:val="0"/>
              <w:spacing w:line="360" w:lineRule="auto"/>
              <w:ind w:left="0" w:leftChars="0" w:right="0" w:rightChars="0"/>
              <w:rPr>
                <w:color w:val="auto"/>
                <w:sz w:val="24"/>
                <w:szCs w:val="24"/>
                <w:highlight w:val="none"/>
              </w:rPr>
            </w:pPr>
          </w:p>
        </w:tc>
      </w:tr>
    </w:tbl>
    <w:p>
      <w:pPr>
        <w:pageBreakBefore w:val="0"/>
        <w:kinsoku/>
        <w:wordWrap/>
        <w:topLinePunct w:val="0"/>
        <w:bidi w:val="0"/>
        <w:spacing w:line="360" w:lineRule="auto"/>
        <w:ind w:left="0" w:leftChars="0" w:right="0" w:rightChars="0"/>
        <w:rPr>
          <w:color w:val="auto"/>
          <w:highlight w:val="none"/>
        </w:rPr>
      </w:pPr>
    </w:p>
    <w:p>
      <w:pPr>
        <w:sectPr>
          <w:pgSz w:w="11906" w:h="16838"/>
          <w:pgMar w:top="1440" w:right="1134" w:bottom="1440" w:left="1134" w:header="851" w:footer="992" w:gutter="0"/>
          <w:cols w:space="0" w:num="1"/>
          <w:docGrid w:type="lines" w:linePitch="312" w:charSpace="0"/>
        </w:sectPr>
      </w:pPr>
    </w:p>
    <w:p>
      <w:pPr>
        <w:pStyle w:val="34"/>
        <w:pageBreakBefore w:val="0"/>
        <w:kinsoku/>
        <w:wordWrap/>
        <w:topLinePunct w:val="0"/>
        <w:bidi w:val="0"/>
        <w:ind w:left="0" w:leftChars="0" w:right="0" w:rightChars="0"/>
        <w:rPr>
          <w:rFonts w:eastAsia="黑体"/>
          <w:b w:val="0"/>
          <w:color w:val="auto"/>
          <w:sz w:val="30"/>
          <w:szCs w:val="30"/>
          <w:highlight w:val="none"/>
        </w:rPr>
      </w:pPr>
      <w:r>
        <w:rPr>
          <w:rFonts w:eastAsia="黑体"/>
          <w:b w:val="0"/>
          <w:color w:val="auto"/>
          <w:sz w:val="30"/>
          <w:szCs w:val="30"/>
          <w:highlight w:val="none"/>
        </w:rPr>
        <w:t>附表</w:t>
      </w:r>
    </w:p>
    <w:p>
      <w:pPr>
        <w:pageBreakBefore w:val="0"/>
        <w:kinsoku/>
        <w:wordWrap/>
        <w:topLinePunct w:val="0"/>
        <w:bidi w:val="0"/>
        <w:spacing w:line="360" w:lineRule="auto"/>
        <w:ind w:left="0" w:leftChars="0" w:right="0" w:rightChars="0"/>
        <w:jc w:val="center"/>
        <w:rPr>
          <w:rFonts w:eastAsia="方正小标宋_GBK"/>
          <w:color w:val="auto"/>
          <w:sz w:val="36"/>
          <w:szCs w:val="36"/>
          <w:highlight w:val="none"/>
        </w:rPr>
      </w:pPr>
      <w:r>
        <w:rPr>
          <w:rFonts w:eastAsia="方正小标宋_GBK"/>
          <w:color w:val="auto"/>
          <w:sz w:val="36"/>
          <w:szCs w:val="36"/>
          <w:highlight w:val="none"/>
        </w:rPr>
        <w:t>建设项目污染物排放量汇总表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627"/>
        <w:gridCol w:w="1612"/>
        <w:gridCol w:w="1789"/>
        <w:gridCol w:w="1801"/>
        <w:gridCol w:w="1801"/>
        <w:gridCol w:w="1801"/>
        <w:gridCol w:w="1911"/>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tcBorders>
              <w:tl2br w:val="single" w:color="auto" w:sz="4" w:space="0"/>
            </w:tcBorders>
            <w:vAlign w:val="center"/>
          </w:tcPr>
          <w:p>
            <w:pPr>
              <w:pageBreakBefore w:val="0"/>
              <w:kinsoku/>
              <w:wordWrap/>
              <w:topLinePunct w:val="0"/>
              <w:bidi w:val="0"/>
              <w:ind w:left="0" w:leftChars="0" w:right="0" w:rightChars="0"/>
              <w:jc w:val="right"/>
              <w:rPr>
                <w:color w:val="auto"/>
                <w:highlight w:val="none"/>
              </w:rPr>
            </w:pPr>
            <w:r>
              <w:rPr>
                <w:color w:val="auto"/>
                <w:highlight w:val="none"/>
              </w:rPr>
              <w:t>项目</w:t>
            </w:r>
          </w:p>
          <w:p>
            <w:pPr>
              <w:pageBreakBefore w:val="0"/>
              <w:kinsoku/>
              <w:wordWrap/>
              <w:topLinePunct w:val="0"/>
              <w:bidi w:val="0"/>
              <w:ind w:left="0" w:leftChars="0" w:right="0" w:rightChars="0"/>
              <w:rPr>
                <w:color w:val="auto"/>
                <w:highlight w:val="none"/>
              </w:rPr>
            </w:pPr>
            <w:r>
              <w:rPr>
                <w:color w:val="auto"/>
                <w:highlight w:val="none"/>
              </w:rPr>
              <w:t>分类</w:t>
            </w: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污染物名称</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现有工程</w:t>
            </w:r>
          </w:p>
          <w:p>
            <w:pPr>
              <w:pageBreakBefore w:val="0"/>
              <w:kinsoku/>
              <w:wordWrap/>
              <w:topLinePunct w:val="0"/>
              <w:bidi w:val="0"/>
              <w:ind w:left="0" w:leftChars="0" w:right="0" w:rightChars="0"/>
              <w:jc w:val="center"/>
              <w:rPr>
                <w:color w:val="auto"/>
                <w:highlight w:val="none"/>
              </w:rPr>
            </w:pPr>
            <w:r>
              <w:rPr>
                <w:color w:val="auto"/>
                <w:highlight w:val="none"/>
              </w:rPr>
              <w:t>排放量（固体废物产生量）①</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现有工程</w:t>
            </w:r>
          </w:p>
          <w:p>
            <w:pPr>
              <w:pageBreakBefore w:val="0"/>
              <w:kinsoku/>
              <w:wordWrap/>
              <w:topLinePunct w:val="0"/>
              <w:bidi w:val="0"/>
              <w:ind w:left="0" w:leftChars="0" w:right="0" w:rightChars="0"/>
              <w:jc w:val="center"/>
              <w:rPr>
                <w:color w:val="auto"/>
                <w:highlight w:val="none"/>
              </w:rPr>
            </w:pPr>
            <w:r>
              <w:rPr>
                <w:color w:val="auto"/>
                <w:highlight w:val="none"/>
              </w:rPr>
              <w:t>许可排放量②</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在建工程</w:t>
            </w:r>
          </w:p>
          <w:p>
            <w:pPr>
              <w:pageBreakBefore w:val="0"/>
              <w:kinsoku/>
              <w:wordWrap/>
              <w:topLinePunct w:val="0"/>
              <w:bidi w:val="0"/>
              <w:ind w:left="0" w:leftChars="0" w:right="0" w:rightChars="0"/>
              <w:jc w:val="center"/>
              <w:rPr>
                <w:color w:val="auto"/>
                <w:highlight w:val="none"/>
              </w:rPr>
            </w:pPr>
            <w:r>
              <w:rPr>
                <w:color w:val="auto"/>
                <w:highlight w:val="none"/>
              </w:rPr>
              <w:t>排放量（固体废物产生量）③</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本项目</w:t>
            </w:r>
          </w:p>
          <w:p>
            <w:pPr>
              <w:pageBreakBefore w:val="0"/>
              <w:kinsoku/>
              <w:wordWrap/>
              <w:topLinePunct w:val="0"/>
              <w:bidi w:val="0"/>
              <w:ind w:left="0" w:leftChars="0" w:right="0" w:rightChars="0"/>
              <w:jc w:val="center"/>
              <w:rPr>
                <w:color w:val="auto"/>
                <w:highlight w:val="none"/>
              </w:rPr>
            </w:pPr>
            <w:r>
              <w:rPr>
                <w:color w:val="auto"/>
                <w:highlight w:val="none"/>
              </w:rPr>
              <w:t>排放量（固体废物产生量）④</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以新带老削减量</w:t>
            </w:r>
          </w:p>
          <w:p>
            <w:pPr>
              <w:pageBreakBefore w:val="0"/>
              <w:kinsoku/>
              <w:wordWrap/>
              <w:topLinePunct w:val="0"/>
              <w:bidi w:val="0"/>
              <w:ind w:left="0" w:leftChars="0" w:right="0" w:rightChars="0"/>
              <w:jc w:val="center"/>
              <w:rPr>
                <w:color w:val="auto"/>
                <w:highlight w:val="none"/>
              </w:rPr>
            </w:pPr>
            <w:r>
              <w:rPr>
                <w:color w:val="auto"/>
                <w:highlight w:val="none"/>
              </w:rPr>
              <w:t>（新建项目不填）⑤</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本项目建成后</w:t>
            </w:r>
          </w:p>
          <w:p>
            <w:pPr>
              <w:pageBreakBefore w:val="0"/>
              <w:kinsoku/>
              <w:wordWrap/>
              <w:topLinePunct w:val="0"/>
              <w:bidi w:val="0"/>
              <w:ind w:left="0" w:leftChars="0" w:right="0" w:rightChars="0"/>
              <w:rPr>
                <w:color w:val="auto"/>
                <w:highlight w:val="none"/>
              </w:rPr>
            </w:pPr>
            <w:r>
              <w:rPr>
                <w:color w:val="auto"/>
                <w:highlight w:val="none"/>
              </w:rPr>
              <w:t>全厂排放量（固体废物产生量）⑥</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变化量</w:t>
            </w:r>
          </w:p>
          <w:p>
            <w:pPr>
              <w:pageBreakBefore w:val="0"/>
              <w:kinsoku/>
              <w:wordWrap/>
              <w:topLinePunct w:val="0"/>
              <w:bidi w:val="0"/>
              <w:ind w:left="0" w:leftChars="0" w:right="0" w:rightChars="0"/>
              <w:jc w:val="center"/>
              <w:rPr>
                <w:color w:val="auto"/>
                <w:highlight w:val="none"/>
              </w:rPr>
            </w:pPr>
            <w:r>
              <w:rPr>
                <w:color w:val="auto"/>
                <w:highlight w:val="none"/>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废气</w:t>
            </w: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氨气</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0.290</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0.687</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0.189</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0.788</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硫化氢</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0.005</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0.011</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0.003</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0.014</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废水</w:t>
            </w: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COD</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219.00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6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365.00</w:t>
            </w:r>
          </w:p>
        </w:tc>
        <w:tc>
          <w:tcPr>
            <w:tcW w:w="3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w:t>
            </w:r>
            <w:r>
              <w:rPr>
                <w:color w:val="auto"/>
                <w:kern w:val="0"/>
                <w:highlight w:val="none"/>
                <w:lang w:bidi="ar"/>
              </w:rPr>
              <w:t>146.00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BOD</w:t>
            </w:r>
            <w:r>
              <w:rPr>
                <w:color w:val="auto"/>
                <w:highlight w:val="none"/>
                <w:vertAlign w:val="subscript"/>
              </w:rPr>
              <w:t>5</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6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3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SS</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6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3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bCs/>
                <w:color w:val="auto"/>
                <w:highlight w:val="none"/>
              </w:rPr>
              <w:t>NH</w:t>
            </w:r>
            <w:r>
              <w:rPr>
                <w:bCs/>
                <w:color w:val="auto"/>
                <w:highlight w:val="none"/>
                <w:vertAlign w:val="subscript"/>
              </w:rPr>
              <w:t>3</w:t>
            </w:r>
            <w:r>
              <w:rPr>
                <w:bCs/>
                <w:color w:val="auto"/>
                <w:highlight w:val="none"/>
              </w:rPr>
              <w:t>-N</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29.20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w:t>
            </w:r>
          </w:p>
        </w:tc>
        <w:tc>
          <w:tcPr>
            <w:tcW w:w="6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3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w:t>
            </w:r>
            <w:r>
              <w:rPr>
                <w:color w:val="auto"/>
                <w:kern w:val="0"/>
                <w:highlight w:val="none"/>
                <w:lang w:bidi="ar"/>
              </w:rPr>
              <w:t>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TN</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54.75</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6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109.50</w:t>
            </w:r>
          </w:p>
        </w:tc>
        <w:tc>
          <w:tcPr>
            <w:tcW w:w="3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highlight w:val="none"/>
              </w:rPr>
              <w:t>+</w:t>
            </w: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TP</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5"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1.83</w:t>
            </w:r>
          </w:p>
        </w:tc>
        <w:tc>
          <w:tcPr>
            <w:tcW w:w="609"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1.83</w:t>
            </w:r>
          </w:p>
        </w:tc>
        <w:tc>
          <w:tcPr>
            <w:tcW w:w="6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w:t>
            </w:r>
          </w:p>
        </w:tc>
        <w:tc>
          <w:tcPr>
            <w:tcW w:w="346" w:type="pct"/>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一般工业</w:t>
            </w:r>
          </w:p>
          <w:p>
            <w:pPr>
              <w:pageBreakBefore w:val="0"/>
              <w:kinsoku/>
              <w:wordWrap/>
              <w:topLinePunct w:val="0"/>
              <w:bidi w:val="0"/>
              <w:ind w:left="0" w:leftChars="0" w:right="0" w:rightChars="0"/>
              <w:jc w:val="center"/>
              <w:rPr>
                <w:color w:val="auto"/>
                <w:highlight w:val="none"/>
              </w:rPr>
            </w:pPr>
            <w:r>
              <w:rPr>
                <w:color w:val="auto"/>
                <w:highlight w:val="none"/>
              </w:rPr>
              <w:t>固体废物</w:t>
            </w: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生活垃圾</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3.65</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3.65</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餐厨垃圾</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0.73</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0.73</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栅渣及沉砂</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350.4</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350.4</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700.8</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污泥</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547.5</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328.5</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876.0</w:t>
            </w:r>
          </w:p>
        </w:tc>
        <w:tc>
          <w:tcPr>
            <w:tcW w:w="346"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+328.5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废包装材料</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0.1</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346" w:type="pct"/>
            <w:vAlign w:val="center"/>
          </w:tcPr>
          <w:p>
            <w:pPr>
              <w:pageBreakBefore w:val="0"/>
              <w:kinsoku/>
              <w:wordWrap/>
              <w:topLinePunct w:val="0"/>
              <w:bidi w:val="0"/>
              <w:ind w:left="0" w:leftChars="0" w:right="0" w:rightChars="0"/>
              <w:jc w:val="center"/>
              <w:rPr>
                <w:color w:val="auto"/>
                <w:kern w:val="0"/>
                <w:highlight w:val="none"/>
                <w:lang w:bidi="ar"/>
              </w:rPr>
            </w:pPr>
            <w:r>
              <w:rPr>
                <w:color w:val="auto"/>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restart"/>
            <w:vAlign w:val="center"/>
          </w:tcPr>
          <w:p>
            <w:pPr>
              <w:pageBreakBefore w:val="0"/>
              <w:kinsoku/>
              <w:wordWrap/>
              <w:topLinePunct w:val="0"/>
              <w:bidi w:val="0"/>
              <w:ind w:left="0" w:leftChars="0" w:right="0" w:rightChars="0"/>
              <w:jc w:val="center"/>
              <w:rPr>
                <w:color w:val="auto"/>
                <w:highlight w:val="none"/>
              </w:rPr>
            </w:pPr>
            <w:r>
              <w:rPr>
                <w:color w:val="auto"/>
                <w:highlight w:val="none"/>
              </w:rPr>
              <w:t>危险废物</w:t>
            </w: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化验废液</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1.35</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1.35</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废机油</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c>
          <w:tcPr>
            <w:tcW w:w="60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c>
          <w:tcPr>
            <w:tcW w:w="60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w:t>
            </w:r>
          </w:p>
        </w:tc>
        <w:tc>
          <w:tcPr>
            <w:tcW w:w="6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34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Merge w:val="continue"/>
            <w:vAlign w:val="center"/>
          </w:tcPr>
          <w:p>
            <w:pPr>
              <w:pageBreakBefore w:val="0"/>
              <w:kinsoku/>
              <w:wordWrap/>
              <w:topLinePunct w:val="0"/>
              <w:bidi w:val="0"/>
              <w:ind w:left="0" w:leftChars="0" w:right="0" w:rightChars="0"/>
              <w:jc w:val="center"/>
              <w:rPr>
                <w:color w:val="auto"/>
                <w:highlight w:val="none"/>
              </w:rPr>
            </w:pPr>
          </w:p>
        </w:tc>
        <w:tc>
          <w:tcPr>
            <w:tcW w:w="550" w:type="pct"/>
            <w:vAlign w:val="center"/>
          </w:tcPr>
          <w:p>
            <w:pPr>
              <w:pageBreakBefore w:val="0"/>
              <w:kinsoku/>
              <w:wordWrap/>
              <w:topLinePunct w:val="0"/>
              <w:bidi w:val="0"/>
              <w:ind w:left="0" w:leftChars="0" w:right="0" w:rightChars="0"/>
              <w:jc w:val="center"/>
              <w:rPr>
                <w:color w:val="auto"/>
                <w:highlight w:val="none"/>
              </w:rPr>
            </w:pPr>
            <w:r>
              <w:rPr>
                <w:rFonts w:hint="eastAsia"/>
                <w:color w:val="auto"/>
                <w:highlight w:val="none"/>
                <w:lang w:val="en-US" w:eastAsia="zh-CN"/>
              </w:rPr>
              <w:t>废紫外灯管</w:t>
            </w:r>
          </w:p>
        </w:tc>
        <w:tc>
          <w:tcPr>
            <w:tcW w:w="545"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0</w:t>
            </w:r>
          </w:p>
        </w:tc>
        <w:tc>
          <w:tcPr>
            <w:tcW w:w="605"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0</w:t>
            </w:r>
          </w:p>
        </w:tc>
        <w:tc>
          <w:tcPr>
            <w:tcW w:w="609" w:type="pct"/>
            <w:vAlign w:val="center"/>
          </w:tcPr>
          <w:p>
            <w:pPr>
              <w:pageBreakBefore w:val="0"/>
              <w:kinsoku/>
              <w:wordWrap/>
              <w:topLinePunct w:val="0"/>
              <w:bidi w:val="0"/>
              <w:ind w:left="0" w:leftChars="0" w:right="0" w:rightChars="0"/>
              <w:jc w:val="center"/>
              <w:rPr>
                <w:rFonts w:hint="eastAsia" w:eastAsia="宋体"/>
                <w:color w:val="auto"/>
                <w:highlight w:val="none"/>
                <w:lang w:val="en-US" w:eastAsia="zh-CN"/>
              </w:rPr>
            </w:pPr>
            <w:r>
              <w:rPr>
                <w:rFonts w:hint="eastAsia"/>
                <w:color w:val="auto"/>
                <w:highlight w:val="none"/>
                <w:lang w:val="en-US" w:eastAsia="zh-CN"/>
              </w:rPr>
              <w:t>0</w:t>
            </w:r>
          </w:p>
        </w:tc>
        <w:tc>
          <w:tcPr>
            <w:tcW w:w="609"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c>
          <w:tcPr>
            <w:tcW w:w="609"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w:t>
            </w:r>
          </w:p>
        </w:tc>
        <w:tc>
          <w:tcPr>
            <w:tcW w:w="646"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c>
          <w:tcPr>
            <w:tcW w:w="346" w:type="pct"/>
            <w:vAlign w:val="center"/>
          </w:tcPr>
          <w:p>
            <w:pPr>
              <w:pageBreakBefore w:val="0"/>
              <w:kinsoku/>
              <w:wordWrap/>
              <w:topLinePunct w:val="0"/>
              <w:bidi w:val="0"/>
              <w:ind w:left="0" w:leftChars="0" w:right="0" w:rightChars="0"/>
              <w:jc w:val="center"/>
              <w:rPr>
                <w:rFonts w:hint="default" w:eastAsia="宋体"/>
                <w:color w:val="auto"/>
                <w:highlight w:val="none"/>
                <w:lang w:val="en-US" w:eastAsia="zh-CN"/>
              </w:rPr>
            </w:pPr>
            <w:r>
              <w:rPr>
                <w:rFonts w:hint="eastAsia"/>
                <w:color w:val="auto"/>
                <w:highlight w:val="none"/>
                <w:lang w:val="en-US" w:eastAsia="zh-CN"/>
              </w:rPr>
              <w:t>+0.05</w:t>
            </w:r>
          </w:p>
        </w:tc>
      </w:tr>
    </w:tbl>
    <w:p>
      <w:pPr>
        <w:pStyle w:val="22"/>
        <w:pageBreakBefore w:val="0"/>
        <w:kinsoku/>
        <w:wordWrap/>
        <w:topLinePunct w:val="0"/>
        <w:bidi w:val="0"/>
        <w:spacing w:after="0" w:line="360" w:lineRule="auto"/>
        <w:ind w:left="0" w:leftChars="0" w:right="0" w:rightChars="0" w:firstLine="0"/>
        <w:jc w:val="both"/>
        <w:rPr>
          <w:color w:val="auto"/>
          <w:highlight w:val="none"/>
        </w:rPr>
        <w:sectPr>
          <w:pgSz w:w="16838" w:h="11906" w:orient="landscape"/>
          <w:pgMar w:top="1417" w:right="1134" w:bottom="1361" w:left="1134" w:header="851" w:footer="992" w:gutter="0"/>
          <w:cols w:space="0" w:num="1"/>
          <w:docGrid w:type="lines" w:linePitch="312" w:charSpace="0"/>
        </w:sectPr>
      </w:pPr>
      <w:r>
        <w:rPr>
          <w:color w:val="auto"/>
          <w:highlight w:val="none"/>
        </w:rPr>
        <w:t>注：⑥=①+③+④-⑤；⑦=⑥-①，单位：t/a。</w:t>
      </w:r>
    </w:p>
    <w:p>
      <w:pPr>
        <w:pStyle w:val="34"/>
        <w:pageBreakBefore w:val="0"/>
        <w:kinsoku/>
        <w:wordWrap/>
        <w:topLinePunct w:val="0"/>
        <w:bidi w:val="0"/>
        <w:spacing w:line="360" w:lineRule="auto"/>
        <w:ind w:left="0" w:leftChars="0" w:right="0" w:rightChars="0"/>
        <w:jc w:val="center"/>
        <w:outlineLvl w:val="9"/>
        <w:rPr>
          <w:rFonts w:hint="default" w:ascii="Times New Roman" w:hAnsi="Times New Roman" w:eastAsia="方正小标宋简体" w:cs="Times New Roman"/>
          <w:b/>
          <w:color w:val="auto"/>
          <w:kern w:val="2"/>
          <w:sz w:val="52"/>
          <w:szCs w:val="52"/>
          <w:highlight w:val="none"/>
          <w:lang w:val="en-US" w:eastAsia="zh-CN" w:bidi="ar-SA"/>
        </w:rPr>
      </w:pPr>
    </w:p>
    <w:p>
      <w:pPr>
        <w:pStyle w:val="34"/>
        <w:pageBreakBefore w:val="0"/>
        <w:kinsoku/>
        <w:wordWrap/>
        <w:topLinePunct w:val="0"/>
        <w:bidi w:val="0"/>
        <w:spacing w:line="360" w:lineRule="auto"/>
        <w:ind w:left="0" w:leftChars="0" w:right="0" w:rightChars="0"/>
        <w:jc w:val="center"/>
        <w:outlineLvl w:val="9"/>
        <w:rPr>
          <w:rFonts w:hint="default" w:ascii="Times New Roman" w:hAnsi="Times New Roman" w:eastAsia="方正小标宋简体" w:cs="Times New Roman"/>
          <w:b/>
          <w:color w:val="auto"/>
          <w:kern w:val="2"/>
          <w:sz w:val="52"/>
          <w:szCs w:val="52"/>
          <w:highlight w:val="none"/>
          <w:lang w:val="en-US" w:eastAsia="zh-CN" w:bidi="ar-SA"/>
        </w:rPr>
      </w:pPr>
    </w:p>
    <w:p>
      <w:pPr>
        <w:pStyle w:val="34"/>
        <w:pageBreakBefore w:val="0"/>
        <w:kinsoku/>
        <w:wordWrap/>
        <w:topLinePunct w:val="0"/>
        <w:bidi w:val="0"/>
        <w:spacing w:line="360" w:lineRule="auto"/>
        <w:ind w:left="0" w:leftChars="0" w:right="0" w:rightChars="0"/>
        <w:jc w:val="center"/>
        <w:outlineLvl w:val="9"/>
        <w:rPr>
          <w:rFonts w:hint="eastAsia" w:ascii="Times New Roman" w:hAnsi="Times New Roman" w:eastAsia="方正小标宋简体" w:cs="Times New Roman"/>
          <w:b/>
          <w:color w:val="auto"/>
          <w:kern w:val="2"/>
          <w:sz w:val="52"/>
          <w:szCs w:val="52"/>
          <w:highlight w:val="none"/>
          <w:lang w:val="en-US" w:eastAsia="zh-CN" w:bidi="ar-SA"/>
        </w:rPr>
      </w:pPr>
    </w:p>
    <w:p>
      <w:pPr>
        <w:pStyle w:val="34"/>
        <w:pageBreakBefore w:val="0"/>
        <w:kinsoku/>
        <w:wordWrap/>
        <w:topLinePunct w:val="0"/>
        <w:bidi w:val="0"/>
        <w:spacing w:line="360" w:lineRule="auto"/>
        <w:ind w:left="0" w:leftChars="0" w:right="0" w:rightChars="0"/>
        <w:jc w:val="center"/>
        <w:outlineLvl w:val="9"/>
        <w:rPr>
          <w:rFonts w:hint="default" w:ascii="Times New Roman" w:hAnsi="Times New Roman" w:eastAsia="方正小标宋简体" w:cs="Times New Roman"/>
          <w:b/>
          <w:color w:val="auto"/>
          <w:kern w:val="2"/>
          <w:sz w:val="52"/>
          <w:szCs w:val="52"/>
          <w:highlight w:val="none"/>
          <w:lang w:val="en-US" w:eastAsia="zh-CN" w:bidi="ar-SA"/>
        </w:rPr>
      </w:pPr>
    </w:p>
    <w:p>
      <w:pPr>
        <w:pStyle w:val="34"/>
        <w:pageBreakBefore w:val="0"/>
        <w:kinsoku/>
        <w:wordWrap/>
        <w:topLinePunct w:val="0"/>
        <w:bidi w:val="0"/>
        <w:spacing w:line="360" w:lineRule="auto"/>
        <w:ind w:left="0" w:leftChars="0" w:right="0" w:rightChars="0"/>
        <w:jc w:val="center"/>
        <w:outlineLvl w:val="9"/>
        <w:rPr>
          <w:rFonts w:hint="default" w:ascii="Times New Roman" w:hAnsi="Times New Roman" w:eastAsia="方正小标宋简体" w:cs="Times New Roman"/>
          <w:b/>
          <w:color w:val="auto"/>
          <w:kern w:val="2"/>
          <w:sz w:val="52"/>
          <w:szCs w:val="52"/>
          <w:highlight w:val="none"/>
          <w:lang w:val="en-US" w:eastAsia="zh-CN" w:bidi="ar-SA"/>
        </w:rPr>
      </w:pPr>
      <w:r>
        <w:rPr>
          <w:rFonts w:hint="default" w:ascii="Times New Roman" w:hAnsi="Times New Roman" w:eastAsia="方正小标宋简体" w:cs="Times New Roman"/>
          <w:b/>
          <w:color w:val="auto"/>
          <w:kern w:val="2"/>
          <w:sz w:val="52"/>
          <w:szCs w:val="52"/>
          <w:highlight w:val="none"/>
          <w:lang w:val="en-US" w:eastAsia="zh-CN" w:bidi="ar-SA"/>
        </w:rPr>
        <w:t>宣汉县南坝镇城市生活污水处理厂</w:t>
      </w:r>
    </w:p>
    <w:p>
      <w:pPr>
        <w:pStyle w:val="34"/>
        <w:pageBreakBefore w:val="0"/>
        <w:kinsoku/>
        <w:wordWrap/>
        <w:topLinePunct w:val="0"/>
        <w:bidi w:val="0"/>
        <w:spacing w:line="360" w:lineRule="auto"/>
        <w:ind w:left="0" w:leftChars="0" w:right="0" w:rightChars="0"/>
        <w:jc w:val="center"/>
        <w:outlineLvl w:val="9"/>
        <w:rPr>
          <w:rFonts w:hint="default" w:ascii="Times New Roman" w:hAnsi="Times New Roman" w:eastAsia="方正小标宋简体" w:cs="Times New Roman"/>
          <w:b/>
          <w:color w:val="auto"/>
          <w:kern w:val="2"/>
          <w:sz w:val="52"/>
          <w:szCs w:val="52"/>
          <w:highlight w:val="none"/>
          <w:lang w:val="en-US" w:eastAsia="zh-CN" w:bidi="ar-SA"/>
        </w:rPr>
      </w:pPr>
      <w:r>
        <w:rPr>
          <w:rFonts w:hint="default" w:ascii="Times New Roman" w:hAnsi="Times New Roman" w:eastAsia="方正小标宋简体" w:cs="Times New Roman"/>
          <w:b/>
          <w:color w:val="auto"/>
          <w:kern w:val="2"/>
          <w:sz w:val="52"/>
          <w:szCs w:val="52"/>
          <w:highlight w:val="none"/>
          <w:lang w:val="en-US" w:eastAsia="zh-CN" w:bidi="ar-SA"/>
        </w:rPr>
        <w:t>提标改造及二期工程</w:t>
      </w:r>
    </w:p>
    <w:p>
      <w:pPr>
        <w:pStyle w:val="34"/>
        <w:pageBreakBefore w:val="0"/>
        <w:kinsoku/>
        <w:wordWrap/>
        <w:topLinePunct w:val="0"/>
        <w:bidi w:val="0"/>
        <w:spacing w:line="360" w:lineRule="auto"/>
        <w:ind w:left="0" w:leftChars="0" w:right="0" w:rightChars="0"/>
        <w:jc w:val="center"/>
        <w:rPr>
          <w:rFonts w:hint="eastAsia" w:ascii="Times New Roman" w:hAnsi="Times New Roman" w:eastAsia="方正小标宋简体" w:cs="Times New Roman"/>
          <w:b/>
          <w:color w:val="auto"/>
          <w:kern w:val="2"/>
          <w:sz w:val="52"/>
          <w:szCs w:val="52"/>
          <w:highlight w:val="none"/>
          <w:lang w:val="en-US" w:eastAsia="zh-CN" w:bidi="ar-SA"/>
        </w:rPr>
      </w:pPr>
      <w:r>
        <w:rPr>
          <w:rFonts w:hint="default" w:ascii="Times New Roman" w:hAnsi="Times New Roman" w:eastAsia="方正小标宋简体" w:cs="Times New Roman"/>
          <w:b/>
          <w:color w:val="auto"/>
          <w:kern w:val="2"/>
          <w:sz w:val="52"/>
          <w:szCs w:val="52"/>
          <w:highlight w:val="none"/>
          <w:lang w:val="en-US" w:eastAsia="zh-CN" w:bidi="ar-SA"/>
        </w:rPr>
        <w:t>地表水环境影响专项评价</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topLinePunct w:val="0"/>
        <w:bidi w:val="0"/>
        <w:spacing w:line="360" w:lineRule="auto"/>
        <w:ind w:left="0" w:leftChars="0" w:right="0" w:rightChars="0"/>
        <w:outlineLvl w:val="0"/>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1 前言</w:t>
      </w:r>
    </w:p>
    <w:p>
      <w:pPr>
        <w:pStyle w:val="22"/>
        <w:pageBreakBefore w:val="0"/>
        <w:kinsoku/>
        <w:wordWrap/>
        <w:topLinePunct w:val="0"/>
        <w:bidi w:val="0"/>
        <w:spacing w:after="0" w:line="360" w:lineRule="auto"/>
        <w:ind w:left="0" w:leftChars="0" w:right="0" w:rightChars="0" w:firstLine="482" w:firstLineChars="200"/>
        <w:rPr>
          <w:b/>
          <w:bCs/>
          <w:color w:val="auto"/>
          <w:sz w:val="24"/>
          <w:szCs w:val="36"/>
          <w:highlight w:val="none"/>
        </w:rPr>
      </w:pPr>
      <w:r>
        <w:rPr>
          <w:b/>
          <w:bCs/>
          <w:color w:val="auto"/>
          <w:sz w:val="24"/>
          <w:szCs w:val="36"/>
          <w:highlight w:val="none"/>
        </w:rPr>
        <w:t>一、项目由来</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宣汉县南坝镇城市生活污水处理厂位于四川省达州市宣汉县南坝镇龙驹坝。2011年7月，由西南交通大学编制完成了宣汉县自来水公司《宣汉县南坝镇城市生活污水处理工程环境影响报告表》，2011年8月3日，原四川省环境保护厅以川环审批〔2011〕324号对该报告表予以审查批复，批复处理规模为1万</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w:t>
      </w:r>
      <w:r>
        <w:rPr>
          <w:color w:val="auto"/>
          <w:sz w:val="24"/>
          <w:szCs w:val="24"/>
          <w:highlight w:val="none"/>
          <w:lang w:bidi="ar"/>
        </w:rPr>
        <w:t>。2020年1月，</w:t>
      </w:r>
      <w:r>
        <w:rPr>
          <w:color w:val="auto"/>
          <w:sz w:val="24"/>
          <w:szCs w:val="32"/>
          <w:highlight w:val="none"/>
          <w:lang w:bidi="ar"/>
        </w:rPr>
        <w:t>四川汉润水业有限公司</w:t>
      </w:r>
      <w:r>
        <w:rPr>
          <w:color w:val="auto"/>
          <w:sz w:val="24"/>
          <w:szCs w:val="24"/>
          <w:highlight w:val="none"/>
          <w:lang w:bidi="ar"/>
        </w:rPr>
        <w:t>编制完成了《宣汉县南坝镇城市生活污水处理工程（一期）竣工环境保护验收监测报告表》，并项目通过了竣工环保验收。</w:t>
      </w:r>
    </w:p>
    <w:p>
      <w:pPr>
        <w:pageBreakBefore w:val="0"/>
        <w:kinsoku/>
        <w:wordWrap/>
        <w:topLinePunct w:val="0"/>
        <w:bidi w:val="0"/>
        <w:spacing w:line="360" w:lineRule="auto"/>
        <w:ind w:left="0" w:leftChars="0" w:right="0" w:rightChars="0" w:firstLine="480" w:firstLineChars="200"/>
        <w:rPr>
          <w:color w:val="auto"/>
          <w:sz w:val="24"/>
          <w:szCs w:val="24"/>
          <w:highlight w:val="none"/>
          <w:lang w:bidi="ar"/>
        </w:rPr>
      </w:pPr>
      <w:r>
        <w:rPr>
          <w:color w:val="auto"/>
          <w:sz w:val="24"/>
          <w:szCs w:val="24"/>
          <w:highlight w:val="none"/>
          <w:lang w:bidi="ar"/>
        </w:rPr>
        <w:t>随着南坝镇社会经济快速发展，服务范围内的人口增长较快，南坝工业园区的发展建设，区域污水收集系统不断完善，进入南坝镇城市生活污水处理厂的污水也显著增加，现有污水处理能力已不能满足日益增长的污水处理需求，且污水处理厂一期现状的处理工艺只能达到一级B排放标准，不能满足国家要求的一级A排放标准。为解决污水处理能力不足及出水排放标准偏低的问题，消除污水直排对前河的影响，亟需启动南坝镇城市生活污水处理厂提标改造及二期工程。</w:t>
      </w:r>
    </w:p>
    <w:p>
      <w:pPr>
        <w:pageBreakBefore w:val="0"/>
        <w:kinsoku/>
        <w:wordWrap/>
        <w:topLinePunct w:val="0"/>
        <w:bidi w:val="0"/>
        <w:spacing w:line="360" w:lineRule="auto"/>
        <w:ind w:left="0" w:leftChars="0" w:right="0" w:rightChars="0" w:firstLine="480" w:firstLineChars="200"/>
        <w:rPr>
          <w:b/>
          <w:bCs/>
          <w:color w:val="auto"/>
          <w:sz w:val="24"/>
          <w:szCs w:val="32"/>
          <w:highlight w:val="none"/>
          <w:u w:val="single"/>
          <w:lang w:bidi="ar"/>
        </w:rPr>
      </w:pPr>
      <w:r>
        <w:rPr>
          <w:color w:val="auto"/>
          <w:sz w:val="24"/>
          <w:szCs w:val="24"/>
          <w:highlight w:val="none"/>
          <w:lang w:bidi="ar"/>
        </w:rPr>
        <w:t>参考《四川省岷江、沱江流域水污染排放标准》（DB51/2311-2016）中对“城镇污水处理厂”的定义：市、区、县、乡、镇通过城镇污水收集系统收集居民生活污水，机关、学校、医院、商业服务机构及各种公共设施排水（包括允许排入城镇污水收集系统的初期雨水和工业废水），其污水处理设施接纳工业废水比例≤30%且处理规模≥1000m</w:t>
      </w:r>
      <w:r>
        <w:rPr>
          <w:color w:val="auto"/>
          <w:sz w:val="24"/>
          <w:szCs w:val="24"/>
          <w:highlight w:val="none"/>
          <w:vertAlign w:val="superscript"/>
          <w:lang w:bidi="ar"/>
        </w:rPr>
        <w:t>3</w:t>
      </w:r>
      <w:r>
        <w:rPr>
          <w:color w:val="auto"/>
          <w:sz w:val="24"/>
          <w:szCs w:val="24"/>
          <w:highlight w:val="none"/>
          <w:lang w:bidi="ar"/>
        </w:rPr>
        <w:t>/d的污水处理厂。</w:t>
      </w:r>
      <w:r>
        <w:rPr>
          <w:b/>
          <w:bCs/>
          <w:color w:val="auto"/>
          <w:sz w:val="24"/>
          <w:szCs w:val="32"/>
          <w:highlight w:val="none"/>
          <w:u w:val="single"/>
          <w:lang w:bidi="ar"/>
        </w:rPr>
        <w:t>本项目服务范围为南坝镇镇区及工业园区，服务范围内规划接纳工业污水量约0.34万m</w:t>
      </w:r>
      <w:r>
        <w:rPr>
          <w:b/>
          <w:bCs/>
          <w:color w:val="auto"/>
          <w:sz w:val="24"/>
          <w:szCs w:val="32"/>
          <w:highlight w:val="none"/>
          <w:u w:val="single"/>
          <w:vertAlign w:val="superscript"/>
          <w:lang w:bidi="ar"/>
        </w:rPr>
        <w:t>3</w:t>
      </w:r>
      <w:r>
        <w:rPr>
          <w:b/>
          <w:bCs/>
          <w:color w:val="auto"/>
          <w:sz w:val="24"/>
          <w:szCs w:val="32"/>
          <w:highlight w:val="none"/>
          <w:u w:val="single"/>
          <w:lang w:bidi="ar"/>
        </w:rPr>
        <w:t>/d，占南坝镇城市生活污水处理厂扩能后的17%。因此，本项目属于城镇污水处理厂。</w:t>
      </w:r>
    </w:p>
    <w:p>
      <w:pPr>
        <w:pageBreakBefore w:val="0"/>
        <w:kinsoku/>
        <w:wordWrap/>
        <w:topLinePunct w:val="0"/>
        <w:bidi w:val="0"/>
        <w:spacing w:line="360" w:lineRule="auto"/>
        <w:ind w:left="0" w:leftChars="0" w:right="0" w:rightChars="0" w:firstLine="480" w:firstLineChars="200"/>
        <w:rPr>
          <w:b/>
          <w:bCs/>
          <w:color w:val="auto"/>
          <w:sz w:val="24"/>
          <w:szCs w:val="32"/>
          <w:highlight w:val="none"/>
          <w:lang w:bidi="ar"/>
        </w:rPr>
      </w:pPr>
      <w:r>
        <w:rPr>
          <w:color w:val="auto"/>
          <w:sz w:val="24"/>
          <w:szCs w:val="32"/>
          <w:highlight w:val="none"/>
          <w:lang w:bidi="ar"/>
        </w:rPr>
        <w:t>本次对一期工程原有污水处理工艺进行提标改造，保持原有设计处理规模1万m</w:t>
      </w:r>
      <w:r>
        <w:rPr>
          <w:color w:val="auto"/>
          <w:sz w:val="24"/>
          <w:szCs w:val="32"/>
          <w:highlight w:val="none"/>
          <w:vertAlign w:val="superscript"/>
          <w:lang w:bidi="ar"/>
        </w:rPr>
        <w:t>3</w:t>
      </w:r>
      <w:r>
        <w:rPr>
          <w:color w:val="auto"/>
          <w:sz w:val="24"/>
          <w:szCs w:val="32"/>
          <w:highlight w:val="none"/>
          <w:lang w:bidi="ar"/>
        </w:rPr>
        <w:t>/d；扩建二期工程，设计处理规模为1万m</w:t>
      </w:r>
      <w:r>
        <w:rPr>
          <w:color w:val="auto"/>
          <w:sz w:val="24"/>
          <w:szCs w:val="32"/>
          <w:highlight w:val="none"/>
          <w:vertAlign w:val="superscript"/>
          <w:lang w:bidi="ar"/>
        </w:rPr>
        <w:t>3</w:t>
      </w:r>
      <w:r>
        <w:rPr>
          <w:color w:val="auto"/>
          <w:sz w:val="24"/>
          <w:szCs w:val="32"/>
          <w:highlight w:val="none"/>
          <w:lang w:bidi="ar"/>
        </w:rPr>
        <w:t>/d。项目改扩建后，污水处理厂总设计处理规模为2万m</w:t>
      </w:r>
      <w:r>
        <w:rPr>
          <w:color w:val="auto"/>
          <w:sz w:val="24"/>
          <w:szCs w:val="32"/>
          <w:highlight w:val="none"/>
          <w:vertAlign w:val="superscript"/>
          <w:lang w:bidi="ar"/>
        </w:rPr>
        <w:t>3</w:t>
      </w:r>
      <w:r>
        <w:rPr>
          <w:color w:val="auto"/>
          <w:sz w:val="24"/>
          <w:szCs w:val="32"/>
          <w:highlight w:val="none"/>
          <w:lang w:bidi="ar"/>
        </w:rPr>
        <w:t>/d，一期污水厂主要工艺为“厌氧池+氧化沟+二沉池+絮凝池+转鼓滤池”，二期污水处理厂主要工艺为“MBBR+二沉池+絮凝池+转鼓滤池”，污废水经处理后出水达到《城镇污水处理厂污染物排放标准》（GB18918-2002）一级排放标准A标准后排入前河。</w:t>
      </w:r>
      <w:r>
        <w:rPr>
          <w:b/>
          <w:bCs/>
          <w:color w:val="auto"/>
          <w:sz w:val="24"/>
          <w:szCs w:val="32"/>
          <w:highlight w:val="none"/>
          <w:u w:val="single"/>
          <w:lang w:bidi="ar"/>
        </w:rPr>
        <w:t>本次评价内容不包含厂外污水收集管网。</w:t>
      </w:r>
    </w:p>
    <w:p>
      <w:pPr>
        <w:pStyle w:val="34"/>
        <w:pageBreakBefore w:val="0"/>
        <w:kinsoku/>
        <w:wordWrap/>
        <w:topLinePunct w:val="0"/>
        <w:bidi w:val="0"/>
        <w:spacing w:line="360" w:lineRule="auto"/>
        <w:ind w:left="0" w:leftChars="0" w:right="0" w:rightChars="0" w:firstLine="482" w:firstLineChars="200"/>
        <w:jc w:val="both"/>
        <w:outlineLvl w:val="9"/>
        <w:rPr>
          <w:rFonts w:hint="eastAsia" w:ascii="Times New Roman" w:hAnsi="Times New Roman" w:eastAsia="宋体" w:cs="Times New Roman"/>
          <w:b/>
          <w:bCs/>
          <w:color w:val="auto"/>
          <w:kern w:val="2"/>
          <w:sz w:val="24"/>
          <w:szCs w:val="24"/>
          <w:highlight w:val="none"/>
          <w:lang w:val="en-US" w:eastAsia="zh-CN" w:bidi="ar"/>
        </w:rPr>
      </w:pPr>
      <w:r>
        <w:rPr>
          <w:rFonts w:hint="eastAsia" w:ascii="Times New Roman" w:hAnsi="Times New Roman" w:eastAsia="宋体" w:cs="Times New Roman"/>
          <w:b/>
          <w:bCs/>
          <w:color w:val="auto"/>
          <w:kern w:val="2"/>
          <w:sz w:val="24"/>
          <w:szCs w:val="24"/>
          <w:highlight w:val="none"/>
          <w:lang w:val="en-US" w:eastAsia="zh-CN" w:bidi="ar"/>
        </w:rPr>
        <w:t>根据《建设项目环境影响报告表编制技术指南》（污染影响类）中专项设置原则，项目为污水处理厂建设项目，废水经处理后直接排入排入</w:t>
      </w:r>
      <w:r>
        <w:rPr>
          <w:rFonts w:hint="eastAsia" w:cs="Times New Roman"/>
          <w:b/>
          <w:bCs/>
          <w:color w:val="auto"/>
          <w:kern w:val="2"/>
          <w:sz w:val="24"/>
          <w:szCs w:val="24"/>
          <w:highlight w:val="none"/>
          <w:lang w:val="en-US" w:eastAsia="zh-CN" w:bidi="ar"/>
        </w:rPr>
        <w:t>前河</w:t>
      </w:r>
      <w:r>
        <w:rPr>
          <w:rFonts w:hint="eastAsia" w:ascii="Times New Roman" w:hAnsi="Times New Roman" w:eastAsia="宋体" w:cs="Times New Roman"/>
          <w:b/>
          <w:bCs/>
          <w:color w:val="auto"/>
          <w:kern w:val="2"/>
          <w:sz w:val="24"/>
          <w:szCs w:val="24"/>
          <w:highlight w:val="none"/>
          <w:lang w:val="en-US" w:eastAsia="zh-CN" w:bidi="ar"/>
        </w:rPr>
        <w:t>，属于新增废水直排的污水集中处理厂，因此，需设置地表水专项评价。</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kern w:val="2"/>
          <w:sz w:val="21"/>
          <w:szCs w:val="21"/>
          <w:highlight w:val="none"/>
          <w:lang w:val="en-US" w:eastAsia="zh-CN" w:bidi="ar-SA"/>
        </w:rPr>
        <w:t>表1-1  地表水专项评价设置原则</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7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1" w:type="pct"/>
            <w:tcBorders>
              <w:top w:val="single" w:color="auto" w:sz="4" w:space="0"/>
              <w:left w:val="single" w:color="auto" w:sz="4" w:space="0"/>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专项评价的类别</w:t>
            </w:r>
          </w:p>
        </w:tc>
        <w:tc>
          <w:tcPr>
            <w:tcW w:w="4058" w:type="pct"/>
            <w:tcBorders>
              <w:top w:val="single" w:color="auto" w:sz="4" w:space="0"/>
              <w:right w:val="single" w:color="auto" w:sz="4" w:space="0"/>
            </w:tcBorders>
            <w:vAlign w:val="center"/>
          </w:tcPr>
          <w:p>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cs="Times New Roman"/>
                <w:b/>
                <w:bCs/>
                <w:color w:val="auto"/>
                <w:sz w:val="21"/>
                <w:szCs w:val="21"/>
                <w:highlight w:val="none"/>
                <w:vertAlign w:val="baseline"/>
                <w:lang w:eastAsia="zh-CN"/>
              </w:rPr>
              <w:t>设置原则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1" w:type="pct"/>
            <w:tcBorders>
              <w:lef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kern w:val="2"/>
                <w:sz w:val="21"/>
                <w:szCs w:val="21"/>
                <w:highlight w:val="none"/>
                <w:lang w:val="en-US" w:eastAsia="zh-CN" w:bidi="ar"/>
              </w:rPr>
              <w:t>地表水</w:t>
            </w:r>
          </w:p>
        </w:tc>
        <w:tc>
          <w:tcPr>
            <w:tcW w:w="4058" w:type="pct"/>
            <w:tcBorders>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
              </w:rPr>
              <w:t>新增工业废水直排建设项目（槽罐车外送污水处理厂的除外）；新增废水直排的污水集中处理厂</w:t>
            </w:r>
          </w:p>
        </w:tc>
      </w:tr>
    </w:tbl>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pPr>
      <w:r>
        <w:rPr>
          <w:rFonts w:hint="eastAsia" w:ascii="Times New Roman" w:hAnsi="Times New Roman" w:eastAsia="宋体" w:cs="Times New Roman"/>
          <w:b w:val="0"/>
          <w:color w:val="auto"/>
          <w:kern w:val="2"/>
          <w:sz w:val="24"/>
          <w:szCs w:val="24"/>
          <w:highlight w:val="none"/>
          <w:lang w:val="en-US" w:eastAsia="zh-CN" w:bidi="ar"/>
        </w:rPr>
        <w:t>根据《环境影响评价技术导则 地表水环境》（HJ2.3-2018）相关要求，编制完成本项目的地表水环境影响评价专项评价内容</w:t>
      </w:r>
      <w:r>
        <w:rPr>
          <w:rFonts w:hint="eastAsia" w:cs="Times New Roman"/>
          <w:b w:val="0"/>
          <w:color w:val="auto"/>
          <w:kern w:val="2"/>
          <w:sz w:val="24"/>
          <w:szCs w:val="24"/>
          <w:highlight w:val="none"/>
          <w:lang w:val="en-US" w:eastAsia="zh-CN" w:bidi="ar"/>
        </w:rPr>
        <w:t>。</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topLinePunct w:val="0"/>
        <w:bidi w:val="0"/>
        <w:spacing w:line="360" w:lineRule="auto"/>
        <w:ind w:left="0" w:leftChars="0" w:right="0" w:rightChars="0"/>
        <w:outlineLvl w:val="0"/>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t>2</w:t>
      </w:r>
      <w:r>
        <w:rPr>
          <w:rFonts w:hint="default" w:ascii="Times New Roman" w:hAnsi="Times New Roman" w:cs="Times New Roman"/>
          <w:b/>
          <w:bCs/>
          <w:color w:val="auto"/>
          <w:sz w:val="30"/>
          <w:szCs w:val="30"/>
          <w:highlight w:val="none"/>
        </w:rPr>
        <w:t xml:space="preserve"> </w:t>
      </w:r>
      <w:r>
        <w:rPr>
          <w:rFonts w:hint="default" w:ascii="Times New Roman" w:hAnsi="Times New Roman" w:cs="Times New Roman"/>
          <w:b/>
          <w:bCs/>
          <w:color w:val="auto"/>
          <w:sz w:val="30"/>
          <w:szCs w:val="30"/>
          <w:highlight w:val="none"/>
          <w:lang w:val="en-US" w:eastAsia="zh-CN"/>
        </w:rPr>
        <w:t>总则</w:t>
      </w:r>
    </w:p>
    <w:p>
      <w:pPr>
        <w:keepNext/>
        <w:pageBreakBefore w:val="0"/>
        <w:kinsoku/>
        <w:wordWrap/>
        <w:overflowPunct w:val="0"/>
        <w:topLinePunct w:val="0"/>
        <w:bidi w:val="0"/>
        <w:snapToGrid w:val="0"/>
        <w:spacing w:line="360" w:lineRule="auto"/>
        <w:ind w:left="0" w:leftChars="0" w:right="0" w:rightChars="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2</w:t>
      </w:r>
      <w:r>
        <w:rPr>
          <w:rFonts w:hint="default" w:ascii="Times New Roman" w:hAnsi="Times New Roman" w:cs="Times New Roman"/>
          <w:b/>
          <w:bCs/>
          <w:color w:val="auto"/>
          <w:sz w:val="28"/>
          <w:szCs w:val="28"/>
          <w:highlight w:val="none"/>
        </w:rPr>
        <w:t>.1项目概况</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项目名称：</w:t>
      </w:r>
      <w:r>
        <w:rPr>
          <w:color w:val="auto"/>
          <w:sz w:val="24"/>
          <w:szCs w:val="24"/>
          <w:highlight w:val="none"/>
          <w:lang w:bidi="ar"/>
        </w:rPr>
        <w:t>宣汉县南坝镇城市生活污水处理厂提标改造及二期工程</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建设性质：</w:t>
      </w:r>
      <w:r>
        <w:rPr>
          <w:color w:val="auto"/>
          <w:sz w:val="24"/>
          <w:szCs w:val="24"/>
          <w:highlight w:val="none"/>
          <w:lang w:bidi="ar"/>
        </w:rPr>
        <w:t>改扩建</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建设地点：</w:t>
      </w:r>
      <w:r>
        <w:rPr>
          <w:color w:val="auto"/>
          <w:sz w:val="24"/>
          <w:szCs w:val="24"/>
          <w:highlight w:val="none"/>
          <w:lang w:bidi="ar"/>
        </w:rPr>
        <w:t>四川省达州市宣汉县南坝镇龙驹坝</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建设单位：</w:t>
      </w:r>
      <w:r>
        <w:rPr>
          <w:color w:val="auto"/>
          <w:sz w:val="24"/>
          <w:szCs w:val="32"/>
          <w:highlight w:val="none"/>
          <w:lang w:bidi="ar"/>
        </w:rPr>
        <w:t>四川汉润水务集团有限公司（曾用名宣汉县自来水公司、四川汉润水业有限公司）</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项目投资：</w:t>
      </w:r>
      <w:r>
        <w:rPr>
          <w:color w:val="auto"/>
          <w:sz w:val="24"/>
          <w:szCs w:val="24"/>
          <w:highlight w:val="none"/>
          <w:lang w:bidi="ar"/>
        </w:rPr>
        <w:t>7402.21万元</w:t>
      </w:r>
    </w:p>
    <w:p>
      <w:pPr>
        <w:pageBreakBefore w:val="0"/>
        <w:kinsoku/>
        <w:wordWrap/>
        <w:topLinePunct w:val="0"/>
        <w:bidi w:val="0"/>
        <w:spacing w:line="360" w:lineRule="auto"/>
        <w:ind w:left="0" w:leftChars="0" w:right="0" w:rightChars="0" w:firstLine="482" w:firstLineChars="200"/>
        <w:rPr>
          <w:color w:val="auto"/>
          <w:sz w:val="24"/>
          <w:szCs w:val="24"/>
          <w:highlight w:val="none"/>
          <w:lang w:bidi="ar"/>
        </w:rPr>
      </w:pPr>
      <w:r>
        <w:rPr>
          <w:b/>
          <w:bCs/>
          <w:color w:val="auto"/>
          <w:sz w:val="24"/>
          <w:szCs w:val="24"/>
          <w:highlight w:val="none"/>
          <w:lang w:bidi="ar"/>
        </w:rPr>
        <w:t>项目建设规模及主要内容：</w:t>
      </w:r>
      <w:r>
        <w:rPr>
          <w:color w:val="auto"/>
          <w:sz w:val="24"/>
          <w:szCs w:val="24"/>
          <w:highlight w:val="none"/>
          <w:lang w:bidi="ar"/>
        </w:rPr>
        <w:t>对原一期（规模为10000</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w:t>
      </w:r>
      <w:r>
        <w:rPr>
          <w:color w:val="auto"/>
          <w:sz w:val="24"/>
          <w:szCs w:val="24"/>
          <w:highlight w:val="none"/>
          <w:lang w:bidi="ar"/>
        </w:rPr>
        <w:t>）工程进行提标改造，扩建二期规模为10000</w:t>
      </w:r>
      <w:r>
        <w:rPr>
          <w:color w:val="auto"/>
          <w:sz w:val="24"/>
          <w:szCs w:val="32"/>
          <w:highlight w:val="none"/>
          <w:lang w:bidi="ar"/>
        </w:rPr>
        <w:t>m</w:t>
      </w:r>
      <w:r>
        <w:rPr>
          <w:color w:val="auto"/>
          <w:sz w:val="24"/>
          <w:szCs w:val="32"/>
          <w:highlight w:val="none"/>
          <w:vertAlign w:val="superscript"/>
          <w:lang w:bidi="ar"/>
        </w:rPr>
        <w:t>3</w:t>
      </w:r>
      <w:r>
        <w:rPr>
          <w:color w:val="auto"/>
          <w:sz w:val="24"/>
          <w:szCs w:val="32"/>
          <w:highlight w:val="none"/>
          <w:lang w:bidi="ar"/>
        </w:rPr>
        <w:t>/d，建成后总处理规模为20000m</w:t>
      </w:r>
      <w:r>
        <w:rPr>
          <w:color w:val="auto"/>
          <w:sz w:val="24"/>
          <w:szCs w:val="32"/>
          <w:highlight w:val="none"/>
          <w:vertAlign w:val="superscript"/>
          <w:lang w:bidi="ar"/>
        </w:rPr>
        <w:t>3</w:t>
      </w:r>
      <w:r>
        <w:rPr>
          <w:color w:val="auto"/>
          <w:sz w:val="24"/>
          <w:szCs w:val="32"/>
          <w:highlight w:val="none"/>
          <w:lang w:bidi="ar"/>
        </w:rPr>
        <w:t>/d，出水排放标准达到《城镇污水处理厂污染物排放标准》（GB18918-2002）一级A标。</w:t>
      </w:r>
    </w:p>
    <w:p>
      <w:pPr>
        <w:pageBreakBefore w:val="0"/>
        <w:kinsoku/>
        <w:wordWrap/>
        <w:topLinePunct w:val="0"/>
        <w:bidi w:val="0"/>
        <w:spacing w:line="360" w:lineRule="auto"/>
        <w:ind w:left="0" w:leftChars="0" w:right="0" w:rightChars="0" w:firstLine="482"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b/>
          <w:bCs/>
          <w:color w:val="auto"/>
          <w:kern w:val="24"/>
          <w:sz w:val="24"/>
          <w:szCs w:val="24"/>
          <w:highlight w:val="none"/>
        </w:rPr>
        <w:t>处理工艺：</w:t>
      </w:r>
      <w:r>
        <w:rPr>
          <w:rFonts w:hint="default" w:ascii="Times New Roman" w:hAnsi="Times New Roman" w:cs="Times New Roman"/>
          <w:color w:val="auto"/>
          <w:kern w:val="24"/>
          <w:sz w:val="24"/>
          <w:szCs w:val="24"/>
          <w:highlight w:val="none"/>
        </w:rPr>
        <w:t>一期工程污水处理工艺采用：粗格栅及提升泵房+细格栅及旋流沉砂池+厌氧池+氧化沟+二沉池+絮凝池+转鼓滤池+紫外线消毒渠；二期工程污水处理工艺采用：粗格栅及提升泵房+细格栅及旋流沉砂池+MBBR+二沉池+絮凝池+转鼓滤池+紫外线消毒渠</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outlineLvl w:val="1"/>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2</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2工作任务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在调查和分析评价范围地表水环境质量现状与水环境保护目标的基础上，预测和评价建设项目对地表水环境质量、水环境功能区、水功能区、水环境保护目标及水环境控制单元的影响范围与影响程度，提出相应的环境保护措施和环境管理与监测计划，明确给出地表水环境影响是否可接受的结论</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outlineLvl w:val="1"/>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2.3工作程序</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pPr>
      <w:r>
        <w:rPr>
          <w:rFonts w:hint="eastAsia" w:ascii="Times New Roman" w:hAnsi="Times New Roman" w:eastAsia="宋体" w:cs="Times New Roman"/>
          <w:b w:val="0"/>
          <w:color w:val="auto"/>
          <w:kern w:val="2"/>
          <w:sz w:val="24"/>
          <w:szCs w:val="24"/>
          <w:highlight w:val="none"/>
          <w:lang w:val="en-US" w:eastAsia="zh-CN" w:bidi="ar"/>
        </w:rPr>
        <w:t>（1）第一阶段。研究有关文件，进行工程方案和环境影响的初步分析，开展区域环境状况的初步调查，明确水环境功能区或水功能区管理要求，识别主要环境影响，确定评价类别。根据不同评价类别进一步筛选评价因子、确定评价等级、评价范围，明确评价标准、评价重点和水环境保护目标。</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pPr>
      <w:r>
        <w:rPr>
          <w:rFonts w:hint="eastAsia" w:ascii="Times New Roman" w:hAnsi="Times New Roman" w:eastAsia="宋体" w:cs="Times New Roman"/>
          <w:b w:val="0"/>
          <w:color w:val="auto"/>
          <w:kern w:val="2"/>
          <w:sz w:val="24"/>
          <w:szCs w:val="24"/>
          <w:highlight w:val="none"/>
          <w:lang w:val="en-US" w:eastAsia="zh-CN" w:bidi="ar"/>
        </w:rPr>
        <w:t>（2）第二阶段。根据评价类别、评价等级及评价范围等，开展与地表水环境影响评价相关的污染源、水环境质量现状、水文水资源与水环境保护目标调查与评价，必要时开展补充监测；选择适合的预测模型，开展地表水环境影响预测评价，分析与评价建设项目对地表水环境质量、水文要素及水环境保护目标的影响范围与程度，在此基础上核算建设项目的污染源排放量、生态流量等。</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pPr>
      <w:r>
        <w:rPr>
          <w:rFonts w:hint="eastAsia" w:ascii="Times New Roman" w:hAnsi="Times New Roman" w:eastAsia="宋体" w:cs="Times New Roman"/>
          <w:b w:val="0"/>
          <w:color w:val="auto"/>
          <w:kern w:val="2"/>
          <w:sz w:val="24"/>
          <w:szCs w:val="24"/>
          <w:highlight w:val="none"/>
          <w:lang w:val="en-US" w:eastAsia="zh-CN" w:bidi="ar"/>
        </w:rPr>
        <w:t>（3）第三阶段。根据建设项目地表水环境影响预测与评价的结果，制定地表水环境保护措施，开展地表水环境保护措施的有效性评价，编制地表水环境监测计划，给出建设项目污染物排放清单和地表水环境影响评价的结论，完成环境影响评价文件的编写</w:t>
      </w:r>
      <w:r>
        <w:rPr>
          <w:rFonts w:hint="eastAsia" w:cs="Times New Roman"/>
          <w:b w:val="0"/>
          <w:color w:val="auto"/>
          <w:kern w:val="2"/>
          <w:sz w:val="24"/>
          <w:szCs w:val="24"/>
          <w:highlight w:val="none"/>
          <w:lang w:val="en-US" w:eastAsia="zh-CN" w:bidi="ar"/>
        </w:rPr>
        <w:t>。</w:t>
      </w:r>
    </w:p>
    <w:p>
      <w:pPr>
        <w:pStyle w:val="34"/>
        <w:pageBreakBefore w:val="0"/>
        <w:kinsoku/>
        <w:wordWrap/>
        <w:topLinePunct w:val="0"/>
        <w:bidi w:val="0"/>
        <w:spacing w:line="360" w:lineRule="auto"/>
        <w:ind w:left="0" w:leftChars="0" w:right="0" w:rightChars="0"/>
        <w:jc w:val="center"/>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73370" cy="6866255"/>
            <wp:effectExtent l="0" t="0" r="17780" b="1079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5"/>
                    <a:srcRect l="5167" r="2673" b="3785"/>
                    <a:stretch>
                      <a:fillRect/>
                    </a:stretch>
                  </pic:blipFill>
                  <pic:spPr>
                    <a:xfrm>
                      <a:off x="0" y="0"/>
                      <a:ext cx="5373370" cy="6866255"/>
                    </a:xfrm>
                    <a:prstGeom prst="rect">
                      <a:avLst/>
                    </a:prstGeom>
                    <a:noFill/>
                    <a:ln>
                      <a:noFill/>
                    </a:ln>
                  </pic:spPr>
                </pic:pic>
              </a:graphicData>
            </a:graphic>
          </wp:inline>
        </w:drawing>
      </w:r>
    </w:p>
    <w:p>
      <w:pPr>
        <w:pStyle w:val="34"/>
        <w:pageBreakBefore w:val="0"/>
        <w:kinsoku/>
        <w:wordWrap/>
        <w:topLinePunct w:val="0"/>
        <w:bidi w:val="0"/>
        <w:spacing w:line="360" w:lineRule="auto"/>
        <w:ind w:left="0" w:leftChars="0" w:right="0" w:rightChars="0"/>
        <w:jc w:val="center"/>
        <w:outlineLvl w:val="9"/>
        <w:rPr>
          <w:rFonts w:hint="eastAsia" w:ascii="Times New Roman" w:hAnsi="Times New Roman" w:eastAsia="宋体" w:cs="Times New Roman"/>
          <w:b w:val="0"/>
          <w:bCs/>
          <w:color w:val="auto"/>
          <w:kern w:val="2"/>
          <w:sz w:val="24"/>
          <w:szCs w:val="24"/>
          <w:highlight w:val="none"/>
          <w:lang w:val="en-US" w:eastAsia="zh-CN" w:bidi="ar"/>
        </w:rPr>
      </w:pPr>
      <w:r>
        <w:rPr>
          <w:rFonts w:hint="default" w:ascii="Times New Roman" w:hAnsi="Times New Roman" w:eastAsia="黑体" w:cs="Times New Roman"/>
          <w:b w:val="0"/>
          <w:bCs/>
          <w:color w:val="auto"/>
          <w:sz w:val="21"/>
          <w:szCs w:val="21"/>
          <w:highlight w:val="none"/>
        </w:rPr>
        <w:t>图</w:t>
      </w:r>
      <w:r>
        <w:rPr>
          <w:rFonts w:hint="default" w:ascii="Times New Roman" w:hAnsi="Times New Roman" w:eastAsia="黑体" w:cs="Times New Roman"/>
          <w:b w:val="0"/>
          <w:bCs/>
          <w:color w:val="auto"/>
          <w:sz w:val="21"/>
          <w:szCs w:val="21"/>
          <w:highlight w:val="none"/>
          <w:lang w:val="en-US" w:eastAsia="zh-CN"/>
        </w:rPr>
        <w:t>2-1</w:t>
      </w:r>
      <w:r>
        <w:rPr>
          <w:rFonts w:hint="default" w:ascii="Times New Roman" w:hAnsi="Times New Roman" w:eastAsia="黑体" w:cs="Times New Roman"/>
          <w:b w:val="0"/>
          <w:bCs/>
          <w:color w:val="auto"/>
          <w:sz w:val="21"/>
          <w:szCs w:val="21"/>
          <w:highlight w:val="none"/>
        </w:rPr>
        <w:t xml:space="preserve"> </w:t>
      </w:r>
      <w:r>
        <w:rPr>
          <w:rFonts w:hint="default" w:ascii="Times New Roman" w:hAnsi="Times New Roman" w:eastAsia="黑体" w:cs="Times New Roman"/>
          <w:b w:val="0"/>
          <w:bCs/>
          <w:color w:val="auto"/>
          <w:sz w:val="21"/>
          <w:szCs w:val="21"/>
          <w:highlight w:val="none"/>
          <w:lang w:val="en-US" w:eastAsia="zh-CN"/>
        </w:rPr>
        <w:t xml:space="preserve"> 地表水</w:t>
      </w:r>
      <w:r>
        <w:rPr>
          <w:rFonts w:hint="default" w:ascii="Times New Roman" w:hAnsi="Times New Roman" w:eastAsia="黑体" w:cs="Times New Roman"/>
          <w:b w:val="0"/>
          <w:bCs/>
          <w:color w:val="auto"/>
          <w:sz w:val="21"/>
          <w:szCs w:val="21"/>
          <w:highlight w:val="none"/>
        </w:rPr>
        <w:t>环境影响评价工作程序</w:t>
      </w:r>
    </w:p>
    <w:p>
      <w:pPr>
        <w:keepNext/>
        <w:pageBreakBefore w:val="0"/>
        <w:kinsoku/>
        <w:wordWrap/>
        <w:overflowPunct w:val="0"/>
        <w:topLinePunct w:val="0"/>
        <w:bidi w:val="0"/>
        <w:snapToGrid w:val="0"/>
        <w:spacing w:line="360" w:lineRule="auto"/>
        <w:ind w:left="0" w:leftChars="0" w:right="0" w:rightChars="0"/>
        <w:outlineLvl w:val="1"/>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t>2</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4编制依据</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（1）《中华人民共和国环境保护法》，自2015年1月1日起施行；</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（2）《中华人民共和国环境影响评价法》，自2016年9月1日起施行；</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（3）《建设项目环境保护管理条例》（中华人民共和国国务院令第682号，2017年10月1日起施行）；</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（4）《中华人民共和国水法》（2016.7.2修正）；</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（5）《关于印发水污染防治行动计划的通知》（国发〔2015〕17号）；</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（6）《四川省城镇污水处理设施建设三年推进方案（2021—2023年）》（川办发〔2020〕86号）；</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（7）《建设项目环境影响评价技术导则总纲》（HJ2.1-2016，环境保护部2016年12月8日发布，2017年1月1日实施）；</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（8）《达州市推进城镇生活污水和城乡生活垃圾处理设施建设三年实施方案（2021—2023年）》；</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（9）《四川省环境保护条例》（2018年1月1日施行）；</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（10）四川省人民政府《关于落实生态保护红线、环境质量底线、资源利用上线制定生态环境准入清单实施生态环境分区管控的通知》（川府发〔2020〕9号）；</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（11）</w:t>
      </w:r>
      <w:r>
        <w:rPr>
          <w:color w:val="auto"/>
          <w:kern w:val="2"/>
          <w:sz w:val="24"/>
          <w:szCs w:val="24"/>
          <w:highlight w:val="none"/>
          <w:lang w:bidi="ar"/>
        </w:rPr>
        <w:t>《关于落实生态保护红线、环境质量底线、资源利用上线制定生态环境准入清单实施生态环境分区管控的通知》（达市府发〔2021〕17号）；</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（12）《四川省城镇集中式饮用水水源地保护区规划》（川办函〔2010〕26号）；</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（13）《城镇污水处理厂附属建筑和设备设计标准》（CJJ31-89）；</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（14）《城镇污水处理厂污染物排放标准》（GB18918-2002）；</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（15）《城镇给水排水技术规范》（GB50788-2012）；</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（16）《城镇污水处理厂污泥处理技术规程》（CJJ131-2009）；</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（17）《建筑给水排水设计标准》（GB50015-2019）；</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（18）《城市给水工程规划规范》（GB50282-2016）；</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（19）《城镇排水与污水处理条例》（国务院令第641号，2014.1.1）；</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（20）四川汉润水务集团有限公司提供的其他技术资料。</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topLinePunct w:val="0"/>
        <w:bidi w:val="0"/>
        <w:spacing w:line="360" w:lineRule="auto"/>
        <w:ind w:left="0" w:leftChars="0" w:right="0" w:rightChars="0"/>
        <w:outlineLvl w:val="0"/>
        <w:rPr>
          <w:rFonts w:hint="default" w:ascii="Times New Roman" w:hAnsi="Times New Roman" w:cs="Times New Roman"/>
          <w:b/>
          <w:bCs/>
          <w:color w:val="auto"/>
          <w:highlight w:val="none"/>
        </w:rPr>
      </w:pPr>
      <w:r>
        <w:rPr>
          <w:rFonts w:hint="default" w:ascii="Times New Roman" w:hAnsi="Times New Roman" w:cs="Times New Roman"/>
          <w:b/>
          <w:bCs/>
          <w:color w:val="auto"/>
          <w:sz w:val="30"/>
          <w:szCs w:val="30"/>
          <w:highlight w:val="none"/>
          <w:lang w:val="en-US" w:eastAsia="zh-CN"/>
        </w:rPr>
        <w:t>3</w:t>
      </w:r>
      <w:r>
        <w:rPr>
          <w:rFonts w:hint="default" w:ascii="Times New Roman" w:hAnsi="Times New Roman" w:cs="Times New Roman"/>
          <w:b/>
          <w:bCs/>
          <w:color w:val="auto"/>
          <w:sz w:val="30"/>
          <w:szCs w:val="30"/>
          <w:highlight w:val="none"/>
        </w:rPr>
        <w:t xml:space="preserve"> 评价等级</w:t>
      </w:r>
      <w:r>
        <w:rPr>
          <w:rFonts w:hint="default" w:ascii="Times New Roman" w:hAnsi="Times New Roman" w:cs="Times New Roman"/>
          <w:b/>
          <w:bCs/>
          <w:color w:val="auto"/>
          <w:sz w:val="30"/>
          <w:szCs w:val="30"/>
          <w:highlight w:val="none"/>
          <w:lang w:eastAsia="zh-CN"/>
        </w:rPr>
        <w:t>及评价范围确定</w:t>
      </w:r>
    </w:p>
    <w:p>
      <w:pPr>
        <w:pageBreakBefore w:val="0"/>
        <w:kinsoku/>
        <w:wordWrap/>
        <w:topLinePunct w:val="0"/>
        <w:bidi w:val="0"/>
        <w:snapToGrid w:val="0"/>
        <w:spacing w:line="360" w:lineRule="auto"/>
        <w:ind w:left="0" w:leftChars="0" w:right="0" w:rightChars="0"/>
        <w:outlineLvl w:val="1"/>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lang w:val="en-US" w:eastAsia="zh-CN"/>
        </w:rPr>
        <w:t>3</w:t>
      </w:r>
      <w:r>
        <w:rPr>
          <w:rFonts w:hint="default" w:ascii="Times New Roman" w:hAnsi="Times New Roman" w:cs="Times New Roman"/>
          <w:b/>
          <w:color w:val="auto"/>
          <w:sz w:val="28"/>
          <w:szCs w:val="28"/>
          <w:highlight w:val="none"/>
        </w:rPr>
        <w:t>.1环境影响识别与评价因子筛选</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项目运营期污水处理后出水达到处理后出水水质执行《城镇污水处理厂污染物排放标准》（GB18918-2002）一级A标准，尾水通过现有排污口排入前河。根据工程分析结果，本项目地表水环境影响评价因子见表</w:t>
      </w:r>
      <w:r>
        <w:rPr>
          <w:rFonts w:hint="eastAsia"/>
          <w:color w:val="auto"/>
          <w:sz w:val="24"/>
          <w:szCs w:val="36"/>
          <w:highlight w:val="none"/>
          <w:lang w:val="en-US" w:eastAsia="zh-CN"/>
        </w:rPr>
        <w:t>3</w:t>
      </w:r>
      <w:r>
        <w:rPr>
          <w:color w:val="auto"/>
          <w:sz w:val="24"/>
          <w:szCs w:val="36"/>
          <w:highlight w:val="none"/>
        </w:rPr>
        <w:t>-1。</w:t>
      </w:r>
    </w:p>
    <w:p>
      <w:pPr>
        <w:pageBreakBefore w:val="0"/>
        <w:kinsoku/>
        <w:wordWrap/>
        <w:topLinePunct w:val="0"/>
        <w:bidi w:val="0"/>
        <w:spacing w:line="360" w:lineRule="auto"/>
        <w:ind w:left="0" w:leftChars="0" w:right="0" w:rightChars="0"/>
        <w:jc w:val="center"/>
        <w:rPr>
          <w:color w:val="auto"/>
          <w:highlight w:val="none"/>
        </w:rPr>
      </w:pPr>
      <w:r>
        <w:rPr>
          <w:rFonts w:eastAsia="黑体"/>
          <w:color w:val="auto"/>
          <w:szCs w:val="22"/>
          <w:highlight w:val="none"/>
        </w:rPr>
        <w:t>表</w:t>
      </w:r>
      <w:r>
        <w:rPr>
          <w:rFonts w:hint="eastAsia" w:eastAsia="黑体"/>
          <w:color w:val="auto"/>
          <w:szCs w:val="22"/>
          <w:highlight w:val="none"/>
          <w:lang w:val="en-US" w:eastAsia="zh-CN"/>
        </w:rPr>
        <w:t>3</w:t>
      </w:r>
      <w:r>
        <w:rPr>
          <w:rFonts w:eastAsia="黑体"/>
          <w:color w:val="auto"/>
          <w:szCs w:val="22"/>
          <w:highlight w:val="none"/>
        </w:rPr>
        <w:t>-1</w:t>
      </w:r>
      <w:r>
        <w:rPr>
          <w:rFonts w:hint="eastAsia" w:eastAsia="黑体"/>
          <w:color w:val="auto"/>
          <w:szCs w:val="22"/>
          <w:highlight w:val="none"/>
        </w:rPr>
        <w:t xml:space="preserve"> </w:t>
      </w:r>
      <w:r>
        <w:rPr>
          <w:rFonts w:eastAsia="黑体"/>
          <w:color w:val="auto"/>
          <w:szCs w:val="22"/>
          <w:highlight w:val="none"/>
        </w:rPr>
        <w:t>评价因子一览表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5895"/>
        <w:gridCol w:w="2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0"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类别</w:t>
            </w:r>
          </w:p>
        </w:tc>
        <w:tc>
          <w:tcPr>
            <w:tcW w:w="2993"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现状评价因子</w:t>
            </w:r>
          </w:p>
        </w:tc>
        <w:tc>
          <w:tcPr>
            <w:tcW w:w="1386" w:type="pct"/>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影响预测因子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0"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地表水</w:t>
            </w:r>
          </w:p>
        </w:tc>
        <w:tc>
          <w:tcPr>
            <w:tcW w:w="2993" w:type="pct"/>
            <w:vAlign w:val="center"/>
          </w:tcPr>
          <w:p>
            <w:pPr>
              <w:pageBreakBefore w:val="0"/>
              <w:kinsoku/>
              <w:wordWrap/>
              <w:topLinePunct w:val="0"/>
              <w:bidi w:val="0"/>
              <w:ind w:left="0" w:leftChars="0" w:right="0" w:rightChars="0"/>
              <w:jc w:val="center"/>
              <w:rPr>
                <w:color w:val="auto"/>
                <w:highlight w:val="none"/>
              </w:rPr>
            </w:pPr>
            <w:r>
              <w:rPr>
                <w:color w:val="auto"/>
                <w:highlight w:val="none"/>
              </w:rPr>
              <w:t>pH、化学需氧量、五日生化需氧量、溶解氧、氨氮、总磷、总氮、石油类、阴离子表面活性剂、粪大肠菌群</w:t>
            </w:r>
          </w:p>
        </w:tc>
        <w:tc>
          <w:tcPr>
            <w:tcW w:w="138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COD、氨氮、总磷</w:t>
            </w:r>
          </w:p>
        </w:tc>
      </w:tr>
    </w:tbl>
    <w:p>
      <w:pPr>
        <w:pageBreakBefore w:val="0"/>
        <w:kinsoku/>
        <w:wordWrap/>
        <w:topLinePunct w:val="0"/>
        <w:bidi w:val="0"/>
        <w:snapToGrid w:val="0"/>
        <w:spacing w:line="360" w:lineRule="auto"/>
        <w:ind w:left="0" w:leftChars="0" w:right="0" w:rightChars="0"/>
        <w:outlineLvl w:val="1"/>
        <w:rPr>
          <w:rFonts w:hint="default" w:ascii="Times New Roman" w:hAnsi="Times New Roman" w:cs="Times New Roman"/>
          <w:b/>
          <w:color w:val="auto"/>
          <w:sz w:val="28"/>
          <w:szCs w:val="28"/>
          <w:highlight w:val="none"/>
        </w:rPr>
      </w:pPr>
      <w:r>
        <w:rPr>
          <w:rFonts w:hint="default" w:ascii="Times New Roman" w:hAnsi="Times New Roman" w:cs="Times New Roman"/>
          <w:b/>
          <w:color w:val="auto"/>
          <w:sz w:val="28"/>
          <w:szCs w:val="28"/>
          <w:highlight w:val="none"/>
          <w:lang w:val="en-US" w:eastAsia="zh-CN"/>
        </w:rPr>
        <w:t>3</w:t>
      </w:r>
      <w:r>
        <w:rPr>
          <w:rFonts w:hint="default" w:ascii="Times New Roman" w:hAnsi="Times New Roman" w:cs="Times New Roman"/>
          <w:b/>
          <w:color w:val="auto"/>
          <w:sz w:val="28"/>
          <w:szCs w:val="28"/>
          <w:highlight w:val="none"/>
        </w:rPr>
        <w:t>.</w:t>
      </w:r>
      <w:r>
        <w:rPr>
          <w:rFonts w:hint="default" w:ascii="Times New Roman" w:hAnsi="Times New Roman" w:cs="Times New Roman"/>
          <w:b/>
          <w:color w:val="auto"/>
          <w:sz w:val="28"/>
          <w:szCs w:val="28"/>
          <w:highlight w:val="none"/>
          <w:lang w:val="en-US" w:eastAsia="zh-CN"/>
        </w:rPr>
        <w:t>2</w:t>
      </w:r>
      <w:r>
        <w:rPr>
          <w:rFonts w:hint="default" w:ascii="Times New Roman" w:hAnsi="Times New Roman" w:cs="Times New Roman"/>
          <w:b/>
          <w:color w:val="auto"/>
          <w:sz w:val="28"/>
          <w:szCs w:val="28"/>
          <w:highlight w:val="none"/>
        </w:rPr>
        <w:t>评价等级的确定</w:t>
      </w:r>
    </w:p>
    <w:p>
      <w:pPr>
        <w:pStyle w:val="22"/>
        <w:pageBreakBefore w:val="0"/>
        <w:kinsoku/>
        <w:wordWrap/>
        <w:topLinePunct w:val="0"/>
        <w:bidi w:val="0"/>
        <w:spacing w:after="0" w:line="360" w:lineRule="auto"/>
        <w:ind w:left="0" w:leftChars="0" w:right="0" w:rightChars="0" w:firstLine="482" w:firstLineChars="200"/>
        <w:rPr>
          <w:b/>
          <w:bCs/>
          <w:color w:val="auto"/>
          <w:sz w:val="24"/>
          <w:szCs w:val="36"/>
          <w:highlight w:val="none"/>
        </w:rPr>
      </w:pPr>
      <w:r>
        <w:rPr>
          <w:b/>
          <w:bCs/>
          <w:color w:val="auto"/>
          <w:sz w:val="24"/>
          <w:szCs w:val="36"/>
          <w:highlight w:val="none"/>
        </w:rPr>
        <w:t>（1）评价等级</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项目废水排放方式为直接排放，根据《环境影响评价技术导则地表水环境》（HJ2.3-2018），项目水污染影响型建设项目评价等级判定见表</w:t>
      </w:r>
      <w:r>
        <w:rPr>
          <w:rFonts w:hint="eastAsia"/>
          <w:color w:val="auto"/>
          <w:sz w:val="24"/>
          <w:szCs w:val="36"/>
          <w:highlight w:val="none"/>
          <w:lang w:val="en-US" w:eastAsia="zh-CN"/>
        </w:rPr>
        <w:t>3</w:t>
      </w:r>
      <w:r>
        <w:rPr>
          <w:color w:val="auto"/>
          <w:sz w:val="24"/>
          <w:szCs w:val="36"/>
          <w:highlight w:val="none"/>
        </w:rPr>
        <w:t>-2。</w:t>
      </w:r>
    </w:p>
    <w:p>
      <w:pPr>
        <w:pageBreakBefore w:val="0"/>
        <w:kinsoku/>
        <w:wordWrap/>
        <w:topLinePunct w:val="0"/>
        <w:bidi w:val="0"/>
        <w:spacing w:line="360" w:lineRule="auto"/>
        <w:ind w:left="0" w:leftChars="0" w:right="0" w:rightChars="0"/>
        <w:jc w:val="center"/>
        <w:rPr>
          <w:rFonts w:eastAsia="黑体"/>
          <w:color w:val="auto"/>
          <w:szCs w:val="22"/>
          <w:highlight w:val="none"/>
        </w:rPr>
      </w:pPr>
      <w:r>
        <w:rPr>
          <w:rFonts w:eastAsia="黑体"/>
          <w:color w:val="auto"/>
          <w:szCs w:val="22"/>
          <w:highlight w:val="none"/>
        </w:rPr>
        <w:t>表</w:t>
      </w:r>
      <w:r>
        <w:rPr>
          <w:rFonts w:hint="eastAsia" w:eastAsia="黑体"/>
          <w:color w:val="auto"/>
          <w:szCs w:val="22"/>
          <w:highlight w:val="none"/>
          <w:lang w:val="en-US" w:eastAsia="zh-CN"/>
        </w:rPr>
        <w:t>3</w:t>
      </w:r>
      <w:r>
        <w:rPr>
          <w:rFonts w:eastAsia="黑体"/>
          <w:color w:val="auto"/>
          <w:szCs w:val="22"/>
          <w:highlight w:val="none"/>
        </w:rPr>
        <w:t>-2</w:t>
      </w:r>
      <w:r>
        <w:rPr>
          <w:rFonts w:hint="eastAsia" w:eastAsia="黑体"/>
          <w:color w:val="auto"/>
          <w:szCs w:val="22"/>
          <w:highlight w:val="none"/>
        </w:rPr>
        <w:t xml:space="preserve"> </w:t>
      </w:r>
      <w:r>
        <w:rPr>
          <w:rFonts w:eastAsia="黑体"/>
          <w:color w:val="auto"/>
          <w:szCs w:val="22"/>
          <w:highlight w:val="none"/>
        </w:rPr>
        <w:t>水污染影响型建设项目评价等级判定</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955"/>
        <w:gridCol w:w="6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vMerge w:val="restart"/>
            <w:vAlign w:val="center"/>
          </w:tcPr>
          <w:p>
            <w:pPr>
              <w:pageBreakBefore w:val="0"/>
              <w:kinsoku/>
              <w:wordWrap/>
              <w:topLinePunct w:val="0"/>
              <w:bidi w:val="0"/>
              <w:snapToGrid w:val="0"/>
              <w:ind w:left="0" w:leftChars="0" w:right="0" w:rightChars="0"/>
              <w:jc w:val="center"/>
              <w:rPr>
                <w:b/>
                <w:color w:val="auto"/>
                <w:highlight w:val="none"/>
              </w:rPr>
            </w:pPr>
            <w:r>
              <w:rPr>
                <w:b/>
                <w:color w:val="auto"/>
                <w:highlight w:val="none"/>
              </w:rPr>
              <w:t>评价等级</w:t>
            </w:r>
          </w:p>
        </w:tc>
        <w:tc>
          <w:tcPr>
            <w:tcW w:w="4181" w:type="pct"/>
            <w:gridSpan w:val="2"/>
            <w:vAlign w:val="center"/>
          </w:tcPr>
          <w:p>
            <w:pPr>
              <w:pageBreakBefore w:val="0"/>
              <w:kinsoku/>
              <w:wordWrap/>
              <w:topLinePunct w:val="0"/>
              <w:bidi w:val="0"/>
              <w:snapToGrid w:val="0"/>
              <w:ind w:left="0" w:leftChars="0" w:right="0" w:rightChars="0"/>
              <w:jc w:val="center"/>
              <w:rPr>
                <w:b/>
                <w:color w:val="auto"/>
                <w:highlight w:val="none"/>
              </w:rPr>
            </w:pPr>
            <w:r>
              <w:rPr>
                <w:b/>
                <w:color w:val="auto"/>
                <w:highlight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vMerge w:val="continue"/>
            <w:vAlign w:val="center"/>
          </w:tcPr>
          <w:p>
            <w:pPr>
              <w:pageBreakBefore w:val="0"/>
              <w:kinsoku/>
              <w:wordWrap/>
              <w:topLinePunct w:val="0"/>
              <w:bidi w:val="0"/>
              <w:snapToGrid w:val="0"/>
              <w:ind w:left="0" w:leftChars="0" w:right="0" w:rightChars="0"/>
              <w:jc w:val="center"/>
              <w:rPr>
                <w:b/>
                <w:color w:val="auto"/>
                <w:highlight w:val="none"/>
              </w:rPr>
            </w:pPr>
          </w:p>
        </w:tc>
        <w:tc>
          <w:tcPr>
            <w:tcW w:w="992" w:type="pct"/>
            <w:vAlign w:val="center"/>
          </w:tcPr>
          <w:p>
            <w:pPr>
              <w:pageBreakBefore w:val="0"/>
              <w:kinsoku/>
              <w:wordWrap/>
              <w:topLinePunct w:val="0"/>
              <w:bidi w:val="0"/>
              <w:snapToGrid w:val="0"/>
              <w:ind w:left="0" w:leftChars="0" w:right="0" w:rightChars="0"/>
              <w:jc w:val="center"/>
              <w:rPr>
                <w:b/>
                <w:color w:val="auto"/>
                <w:highlight w:val="none"/>
              </w:rPr>
            </w:pPr>
            <w:r>
              <w:rPr>
                <w:b/>
                <w:color w:val="auto"/>
                <w:highlight w:val="none"/>
              </w:rPr>
              <w:t>排放方式</w:t>
            </w:r>
          </w:p>
        </w:tc>
        <w:tc>
          <w:tcPr>
            <w:tcW w:w="3189" w:type="pct"/>
            <w:vAlign w:val="center"/>
          </w:tcPr>
          <w:p>
            <w:pPr>
              <w:pageBreakBefore w:val="0"/>
              <w:kinsoku/>
              <w:wordWrap/>
              <w:topLinePunct w:val="0"/>
              <w:bidi w:val="0"/>
              <w:snapToGrid w:val="0"/>
              <w:ind w:left="0" w:leftChars="0" w:right="0" w:rightChars="0"/>
              <w:jc w:val="center"/>
              <w:rPr>
                <w:b/>
                <w:color w:val="auto"/>
                <w:highlight w:val="none"/>
              </w:rPr>
            </w:pPr>
            <w:r>
              <w:rPr>
                <w:b/>
                <w:color w:val="auto"/>
                <w:highlight w:val="none"/>
              </w:rPr>
              <w:t>废水排放量Q/（m</w:t>
            </w:r>
            <w:r>
              <w:rPr>
                <w:b/>
                <w:color w:val="auto"/>
                <w:highlight w:val="none"/>
                <w:vertAlign w:val="superscript"/>
              </w:rPr>
              <w:t>3</w:t>
            </w:r>
            <w:r>
              <w:rPr>
                <w:b/>
                <w:color w:val="auto"/>
                <w:highlight w:val="none"/>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一级</w:t>
            </w:r>
          </w:p>
        </w:tc>
        <w:tc>
          <w:tcPr>
            <w:tcW w:w="992"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直接排放</w:t>
            </w:r>
          </w:p>
        </w:tc>
        <w:tc>
          <w:tcPr>
            <w:tcW w:w="3189"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二级</w:t>
            </w:r>
          </w:p>
        </w:tc>
        <w:tc>
          <w:tcPr>
            <w:tcW w:w="992"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直接排放</w:t>
            </w:r>
          </w:p>
        </w:tc>
        <w:tc>
          <w:tcPr>
            <w:tcW w:w="3189"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三级A</w:t>
            </w:r>
          </w:p>
        </w:tc>
        <w:tc>
          <w:tcPr>
            <w:tcW w:w="992"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直接排放</w:t>
            </w:r>
          </w:p>
        </w:tc>
        <w:tc>
          <w:tcPr>
            <w:tcW w:w="3189"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8"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三级B</w:t>
            </w:r>
          </w:p>
        </w:tc>
        <w:tc>
          <w:tcPr>
            <w:tcW w:w="992"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间接排放</w:t>
            </w:r>
          </w:p>
        </w:tc>
        <w:tc>
          <w:tcPr>
            <w:tcW w:w="3189" w:type="pct"/>
            <w:vAlign w:val="center"/>
          </w:tcPr>
          <w:p>
            <w:pPr>
              <w:pageBreakBefore w:val="0"/>
              <w:kinsoku/>
              <w:wordWrap/>
              <w:topLinePunct w:val="0"/>
              <w:bidi w:val="0"/>
              <w:snapToGrid w:val="0"/>
              <w:ind w:left="0" w:leftChars="0" w:right="0" w:rightChars="0"/>
              <w:jc w:val="cente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1</w:t>
            </w:r>
            <w:r>
              <w:rPr>
                <w:rFonts w:eastAsia="宋体"/>
                <w:bCs/>
                <w:color w:val="auto"/>
                <w:sz w:val="21"/>
                <w:highlight w:val="none"/>
              </w:rPr>
              <w:t>：水污染物当量数等于该污染物的年排放量除以该污染物的污染当量值（见附录</w:t>
            </w:r>
            <w:r>
              <w:rPr>
                <w:bCs/>
                <w:color w:val="auto"/>
                <w:sz w:val="21"/>
                <w:highlight w:val="none"/>
              </w:rPr>
              <w:t>A</w:t>
            </w:r>
            <w:r>
              <w:rPr>
                <w:rFonts w:eastAsia="宋体"/>
                <w:bCs/>
                <w:color w:val="auto"/>
                <w:sz w:val="21"/>
                <w:highlight w:val="none"/>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2</w:t>
            </w:r>
            <w:r>
              <w:rPr>
                <w:rFonts w:eastAsia="宋体"/>
                <w:bCs/>
                <w:color w:val="auto"/>
                <w:sz w:val="21"/>
                <w:highlight w:val="none"/>
              </w:rPr>
              <w:t>：废水排放量按行业排放标准中规定的废水种类统计，没有相关行业排放标准要求的通过工程分析合理确定，应统计含热量大的冷却水的排放量，可不统计间接冷却水、循环水及其他含污染物极少的清净下水的排放量。</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3</w:t>
            </w:r>
            <w:r>
              <w:rPr>
                <w:rFonts w:eastAsia="宋体"/>
                <w:bCs/>
                <w:color w:val="auto"/>
                <w:sz w:val="21"/>
                <w:highlight w:val="none"/>
              </w:rPr>
              <w:t>：厂区存在堆积物（露天堆放的原料、燃料、废渣等以及垃圾堆放场）、降尘污染的，应将初期雨污水纳入废水排放量，相应的主要污染物纳入水污染当量计算。</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4</w:t>
            </w:r>
            <w:r>
              <w:rPr>
                <w:rFonts w:eastAsia="宋体"/>
                <w:bCs/>
                <w:color w:val="auto"/>
                <w:sz w:val="21"/>
                <w:highlight w:val="none"/>
              </w:rPr>
              <w:t>：建设项目直接排放第一类污染物的，其评价等级为一级；建设项目直接排放的污染物为受纳水体超标因子的，评价等级不低于二级。</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5</w:t>
            </w:r>
            <w:r>
              <w:rPr>
                <w:rFonts w:eastAsia="宋体"/>
                <w:bCs/>
                <w:color w:val="auto"/>
                <w:sz w:val="21"/>
                <w:highlight w:val="none"/>
              </w:rPr>
              <w:t>：直接排放受纳水体影响范围涉及饮用水水源保护区、饮用水取水口、重点保护与珍稀水生生物的栖息地、重要水生生物的自然产卵场等保护目标时，评价等级不低于二级。</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6</w:t>
            </w:r>
            <w:r>
              <w:rPr>
                <w:rFonts w:eastAsia="宋体"/>
                <w:bCs/>
                <w:color w:val="auto"/>
                <w:sz w:val="21"/>
                <w:highlight w:val="none"/>
              </w:rPr>
              <w:t>：建设项目向河流、湖库排放温排水引起受纳水体水温变化超过水环境质量标准要求，且评价范围有水温敏感目标时，评价等级为一级。</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7</w:t>
            </w:r>
            <w:r>
              <w:rPr>
                <w:rFonts w:eastAsia="宋体"/>
                <w:bCs/>
                <w:color w:val="auto"/>
                <w:sz w:val="21"/>
                <w:highlight w:val="none"/>
              </w:rPr>
              <w:t>：建设项目利用海水作为调节温度介质，排水量</w:t>
            </w:r>
            <w:r>
              <w:rPr>
                <w:bCs/>
                <w:color w:val="auto"/>
                <w:sz w:val="21"/>
                <w:highlight w:val="none"/>
              </w:rPr>
              <w:t>≥500</w:t>
            </w:r>
            <w:r>
              <w:rPr>
                <w:rFonts w:eastAsia="宋体"/>
                <w:bCs/>
                <w:color w:val="auto"/>
                <w:sz w:val="21"/>
                <w:highlight w:val="none"/>
              </w:rPr>
              <w:t>万</w:t>
            </w:r>
            <w:r>
              <w:rPr>
                <w:bCs/>
                <w:color w:val="auto"/>
                <w:sz w:val="21"/>
                <w:highlight w:val="none"/>
              </w:rPr>
              <w:t>m</w:t>
            </w:r>
            <w:r>
              <w:rPr>
                <w:bCs/>
                <w:color w:val="auto"/>
                <w:sz w:val="21"/>
                <w:highlight w:val="none"/>
                <w:vertAlign w:val="superscript"/>
              </w:rPr>
              <w:t>3</w:t>
            </w:r>
            <w:r>
              <w:rPr>
                <w:bCs/>
                <w:color w:val="auto"/>
                <w:sz w:val="21"/>
                <w:highlight w:val="none"/>
              </w:rPr>
              <w:t>/d</w:t>
            </w:r>
            <w:r>
              <w:rPr>
                <w:rFonts w:eastAsia="宋体"/>
                <w:bCs/>
                <w:color w:val="auto"/>
                <w:sz w:val="21"/>
                <w:highlight w:val="none"/>
              </w:rPr>
              <w:t>，评价等级为一级；排水量＜</w:t>
            </w:r>
            <w:r>
              <w:rPr>
                <w:bCs/>
                <w:color w:val="auto"/>
                <w:sz w:val="21"/>
                <w:highlight w:val="none"/>
              </w:rPr>
              <w:t>500</w:t>
            </w:r>
            <w:r>
              <w:rPr>
                <w:rFonts w:eastAsia="宋体"/>
                <w:bCs/>
                <w:color w:val="auto"/>
                <w:sz w:val="21"/>
                <w:highlight w:val="none"/>
              </w:rPr>
              <w:t>万</w:t>
            </w:r>
            <w:r>
              <w:rPr>
                <w:bCs/>
                <w:color w:val="auto"/>
                <w:sz w:val="21"/>
                <w:highlight w:val="none"/>
              </w:rPr>
              <w:t>m</w:t>
            </w:r>
            <w:r>
              <w:rPr>
                <w:bCs/>
                <w:color w:val="auto"/>
                <w:sz w:val="21"/>
                <w:highlight w:val="none"/>
                <w:vertAlign w:val="superscript"/>
              </w:rPr>
              <w:t>3</w:t>
            </w:r>
            <w:r>
              <w:rPr>
                <w:bCs/>
                <w:color w:val="auto"/>
                <w:sz w:val="21"/>
                <w:highlight w:val="none"/>
              </w:rPr>
              <w:t>/d</w:t>
            </w:r>
            <w:r>
              <w:rPr>
                <w:rFonts w:eastAsia="宋体"/>
                <w:bCs/>
                <w:color w:val="auto"/>
                <w:sz w:val="21"/>
                <w:highlight w:val="none"/>
              </w:rPr>
              <w:t>，评价等级为二级。</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8</w:t>
            </w:r>
            <w:r>
              <w:rPr>
                <w:rFonts w:eastAsia="宋体"/>
                <w:bCs/>
                <w:color w:val="auto"/>
                <w:sz w:val="21"/>
                <w:highlight w:val="none"/>
              </w:rPr>
              <w:t>：仅涉及清净下水排放的，如其排放水质满足受纳水体水环境质量标准要求的，评价等级为三级</w:t>
            </w:r>
            <w:r>
              <w:rPr>
                <w:bCs/>
                <w:color w:val="auto"/>
                <w:sz w:val="21"/>
                <w:highlight w:val="none"/>
              </w:rPr>
              <w:t>A</w:t>
            </w:r>
            <w:r>
              <w:rPr>
                <w:rFonts w:eastAsia="宋体"/>
                <w:bCs/>
                <w:color w:val="auto"/>
                <w:sz w:val="21"/>
                <w:highlight w:val="none"/>
              </w:rPr>
              <w:t>。</w:t>
            </w:r>
          </w:p>
          <w:p>
            <w:pPr>
              <w:pStyle w:val="41"/>
              <w:pageBreakBefore w:val="0"/>
              <w:kinsoku/>
              <w:wordWrap/>
              <w:topLinePunct w:val="0"/>
              <w:bidi w:val="0"/>
              <w:ind w:left="0" w:leftChars="0" w:right="0" w:rightChars="0" w:firstLine="0" w:firstLineChars="0"/>
              <w:contextualSpacing/>
              <w:jc w:val="left"/>
              <w:rPr>
                <w:bCs/>
                <w:color w:val="auto"/>
                <w:sz w:val="21"/>
                <w:highlight w:val="none"/>
              </w:rPr>
            </w:pPr>
            <w:r>
              <w:rPr>
                <w:rFonts w:eastAsia="宋体"/>
                <w:bCs/>
                <w:color w:val="auto"/>
                <w:sz w:val="21"/>
                <w:highlight w:val="none"/>
              </w:rPr>
              <w:t>注</w:t>
            </w:r>
            <w:r>
              <w:rPr>
                <w:bCs/>
                <w:color w:val="auto"/>
                <w:sz w:val="21"/>
                <w:highlight w:val="none"/>
              </w:rPr>
              <w:t>9</w:t>
            </w:r>
            <w:r>
              <w:rPr>
                <w:rFonts w:eastAsia="宋体"/>
                <w:bCs/>
                <w:color w:val="auto"/>
                <w:sz w:val="21"/>
                <w:highlight w:val="none"/>
              </w:rPr>
              <w:t>：依托现有排放口，且对外环境未新增排放污染物的直接排放建设项目，评价等级参照间接排放，定为三级</w:t>
            </w:r>
            <w:r>
              <w:rPr>
                <w:bCs/>
                <w:color w:val="auto"/>
                <w:sz w:val="21"/>
                <w:highlight w:val="none"/>
              </w:rPr>
              <w:t>B</w:t>
            </w:r>
            <w:r>
              <w:rPr>
                <w:rFonts w:eastAsia="宋体"/>
                <w:bCs/>
                <w:color w:val="auto"/>
                <w:sz w:val="21"/>
                <w:highlight w:val="none"/>
              </w:rPr>
              <w:t>。</w:t>
            </w:r>
          </w:p>
          <w:p>
            <w:pPr>
              <w:pageBreakBefore w:val="0"/>
              <w:kinsoku/>
              <w:wordWrap/>
              <w:topLinePunct w:val="0"/>
              <w:bidi w:val="0"/>
              <w:snapToGrid w:val="0"/>
              <w:ind w:left="0" w:leftChars="0" w:right="0" w:rightChars="0"/>
              <w:jc w:val="left"/>
              <w:rPr>
                <w:color w:val="auto"/>
                <w:highlight w:val="none"/>
              </w:rPr>
            </w:pPr>
            <w:r>
              <w:rPr>
                <w:bCs/>
                <w:color w:val="auto"/>
                <w:highlight w:val="none"/>
              </w:rPr>
              <w:t>注10：建设项目生产工艺中有废水产生，但作为回水利用，不排放到外环境的，按三级B评价。</w:t>
            </w:r>
          </w:p>
        </w:tc>
      </w:tr>
    </w:tbl>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根据《环境影响评价技术导则地表水环境》（HJ2.3-2018），本项目排放方式为直接排放，新增污水排放量Q=10000m</w:t>
      </w:r>
      <w:r>
        <w:rPr>
          <w:color w:val="auto"/>
          <w:sz w:val="24"/>
          <w:szCs w:val="36"/>
          <w:highlight w:val="none"/>
          <w:vertAlign w:val="superscript"/>
        </w:rPr>
        <w:t>3</w:t>
      </w:r>
      <w:r>
        <w:rPr>
          <w:color w:val="auto"/>
          <w:sz w:val="24"/>
          <w:szCs w:val="36"/>
          <w:highlight w:val="none"/>
        </w:rPr>
        <w:t>/d，水污染物当量数最大值为WCODcr=182500＜600000，根据“表1水污染影响型建设项目评价等级判定”地表水环境影响评价等级为二级。</w:t>
      </w:r>
    </w:p>
    <w:p>
      <w:pPr>
        <w:pageBreakBefore w:val="0"/>
        <w:kinsoku/>
        <w:wordWrap/>
        <w:topLinePunct w:val="0"/>
        <w:bidi w:val="0"/>
        <w:snapToGrid w:val="0"/>
        <w:spacing w:line="360" w:lineRule="auto"/>
        <w:ind w:left="0" w:leftChars="0" w:right="0" w:rightChars="0"/>
        <w:outlineLvl w:val="1"/>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eastAsia="宋体" w:cs="Times New Roman"/>
          <w:b/>
          <w:color w:val="auto"/>
          <w:sz w:val="28"/>
          <w:szCs w:val="28"/>
          <w:highlight w:val="none"/>
          <w:lang w:val="en-US" w:eastAsia="zh-CN"/>
        </w:rPr>
        <w:t>3.3评价范围确定</w:t>
      </w:r>
    </w:p>
    <w:p>
      <w:pPr>
        <w:pStyle w:val="22"/>
        <w:pageBreakBefore w:val="0"/>
        <w:kinsoku/>
        <w:wordWrap/>
        <w:topLinePunct w:val="0"/>
        <w:bidi w:val="0"/>
        <w:spacing w:after="0" w:line="360" w:lineRule="auto"/>
        <w:ind w:left="0" w:leftChars="0" w:right="0" w:rightChars="0" w:firstLine="480" w:firstLineChars="200"/>
        <w:rPr>
          <w:b/>
          <w:bCs/>
          <w:color w:val="auto"/>
          <w:sz w:val="24"/>
          <w:szCs w:val="36"/>
          <w:highlight w:val="none"/>
        </w:rPr>
      </w:pPr>
      <w:r>
        <w:rPr>
          <w:color w:val="auto"/>
          <w:sz w:val="24"/>
          <w:szCs w:val="36"/>
          <w:highlight w:val="none"/>
        </w:rPr>
        <w:t>本项目受纳水体为前河。根据《环境影响评价技术导则地表水环境》（HJ2.3-2018），建设项目地表水环境影响评价范围指整体实施后，可能对地表水环境造成的影响范围。根据调查，前河评价河段主要水体功能为饮用、工业、渔业、景观娱乐用水等。</w:t>
      </w:r>
      <w:r>
        <w:rPr>
          <w:b/>
          <w:bCs/>
          <w:color w:val="auto"/>
          <w:sz w:val="24"/>
          <w:szCs w:val="36"/>
          <w:highlight w:val="none"/>
        </w:rPr>
        <w:t>本次评价范围为排污口至排污口下游27000m前河-乡石鹰断面。</w:t>
      </w:r>
    </w:p>
    <w:p>
      <w:pPr>
        <w:pageBreakBefore w:val="0"/>
        <w:kinsoku/>
        <w:wordWrap/>
        <w:bidi w:val="0"/>
        <w:snapToGrid w:val="0"/>
        <w:spacing w:line="360" w:lineRule="auto"/>
        <w:ind w:left="0" w:leftChars="0" w:right="0"/>
        <w:outlineLvl w:val="1"/>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eastAsia="宋体" w:cs="Times New Roman"/>
          <w:b/>
          <w:color w:val="auto"/>
          <w:sz w:val="28"/>
          <w:szCs w:val="28"/>
          <w:highlight w:val="none"/>
          <w:lang w:val="en-US" w:eastAsia="zh-CN"/>
        </w:rPr>
        <w:t>3.4评价时期确定</w:t>
      </w:r>
    </w:p>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pPr>
      <w:r>
        <w:rPr>
          <w:rFonts w:hint="eastAsia" w:ascii="Times New Roman" w:hAnsi="Times New Roman" w:eastAsia="宋体" w:cs="Times New Roman"/>
          <w:b w:val="0"/>
          <w:color w:val="auto"/>
          <w:kern w:val="2"/>
          <w:sz w:val="24"/>
          <w:szCs w:val="24"/>
          <w:highlight w:val="none"/>
          <w:lang w:val="en-US" w:eastAsia="zh-CN" w:bidi="ar"/>
        </w:rPr>
        <w:t>根据《环境影响评价技术导则地表水环境》（HJ2.3-2018），本项目地表水评价时期为最不利于污染物扩散的枯水期进行评价预测。</w:t>
      </w:r>
    </w:p>
    <w:p>
      <w:pPr>
        <w:pageBreakBefore w:val="0"/>
        <w:kinsoku/>
        <w:wordWrap/>
        <w:bidi w:val="0"/>
        <w:snapToGrid w:val="0"/>
        <w:spacing w:line="360" w:lineRule="auto"/>
        <w:ind w:left="0" w:leftChars="0" w:right="0"/>
        <w:outlineLvl w:val="1"/>
        <w:rPr>
          <w:rFonts w:hint="default" w:ascii="Times New Roman" w:hAnsi="Times New Roman" w:eastAsia="宋体" w:cs="Times New Roman"/>
          <w:b/>
          <w:color w:val="auto"/>
          <w:sz w:val="28"/>
          <w:szCs w:val="28"/>
          <w:highlight w:val="none"/>
          <w:lang w:val="en-US" w:eastAsia="zh-CN"/>
        </w:rPr>
      </w:pPr>
      <w:r>
        <w:rPr>
          <w:rFonts w:hint="default" w:ascii="Times New Roman" w:hAnsi="Times New Roman" w:eastAsia="宋体" w:cs="Times New Roman"/>
          <w:b/>
          <w:color w:val="auto"/>
          <w:sz w:val="28"/>
          <w:szCs w:val="28"/>
          <w:highlight w:val="none"/>
          <w:lang w:val="en-US" w:eastAsia="zh-CN"/>
        </w:rPr>
        <w:t>3.5水环境保护目标</w:t>
      </w:r>
    </w:p>
    <w:p>
      <w:pPr>
        <w:pStyle w:val="22"/>
        <w:pageBreakBefore w:val="0"/>
        <w:kinsoku/>
        <w:wordWrap/>
        <w:topLinePunct w:val="0"/>
        <w:bidi w:val="0"/>
        <w:spacing w:after="0" w:line="360" w:lineRule="auto"/>
        <w:ind w:left="0" w:leftChars="0" w:right="0" w:rightChars="0" w:firstLine="482" w:firstLineChars="200"/>
        <w:rPr>
          <w:b/>
          <w:bCs/>
          <w:color w:val="auto"/>
          <w:sz w:val="24"/>
          <w:szCs w:val="36"/>
          <w:highlight w:val="none"/>
        </w:rPr>
      </w:pPr>
      <w:r>
        <w:rPr>
          <w:b/>
          <w:bCs/>
          <w:color w:val="auto"/>
          <w:sz w:val="24"/>
          <w:szCs w:val="36"/>
          <w:highlight w:val="none"/>
        </w:rPr>
        <w:t>（1）地表水环境质量标准</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项目所在区域地表水执行《地表水环境质量标准》（GB3838-2002）Ⅲ类水域标准，详见表</w:t>
      </w:r>
      <w:r>
        <w:rPr>
          <w:rFonts w:hint="eastAsia"/>
          <w:color w:val="auto"/>
          <w:sz w:val="24"/>
          <w:szCs w:val="36"/>
          <w:highlight w:val="none"/>
          <w:lang w:val="en-US" w:eastAsia="zh-CN"/>
        </w:rPr>
        <w:t>3</w:t>
      </w:r>
      <w:r>
        <w:rPr>
          <w:color w:val="auto"/>
          <w:sz w:val="24"/>
          <w:szCs w:val="36"/>
          <w:highlight w:val="none"/>
        </w:rPr>
        <w:t>-3。</w:t>
      </w:r>
    </w:p>
    <w:p>
      <w:pPr>
        <w:pStyle w:val="9"/>
        <w:pageBreakBefore w:val="0"/>
        <w:widowControl/>
        <w:kinsoku/>
        <w:wordWrap/>
        <w:topLinePunct w:val="0"/>
        <w:bidi w:val="0"/>
        <w:spacing w:after="0" w:line="360" w:lineRule="auto"/>
        <w:ind w:left="0" w:leftChars="0" w:right="0" w:rightChars="0"/>
        <w:jc w:val="center"/>
        <w:rPr>
          <w:rFonts w:eastAsia="黑体"/>
          <w:color w:val="auto"/>
          <w:sz w:val="21"/>
          <w:szCs w:val="21"/>
          <w:highlight w:val="none"/>
        </w:rPr>
      </w:pPr>
      <w:r>
        <w:rPr>
          <w:rFonts w:eastAsia="黑体"/>
          <w:color w:val="auto"/>
          <w:sz w:val="21"/>
          <w:szCs w:val="24"/>
          <w:highlight w:val="none"/>
        </w:rPr>
        <w:t>表</w:t>
      </w:r>
      <w:r>
        <w:rPr>
          <w:rFonts w:hint="eastAsia" w:eastAsia="黑体"/>
          <w:color w:val="auto"/>
          <w:sz w:val="21"/>
          <w:szCs w:val="24"/>
          <w:highlight w:val="none"/>
          <w:lang w:val="en-US" w:eastAsia="zh-CN"/>
        </w:rPr>
        <w:t>3</w:t>
      </w:r>
      <w:r>
        <w:rPr>
          <w:rFonts w:eastAsia="黑体"/>
          <w:color w:val="auto"/>
          <w:sz w:val="21"/>
          <w:szCs w:val="24"/>
          <w:highlight w:val="none"/>
        </w:rPr>
        <w:t>-</w:t>
      </w:r>
      <w:r>
        <w:rPr>
          <w:rFonts w:eastAsia="黑体"/>
          <w:color w:val="auto"/>
          <w:sz w:val="21"/>
          <w:szCs w:val="21"/>
          <w:highlight w:val="none"/>
        </w:rPr>
        <w:t>3</w:t>
      </w:r>
      <w:r>
        <w:rPr>
          <w:rFonts w:hint="eastAsia" w:eastAsia="黑体"/>
          <w:color w:val="auto"/>
          <w:sz w:val="21"/>
          <w:szCs w:val="21"/>
          <w:highlight w:val="none"/>
        </w:rPr>
        <w:t xml:space="preserve"> </w:t>
      </w:r>
      <w:r>
        <w:rPr>
          <w:rFonts w:eastAsia="黑体"/>
          <w:color w:val="auto"/>
          <w:sz w:val="21"/>
          <w:szCs w:val="21"/>
          <w:highlight w:val="none"/>
        </w:rPr>
        <w:t>地表水环境质量标准</w:t>
      </w:r>
      <w:r>
        <w:rPr>
          <w:rFonts w:hint="eastAsia" w:eastAsia="黑体"/>
          <w:color w:val="auto"/>
          <w:sz w:val="21"/>
          <w:szCs w:val="21"/>
          <w:highlight w:val="none"/>
        </w:rPr>
        <w:t xml:space="preserve"> </w:t>
      </w:r>
      <w:r>
        <w:rPr>
          <w:rFonts w:hint="eastAsia" w:eastAsia="黑体"/>
          <w:color w:val="auto"/>
          <w:sz w:val="21"/>
          <w:szCs w:val="21"/>
          <w:highlight w:val="none"/>
          <w:lang w:val="en-US" w:eastAsia="zh-CN"/>
        </w:rPr>
        <w:t xml:space="preserve"> </w:t>
      </w:r>
      <w:r>
        <w:rPr>
          <w:rFonts w:eastAsia="黑体"/>
          <w:color w:val="auto"/>
          <w:sz w:val="21"/>
          <w:szCs w:val="21"/>
          <w:highlight w:val="none"/>
        </w:rPr>
        <w:t>单位：mg/L，pH无量纲</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199"/>
        <w:gridCol w:w="1199"/>
        <w:gridCol w:w="1199"/>
        <w:gridCol w:w="1199"/>
        <w:gridCol w:w="1200"/>
        <w:gridCol w:w="120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项目</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pH</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COD</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BOD</w:t>
            </w:r>
            <w:r>
              <w:rPr>
                <w:b/>
                <w:bCs/>
                <w:color w:val="auto"/>
                <w:highlight w:val="none"/>
                <w:vertAlign w:val="subscript"/>
                <w:lang w:bidi="ar"/>
              </w:rPr>
              <w:t>5</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NH</w:t>
            </w:r>
            <w:r>
              <w:rPr>
                <w:b/>
                <w:bCs/>
                <w:color w:val="auto"/>
                <w:highlight w:val="none"/>
                <w:vertAlign w:val="subscript"/>
                <w:lang w:bidi="ar"/>
              </w:rPr>
              <w:t>3</w:t>
            </w:r>
            <w:r>
              <w:rPr>
                <w:b/>
                <w:bCs/>
                <w:color w:val="auto"/>
                <w:highlight w:val="none"/>
                <w:lang w:bidi="ar"/>
              </w:rPr>
              <w:t>-N</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DO</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总氮</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标准限值</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6～9</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20</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4</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1.0</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eastAsiaTheme="minorEastAsia"/>
                <w:color w:val="auto"/>
                <w:highlight w:val="none"/>
              </w:rPr>
            </w:pPr>
            <w:r>
              <w:rPr>
                <w:color w:val="auto"/>
                <w:highlight w:val="none"/>
                <w:lang w:bidi="ar"/>
              </w:rPr>
              <w:t>5</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eastAsiaTheme="minorEastAsia"/>
                <w:color w:val="auto"/>
                <w:highlight w:val="none"/>
              </w:rPr>
            </w:pPr>
            <w:r>
              <w:rPr>
                <w:color w:val="auto"/>
                <w:highlight w:val="none"/>
              </w:rPr>
              <w:t>/</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0.2</w:t>
            </w:r>
          </w:p>
        </w:tc>
      </w:tr>
    </w:tbl>
    <w:p>
      <w:pPr>
        <w:pStyle w:val="22"/>
        <w:pageBreakBefore w:val="0"/>
        <w:kinsoku/>
        <w:wordWrap/>
        <w:topLinePunct w:val="0"/>
        <w:bidi w:val="0"/>
        <w:spacing w:after="0" w:line="360" w:lineRule="auto"/>
        <w:ind w:left="0" w:leftChars="0" w:right="0" w:rightChars="0" w:firstLine="482" w:firstLineChars="200"/>
        <w:rPr>
          <w:b/>
          <w:bCs/>
          <w:color w:val="auto"/>
          <w:sz w:val="24"/>
          <w:szCs w:val="36"/>
          <w:highlight w:val="none"/>
        </w:rPr>
      </w:pPr>
      <w:r>
        <w:rPr>
          <w:b/>
          <w:bCs/>
          <w:color w:val="auto"/>
          <w:sz w:val="24"/>
          <w:szCs w:val="36"/>
          <w:highlight w:val="none"/>
        </w:rPr>
        <w:t>（2）污染物排放标准</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项目尾水排放执行《城镇污水处理厂污染物排放标准》（GB18918-2002）中的一级A标准。</w:t>
      </w:r>
    </w:p>
    <w:p>
      <w:pPr>
        <w:pStyle w:val="9"/>
        <w:pageBreakBefore w:val="0"/>
        <w:widowControl/>
        <w:kinsoku/>
        <w:wordWrap/>
        <w:topLinePunct w:val="0"/>
        <w:bidi w:val="0"/>
        <w:spacing w:after="0" w:line="360" w:lineRule="auto"/>
        <w:ind w:left="0" w:leftChars="0" w:right="0" w:rightChars="0"/>
        <w:jc w:val="center"/>
        <w:rPr>
          <w:rFonts w:eastAsia="黑体"/>
          <w:color w:val="auto"/>
          <w:sz w:val="21"/>
          <w:szCs w:val="21"/>
          <w:highlight w:val="none"/>
        </w:rPr>
      </w:pPr>
      <w:r>
        <w:rPr>
          <w:rFonts w:eastAsia="黑体"/>
          <w:color w:val="auto"/>
          <w:sz w:val="21"/>
          <w:szCs w:val="21"/>
          <w:highlight w:val="none"/>
        </w:rPr>
        <w:t>表</w:t>
      </w:r>
      <w:r>
        <w:rPr>
          <w:rFonts w:hint="eastAsia" w:eastAsia="黑体"/>
          <w:color w:val="auto"/>
          <w:sz w:val="21"/>
          <w:szCs w:val="21"/>
          <w:highlight w:val="none"/>
          <w:lang w:val="en-US" w:eastAsia="zh-CN"/>
        </w:rPr>
        <w:t>3</w:t>
      </w:r>
      <w:r>
        <w:rPr>
          <w:rFonts w:eastAsia="黑体"/>
          <w:color w:val="auto"/>
          <w:sz w:val="21"/>
          <w:szCs w:val="21"/>
          <w:highlight w:val="none"/>
        </w:rPr>
        <w:t>-4</w:t>
      </w:r>
      <w:r>
        <w:rPr>
          <w:rFonts w:hint="eastAsia" w:eastAsia="黑体"/>
          <w:color w:val="auto"/>
          <w:sz w:val="21"/>
          <w:szCs w:val="21"/>
          <w:highlight w:val="none"/>
        </w:rPr>
        <w:t xml:space="preserve"> </w:t>
      </w:r>
      <w:r>
        <w:rPr>
          <w:rFonts w:eastAsia="黑体"/>
          <w:color w:val="auto"/>
          <w:sz w:val="21"/>
          <w:szCs w:val="21"/>
          <w:highlight w:val="none"/>
        </w:rPr>
        <w:t>废水污染物排放标准</w:t>
      </w:r>
      <w:r>
        <w:rPr>
          <w:rFonts w:hint="eastAsia" w:eastAsia="黑体"/>
          <w:color w:val="auto"/>
          <w:sz w:val="21"/>
          <w:szCs w:val="21"/>
          <w:highlight w:val="none"/>
        </w:rPr>
        <w:t xml:space="preserve"> </w:t>
      </w:r>
      <w:r>
        <w:rPr>
          <w:rFonts w:hint="eastAsia" w:eastAsia="黑体"/>
          <w:color w:val="auto"/>
          <w:sz w:val="21"/>
          <w:szCs w:val="21"/>
          <w:highlight w:val="none"/>
          <w:lang w:val="en-US" w:eastAsia="zh-CN"/>
        </w:rPr>
        <w:t xml:space="preserve"> </w:t>
      </w:r>
      <w:r>
        <w:rPr>
          <w:rFonts w:eastAsia="黑体"/>
          <w:color w:val="auto"/>
          <w:sz w:val="21"/>
          <w:szCs w:val="21"/>
          <w:highlight w:val="none"/>
        </w:rPr>
        <w:t>单位：mg/L，pH无量纲</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228"/>
        <w:gridCol w:w="1228"/>
        <w:gridCol w:w="1229"/>
        <w:gridCol w:w="1229"/>
        <w:gridCol w:w="1229"/>
        <w:gridCol w:w="1229"/>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项目</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pH</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COD</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BOD</w:t>
            </w:r>
            <w:r>
              <w:rPr>
                <w:b/>
                <w:bCs/>
                <w:color w:val="auto"/>
                <w:highlight w:val="none"/>
                <w:vertAlign w:val="subscript"/>
                <w:lang w:bidi="ar"/>
              </w:rPr>
              <w:t>5</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NH</w:t>
            </w:r>
            <w:r>
              <w:rPr>
                <w:b/>
                <w:bCs/>
                <w:color w:val="auto"/>
                <w:highlight w:val="none"/>
                <w:vertAlign w:val="subscript"/>
                <w:lang w:bidi="ar"/>
              </w:rPr>
              <w:t>3</w:t>
            </w:r>
            <w:r>
              <w:rPr>
                <w:b/>
                <w:bCs/>
                <w:color w:val="auto"/>
                <w:highlight w:val="none"/>
                <w:lang w:bidi="ar"/>
              </w:rPr>
              <w:t>-N</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SS</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总氮</w:t>
            </w:r>
          </w:p>
        </w:tc>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lang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标准限值</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lang w:bidi="ar"/>
              </w:rPr>
              <w:t>6～9</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50</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5（8）</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rFonts w:eastAsiaTheme="minorEastAsia"/>
                <w:color w:val="auto"/>
                <w:highlight w:val="none"/>
              </w:rPr>
            </w:pPr>
            <w:r>
              <w:rPr>
                <w:rFonts w:eastAsiaTheme="minorEastAsia"/>
                <w:color w:val="auto"/>
                <w:highlight w:val="none"/>
              </w:rPr>
              <w:t>15</w:t>
            </w:r>
          </w:p>
        </w:tc>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kinsoku/>
              <w:wordWrap/>
              <w:topLinePunct w:val="0"/>
              <w:bidi w:val="0"/>
              <w:ind w:left="0" w:leftChars="0" w:right="0" w:rightChars="0"/>
              <w:rPr>
                <w:color w:val="auto"/>
                <w:highlight w:val="none"/>
              </w:rPr>
            </w:pPr>
            <w:r>
              <w:rPr>
                <w:color w:val="auto"/>
                <w:highlight w:val="none"/>
              </w:rPr>
              <w:t>注：氨氮指标括号外数值为水温＞12℃时的控制指标</w:t>
            </w:r>
          </w:p>
        </w:tc>
      </w:tr>
    </w:tbl>
    <w:p>
      <w:pPr>
        <w:pStyle w:val="34"/>
        <w:pageBreakBefore w:val="0"/>
        <w:kinsoku/>
        <w:wordWrap/>
        <w:topLinePunct w:val="0"/>
        <w:bidi w:val="0"/>
        <w:spacing w:line="360" w:lineRule="auto"/>
        <w:ind w:left="0" w:leftChars="0" w:right="0" w:rightChars="0" w:firstLine="480" w:firstLineChars="200"/>
        <w:jc w:val="both"/>
        <w:outlineLvl w:val="9"/>
        <w:rPr>
          <w:rFonts w:hint="eastAsia" w:ascii="Times New Roman" w:hAnsi="Times New Roman" w:eastAsia="宋体"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bidi w:val="0"/>
        <w:spacing w:line="360" w:lineRule="auto"/>
        <w:ind w:left="0" w:leftChars="0" w:right="0"/>
        <w:outlineLvl w:val="0"/>
        <w:rPr>
          <w:rFonts w:hint="default" w:ascii="Times New Roman" w:hAnsi="Times New Roman" w:eastAsia="黑体" w:cs="Times New Roman"/>
          <w:b/>
          <w:bCs/>
          <w:color w:val="auto"/>
          <w:highlight w:val="none"/>
        </w:rPr>
      </w:pPr>
      <w:r>
        <w:rPr>
          <w:rFonts w:hint="default" w:ascii="Times New Roman" w:hAnsi="Times New Roman" w:cs="Times New Roman"/>
          <w:b/>
          <w:bCs/>
          <w:color w:val="auto"/>
          <w:sz w:val="30"/>
          <w:szCs w:val="30"/>
          <w:highlight w:val="none"/>
          <w:lang w:val="en-US" w:eastAsia="zh-CN"/>
        </w:rPr>
        <w:t>4</w:t>
      </w:r>
      <w:r>
        <w:rPr>
          <w:rFonts w:hint="default" w:ascii="Times New Roman" w:hAnsi="Times New Roman" w:cs="Times New Roman"/>
          <w:b/>
          <w:bCs/>
          <w:color w:val="auto"/>
          <w:sz w:val="30"/>
          <w:szCs w:val="30"/>
          <w:highlight w:val="none"/>
        </w:rPr>
        <w:t xml:space="preserve"> </w:t>
      </w:r>
      <w:r>
        <w:rPr>
          <w:rFonts w:hint="eastAsia" w:ascii="Times New Roman" w:hAnsi="Times New Roman" w:cs="Times New Roman"/>
          <w:b/>
          <w:bCs/>
          <w:color w:val="auto"/>
          <w:sz w:val="30"/>
          <w:szCs w:val="30"/>
          <w:highlight w:val="none"/>
          <w:lang w:val="en-US" w:eastAsia="zh-CN"/>
        </w:rPr>
        <w:t>水</w:t>
      </w:r>
      <w:r>
        <w:rPr>
          <w:rFonts w:hint="default" w:ascii="Times New Roman" w:hAnsi="Times New Roman" w:cs="Times New Roman"/>
          <w:b/>
          <w:bCs/>
          <w:color w:val="auto"/>
          <w:sz w:val="30"/>
          <w:szCs w:val="30"/>
          <w:highlight w:val="none"/>
        </w:rPr>
        <w:t>环境现状调查与评价</w:t>
      </w:r>
    </w:p>
    <w:p>
      <w:pPr>
        <w:pStyle w:val="22"/>
        <w:spacing w:after="0" w:line="360" w:lineRule="auto"/>
        <w:ind w:left="0" w:leftChars="0" w:firstLine="482" w:firstLineChars="200"/>
        <w:rPr>
          <w:b/>
          <w:bCs/>
          <w:color w:val="auto"/>
          <w:sz w:val="24"/>
          <w:szCs w:val="36"/>
          <w:highlight w:val="none"/>
        </w:rPr>
      </w:pPr>
      <w:r>
        <w:rPr>
          <w:rFonts w:hint="eastAsia"/>
          <w:b/>
          <w:bCs/>
          <w:color w:val="auto"/>
          <w:sz w:val="24"/>
          <w:szCs w:val="36"/>
          <w:highlight w:val="none"/>
          <w:lang w:eastAsia="zh-CN"/>
        </w:rPr>
        <w:t>（</w:t>
      </w:r>
      <w:r>
        <w:rPr>
          <w:rFonts w:hint="eastAsia"/>
          <w:b/>
          <w:bCs/>
          <w:color w:val="auto"/>
          <w:sz w:val="24"/>
          <w:szCs w:val="36"/>
          <w:highlight w:val="none"/>
          <w:lang w:val="en-US" w:eastAsia="zh-CN"/>
        </w:rPr>
        <w:t>1</w:t>
      </w:r>
      <w:r>
        <w:rPr>
          <w:rFonts w:hint="eastAsia"/>
          <w:b/>
          <w:bCs/>
          <w:color w:val="auto"/>
          <w:sz w:val="24"/>
          <w:szCs w:val="36"/>
          <w:highlight w:val="none"/>
          <w:lang w:eastAsia="zh-CN"/>
        </w:rPr>
        <w:t>）</w:t>
      </w:r>
      <w:r>
        <w:rPr>
          <w:b/>
          <w:bCs/>
          <w:color w:val="auto"/>
          <w:sz w:val="24"/>
          <w:szCs w:val="36"/>
          <w:highlight w:val="none"/>
        </w:rPr>
        <w:t>调查范围</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本项目受纳水体为前河，根据评价等级，本次地表水的调查范围为排放口上游500m至下游27km，调查范围内无取排水口。</w:t>
      </w:r>
    </w:p>
    <w:p>
      <w:pPr>
        <w:pStyle w:val="22"/>
        <w:spacing w:after="0" w:line="360" w:lineRule="auto"/>
        <w:ind w:left="0" w:leftChars="0" w:firstLine="482" w:firstLineChars="200"/>
        <w:rPr>
          <w:b/>
          <w:bCs/>
          <w:color w:val="auto"/>
          <w:sz w:val="24"/>
          <w:szCs w:val="36"/>
          <w:highlight w:val="none"/>
        </w:rPr>
      </w:pPr>
      <w:r>
        <w:rPr>
          <w:rFonts w:hint="eastAsia"/>
          <w:b/>
          <w:bCs/>
          <w:color w:val="auto"/>
          <w:sz w:val="24"/>
          <w:szCs w:val="36"/>
          <w:highlight w:val="none"/>
          <w:lang w:eastAsia="zh-CN"/>
        </w:rPr>
        <w:t>（</w:t>
      </w:r>
      <w:r>
        <w:rPr>
          <w:rFonts w:hint="eastAsia"/>
          <w:b/>
          <w:bCs/>
          <w:color w:val="auto"/>
          <w:sz w:val="24"/>
          <w:szCs w:val="36"/>
          <w:highlight w:val="none"/>
          <w:lang w:val="en-US" w:eastAsia="zh-CN"/>
        </w:rPr>
        <w:t>2</w:t>
      </w:r>
      <w:r>
        <w:rPr>
          <w:rFonts w:hint="eastAsia"/>
          <w:b/>
          <w:bCs/>
          <w:color w:val="auto"/>
          <w:sz w:val="24"/>
          <w:szCs w:val="36"/>
          <w:highlight w:val="none"/>
          <w:lang w:eastAsia="zh-CN"/>
        </w:rPr>
        <w:t>）</w:t>
      </w:r>
      <w:r>
        <w:rPr>
          <w:b/>
          <w:bCs/>
          <w:color w:val="auto"/>
          <w:sz w:val="24"/>
          <w:szCs w:val="36"/>
          <w:highlight w:val="none"/>
        </w:rPr>
        <w:t>点源排污口</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本项目主要收集评价范围内已建项目的排污口，评价范围内除本项目排污口以外，还有2处已有入河排污口，具体情况见表</w:t>
      </w:r>
      <w:r>
        <w:rPr>
          <w:rFonts w:hint="eastAsia"/>
          <w:color w:val="auto"/>
          <w:sz w:val="24"/>
          <w:szCs w:val="36"/>
          <w:highlight w:val="none"/>
          <w:lang w:val="en-US" w:eastAsia="zh-CN"/>
        </w:rPr>
        <w:t>4-3</w:t>
      </w:r>
      <w:r>
        <w:rPr>
          <w:color w:val="auto"/>
          <w:sz w:val="24"/>
          <w:szCs w:val="36"/>
          <w:highlight w:val="none"/>
        </w:rPr>
        <w:t>。</w:t>
      </w:r>
    </w:p>
    <w:p>
      <w:pPr>
        <w:pStyle w:val="22"/>
        <w:spacing w:after="0" w:line="360" w:lineRule="auto"/>
        <w:ind w:left="0" w:leftChars="0" w:firstLine="482" w:firstLineChars="200"/>
        <w:rPr>
          <w:b/>
          <w:bCs/>
          <w:color w:val="auto"/>
          <w:sz w:val="24"/>
          <w:szCs w:val="36"/>
          <w:highlight w:val="none"/>
        </w:rPr>
      </w:pPr>
      <w:r>
        <w:rPr>
          <w:rFonts w:hint="eastAsia"/>
          <w:b/>
          <w:bCs/>
          <w:color w:val="auto"/>
          <w:sz w:val="24"/>
          <w:szCs w:val="36"/>
          <w:highlight w:val="none"/>
          <w:lang w:val="en-US" w:eastAsia="zh-CN"/>
        </w:rPr>
        <w:t>①</w:t>
      </w:r>
      <w:r>
        <w:rPr>
          <w:b/>
          <w:bCs/>
          <w:color w:val="auto"/>
          <w:sz w:val="24"/>
          <w:szCs w:val="36"/>
          <w:highlight w:val="none"/>
        </w:rPr>
        <w:t>本项目</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本项目建成后全厂尾水排放2.0万m</w:t>
      </w:r>
      <w:r>
        <w:rPr>
          <w:color w:val="auto"/>
          <w:sz w:val="24"/>
          <w:szCs w:val="36"/>
          <w:highlight w:val="none"/>
          <w:vertAlign w:val="superscript"/>
        </w:rPr>
        <w:t>3</w:t>
      </w:r>
      <w:r>
        <w:rPr>
          <w:color w:val="auto"/>
          <w:sz w:val="24"/>
          <w:szCs w:val="36"/>
          <w:highlight w:val="none"/>
        </w:rPr>
        <w:t>/d（包含本项目1.0万m</w:t>
      </w:r>
      <w:r>
        <w:rPr>
          <w:color w:val="auto"/>
          <w:sz w:val="24"/>
          <w:szCs w:val="36"/>
          <w:highlight w:val="none"/>
          <w:vertAlign w:val="superscript"/>
        </w:rPr>
        <w:t>3</w:t>
      </w:r>
      <w:r>
        <w:rPr>
          <w:color w:val="auto"/>
          <w:sz w:val="24"/>
          <w:szCs w:val="36"/>
          <w:highlight w:val="none"/>
        </w:rPr>
        <w:t>/d，现有项目1.0万m</w:t>
      </w:r>
      <w:r>
        <w:rPr>
          <w:color w:val="auto"/>
          <w:sz w:val="24"/>
          <w:szCs w:val="36"/>
          <w:highlight w:val="none"/>
          <w:vertAlign w:val="superscript"/>
        </w:rPr>
        <w:t>3</w:t>
      </w:r>
      <w:r>
        <w:rPr>
          <w:color w:val="auto"/>
          <w:sz w:val="24"/>
          <w:szCs w:val="36"/>
          <w:highlight w:val="none"/>
        </w:rPr>
        <w:t>/d），出水执行《城镇污水处理厂污染物排放标准》（GB18918-2002）中一级A标准，本次评价对全厂尾水正常排放和非正常排放的前河水域进行预测。</w:t>
      </w:r>
    </w:p>
    <w:p>
      <w:pPr>
        <w:pStyle w:val="22"/>
        <w:spacing w:after="0" w:line="360" w:lineRule="auto"/>
        <w:ind w:left="0" w:leftChars="0" w:firstLine="0"/>
        <w:jc w:val="center"/>
        <w:rPr>
          <w:rFonts w:eastAsia="黑体"/>
          <w:color w:val="auto"/>
          <w:sz w:val="21"/>
          <w:highlight w:val="none"/>
        </w:rPr>
      </w:pPr>
      <w:r>
        <w:rPr>
          <w:rFonts w:eastAsia="黑体"/>
          <w:color w:val="auto"/>
          <w:sz w:val="21"/>
          <w:highlight w:val="none"/>
        </w:rPr>
        <w:t>表</w:t>
      </w:r>
      <w:r>
        <w:rPr>
          <w:rFonts w:hint="eastAsia" w:eastAsia="黑体"/>
          <w:color w:val="auto"/>
          <w:sz w:val="21"/>
          <w:highlight w:val="none"/>
          <w:lang w:val="en-US" w:eastAsia="zh-CN"/>
        </w:rPr>
        <w:t>4-1</w:t>
      </w:r>
      <w:r>
        <w:rPr>
          <w:rFonts w:hint="eastAsia" w:eastAsia="黑体"/>
          <w:color w:val="auto"/>
          <w:sz w:val="21"/>
          <w:highlight w:val="none"/>
        </w:rPr>
        <w:t xml:space="preserve"> </w:t>
      </w:r>
      <w:r>
        <w:rPr>
          <w:rFonts w:eastAsia="黑体"/>
          <w:color w:val="auto"/>
          <w:sz w:val="21"/>
          <w:highlight w:val="none"/>
        </w:rPr>
        <w:t>现有污水处理厂设计进出水水质</w:t>
      </w:r>
      <w:r>
        <w:rPr>
          <w:rFonts w:hint="eastAsia" w:eastAsia="黑体"/>
          <w:color w:val="auto"/>
          <w:sz w:val="21"/>
          <w:highlight w:val="none"/>
        </w:rPr>
        <w:t xml:space="preserve"> </w:t>
      </w:r>
      <w:r>
        <w:rPr>
          <w:rFonts w:hint="eastAsia" w:eastAsia="黑体"/>
          <w:color w:val="auto"/>
          <w:sz w:val="21"/>
          <w:highlight w:val="none"/>
          <w:lang w:val="en-US" w:eastAsia="zh-CN"/>
        </w:rPr>
        <w:t xml:space="preserve"> </w:t>
      </w:r>
      <w:r>
        <w:rPr>
          <w:rFonts w:eastAsia="黑体"/>
          <w:color w:val="auto"/>
          <w:sz w:val="21"/>
          <w:highlight w:val="none"/>
        </w:rPr>
        <w:t>单位：mg/L，pH无量纲</w:t>
      </w:r>
    </w:p>
    <w:tbl>
      <w:tblPr>
        <w:tblStyle w:val="23"/>
        <w:tblpPr w:leftFromText="180" w:rightFromText="180" w:vertAnchor="text" w:tblpXSpec="center" w:tblpY="1"/>
        <w:tblOverlap w:val="never"/>
        <w:tblW w:w="49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22"/>
        <w:gridCol w:w="1174"/>
        <w:gridCol w:w="1174"/>
        <w:gridCol w:w="1174"/>
        <w:gridCol w:w="1174"/>
        <w:gridCol w:w="1174"/>
        <w:gridCol w:w="1174"/>
        <w:gridCol w:w="117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pct"/>
            <w:tcBorders>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项目</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pH</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COD</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BOD</w:t>
            </w:r>
            <w:r>
              <w:rPr>
                <w:b/>
                <w:bCs/>
                <w:color w:val="auto"/>
                <w:sz w:val="21"/>
                <w:highlight w:val="none"/>
                <w:vertAlign w:val="subscript"/>
              </w:rPr>
              <w:t>5</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SS</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NH</w:t>
            </w:r>
            <w:r>
              <w:rPr>
                <w:b/>
                <w:bCs/>
                <w:color w:val="auto"/>
                <w:sz w:val="21"/>
                <w:highlight w:val="none"/>
                <w:vertAlign w:val="subscript"/>
              </w:rPr>
              <w:t>3</w:t>
            </w:r>
            <w:r>
              <w:rPr>
                <w:b/>
                <w:bCs/>
                <w:color w:val="auto"/>
                <w:sz w:val="21"/>
                <w:highlight w:val="none"/>
              </w:rPr>
              <w:t>-N</w:t>
            </w:r>
          </w:p>
        </w:tc>
        <w:tc>
          <w:tcPr>
            <w:tcW w:w="596" w:type="pct"/>
            <w:tcBorders>
              <w:left w:val="single" w:color="auto" w:sz="6" w:space="0"/>
              <w:bottom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TN</w:t>
            </w:r>
          </w:p>
        </w:tc>
        <w:tc>
          <w:tcPr>
            <w:tcW w:w="596" w:type="pct"/>
            <w:tcBorders>
              <w:left w:val="single" w:color="auto" w:sz="6" w:space="0"/>
              <w:bottom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pct"/>
            <w:tcBorders>
              <w:top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设计进水水质</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6～9</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≤280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≤150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≤220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≤30</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≤35</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pct"/>
            <w:tcBorders>
              <w:top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设计出水水质</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6～9</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≤60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≤8（15）</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≤20</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≤1.0</w:t>
            </w:r>
          </w:p>
        </w:tc>
      </w:tr>
    </w:tbl>
    <w:p>
      <w:pPr>
        <w:pStyle w:val="22"/>
        <w:spacing w:after="0" w:line="360" w:lineRule="auto"/>
        <w:ind w:left="0" w:leftChars="0" w:firstLine="0"/>
        <w:jc w:val="center"/>
        <w:rPr>
          <w:color w:val="auto"/>
          <w:sz w:val="24"/>
          <w:szCs w:val="36"/>
          <w:highlight w:val="none"/>
        </w:rPr>
      </w:pPr>
      <w:r>
        <w:rPr>
          <w:rFonts w:eastAsia="黑体"/>
          <w:color w:val="auto"/>
          <w:sz w:val="21"/>
          <w:highlight w:val="none"/>
        </w:rPr>
        <w:t>表</w:t>
      </w:r>
      <w:r>
        <w:rPr>
          <w:rFonts w:hint="eastAsia" w:eastAsia="黑体"/>
          <w:color w:val="auto"/>
          <w:sz w:val="21"/>
          <w:highlight w:val="none"/>
          <w:lang w:val="en-US" w:eastAsia="zh-CN"/>
        </w:rPr>
        <w:t xml:space="preserve">4-2 </w:t>
      </w:r>
      <w:r>
        <w:rPr>
          <w:rFonts w:eastAsia="黑体"/>
          <w:color w:val="auto"/>
          <w:sz w:val="21"/>
          <w:highlight w:val="none"/>
        </w:rPr>
        <w:t>本项目设计进出水水质</w:t>
      </w:r>
      <w:r>
        <w:rPr>
          <w:rFonts w:hint="eastAsia" w:eastAsia="黑体"/>
          <w:color w:val="auto"/>
          <w:sz w:val="21"/>
          <w:highlight w:val="none"/>
          <w:lang w:val="en-US" w:eastAsia="zh-CN"/>
        </w:rPr>
        <w:t xml:space="preserve">  </w:t>
      </w:r>
      <w:r>
        <w:rPr>
          <w:rFonts w:eastAsia="黑体"/>
          <w:color w:val="auto"/>
          <w:sz w:val="21"/>
          <w:highlight w:val="none"/>
        </w:rPr>
        <w:t>单位：mg/L，pH无量纲</w:t>
      </w:r>
    </w:p>
    <w:tbl>
      <w:tblPr>
        <w:tblStyle w:val="23"/>
        <w:tblpPr w:leftFromText="180" w:rightFromText="180" w:vertAnchor="text" w:tblpXSpec="center" w:tblpY="1"/>
        <w:tblOverlap w:val="never"/>
        <w:tblW w:w="49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22"/>
        <w:gridCol w:w="1174"/>
        <w:gridCol w:w="1174"/>
        <w:gridCol w:w="1174"/>
        <w:gridCol w:w="1174"/>
        <w:gridCol w:w="1174"/>
        <w:gridCol w:w="1174"/>
        <w:gridCol w:w="117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pct"/>
            <w:tcBorders>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项目</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pH</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COD</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BOD</w:t>
            </w:r>
            <w:r>
              <w:rPr>
                <w:b/>
                <w:bCs/>
                <w:color w:val="auto"/>
                <w:sz w:val="21"/>
                <w:highlight w:val="none"/>
                <w:vertAlign w:val="subscript"/>
              </w:rPr>
              <w:t>5</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SS</w:t>
            </w:r>
          </w:p>
        </w:tc>
        <w:tc>
          <w:tcPr>
            <w:tcW w:w="596" w:type="pct"/>
            <w:tcBorders>
              <w:left w:val="single" w:color="auto" w:sz="6" w:space="0"/>
              <w:bottom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NH</w:t>
            </w:r>
            <w:r>
              <w:rPr>
                <w:b/>
                <w:bCs/>
                <w:color w:val="auto"/>
                <w:sz w:val="21"/>
                <w:highlight w:val="none"/>
                <w:vertAlign w:val="subscript"/>
              </w:rPr>
              <w:t>3</w:t>
            </w:r>
            <w:r>
              <w:rPr>
                <w:b/>
                <w:bCs/>
                <w:color w:val="auto"/>
                <w:sz w:val="21"/>
                <w:highlight w:val="none"/>
              </w:rPr>
              <w:t>-N</w:t>
            </w:r>
          </w:p>
        </w:tc>
        <w:tc>
          <w:tcPr>
            <w:tcW w:w="596" w:type="pct"/>
            <w:tcBorders>
              <w:left w:val="single" w:color="auto" w:sz="6" w:space="0"/>
              <w:bottom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TN</w:t>
            </w:r>
          </w:p>
        </w:tc>
        <w:tc>
          <w:tcPr>
            <w:tcW w:w="596" w:type="pct"/>
            <w:tcBorders>
              <w:left w:val="single" w:color="auto" w:sz="6" w:space="0"/>
              <w:bottom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pct"/>
            <w:tcBorders>
              <w:top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设计进水水质</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6.5～8.5</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≤280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≤140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≤200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≤35</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≤40</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4" w:type="pct"/>
            <w:tcBorders>
              <w:top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设计出水水质</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6～9</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≤50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≤10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≤10</w:t>
            </w:r>
          </w:p>
        </w:tc>
        <w:tc>
          <w:tcPr>
            <w:tcW w:w="596" w:type="pct"/>
            <w:tcBorders>
              <w:top w:val="single" w:color="auto" w:sz="6" w:space="0"/>
              <w:left w:val="single" w:color="auto" w:sz="6" w:space="0"/>
              <w:bottom w:val="single" w:color="auto" w:sz="6" w:space="0"/>
              <w:right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≤5（8）</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≤15</w:t>
            </w:r>
          </w:p>
        </w:tc>
        <w:tc>
          <w:tcPr>
            <w:tcW w:w="596" w:type="pct"/>
            <w:tcBorders>
              <w:top w:val="single" w:color="auto" w:sz="6" w:space="0"/>
              <w:left w:val="single" w:color="auto" w:sz="6" w:space="0"/>
              <w:bottom w:val="single" w:color="auto" w:sz="6" w:space="0"/>
            </w:tcBorders>
            <w:vAlign w:val="center"/>
          </w:tcPr>
          <w:p>
            <w:pPr>
              <w:pStyle w:val="22"/>
              <w:spacing w:after="0"/>
              <w:ind w:left="0" w:leftChars="0" w:firstLine="0"/>
              <w:jc w:val="center"/>
              <w:rPr>
                <w:color w:val="auto"/>
                <w:sz w:val="21"/>
                <w:highlight w:val="none"/>
              </w:rPr>
            </w:pPr>
            <w:r>
              <w:rPr>
                <w:color w:val="auto"/>
                <w:sz w:val="21"/>
                <w:highlight w:val="none"/>
              </w:rPr>
              <w:t>≤0.5</w:t>
            </w:r>
          </w:p>
        </w:tc>
      </w:tr>
    </w:tbl>
    <w:p>
      <w:pPr>
        <w:pStyle w:val="22"/>
        <w:spacing w:after="0" w:line="360" w:lineRule="auto"/>
        <w:ind w:left="0" w:leftChars="0" w:firstLine="480" w:firstLineChars="200"/>
        <w:rPr>
          <w:color w:val="auto"/>
          <w:sz w:val="24"/>
          <w:szCs w:val="36"/>
          <w:highlight w:val="none"/>
        </w:rPr>
      </w:pPr>
      <w:r>
        <w:rPr>
          <w:color w:val="auto"/>
          <w:sz w:val="24"/>
          <w:szCs w:val="36"/>
          <w:highlight w:val="none"/>
        </w:rPr>
        <w:t>综合考虑现有以及本项目的设计进出水水质，本项目正常工况、非正常工况下污染物排放浓度取值见下表。</w:t>
      </w:r>
    </w:p>
    <w:p>
      <w:pPr>
        <w:pStyle w:val="22"/>
        <w:spacing w:after="0" w:line="360" w:lineRule="auto"/>
        <w:ind w:left="0" w:leftChars="0" w:firstLine="0"/>
        <w:jc w:val="center"/>
        <w:rPr>
          <w:rFonts w:eastAsia="黑体"/>
          <w:color w:val="auto"/>
          <w:sz w:val="21"/>
          <w:highlight w:val="none"/>
        </w:rPr>
      </w:pPr>
      <w:r>
        <w:rPr>
          <w:rFonts w:eastAsia="黑体"/>
          <w:color w:val="auto"/>
          <w:sz w:val="21"/>
          <w:highlight w:val="none"/>
        </w:rPr>
        <w:t>表</w:t>
      </w:r>
      <w:r>
        <w:rPr>
          <w:rFonts w:hint="eastAsia" w:eastAsia="黑体"/>
          <w:color w:val="auto"/>
          <w:sz w:val="21"/>
          <w:highlight w:val="none"/>
          <w:lang w:val="en-US" w:eastAsia="zh-CN"/>
        </w:rPr>
        <w:t>4-3</w:t>
      </w:r>
      <w:r>
        <w:rPr>
          <w:rFonts w:hint="eastAsia" w:eastAsia="黑体"/>
          <w:color w:val="auto"/>
          <w:sz w:val="21"/>
          <w:highlight w:val="none"/>
        </w:rPr>
        <w:t xml:space="preserve"> </w:t>
      </w:r>
      <w:r>
        <w:rPr>
          <w:rFonts w:eastAsia="黑体"/>
          <w:color w:val="auto"/>
          <w:sz w:val="21"/>
          <w:highlight w:val="none"/>
        </w:rPr>
        <w:t>本项目污染物排放浓度取值统计</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2272"/>
        <w:gridCol w:w="1811"/>
        <w:gridCol w:w="1811"/>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pct"/>
            <w:vMerge w:val="restart"/>
            <w:tcBorders>
              <w:top w:val="single" w:color="auto" w:sz="4" w:space="0"/>
              <w:left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工况</w:t>
            </w:r>
          </w:p>
        </w:tc>
        <w:tc>
          <w:tcPr>
            <w:tcW w:w="1153" w:type="pct"/>
            <w:vMerge w:val="restart"/>
            <w:tcBorders>
              <w:top w:val="single" w:color="auto" w:sz="4" w:space="0"/>
              <w:left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废水量（万m</w:t>
            </w:r>
            <w:r>
              <w:rPr>
                <w:b/>
                <w:bCs/>
                <w:color w:val="auto"/>
                <w:highlight w:val="none"/>
                <w:vertAlign w:val="superscript"/>
              </w:rPr>
              <w:t>3</w:t>
            </w:r>
            <w:r>
              <w:rPr>
                <w:b/>
                <w:bCs/>
                <w:color w:val="auto"/>
                <w:highlight w:val="none"/>
              </w:rPr>
              <w:t>/d）</w:t>
            </w:r>
          </w:p>
        </w:tc>
        <w:tc>
          <w:tcPr>
            <w:tcW w:w="26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rPr>
            </w:pPr>
          </w:p>
        </w:tc>
        <w:tc>
          <w:tcPr>
            <w:tcW w:w="1153"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rPr>
            </w:pP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b/>
                <w:bCs/>
                <w:color w:val="auto"/>
                <w:highlight w:val="none"/>
              </w:rPr>
              <w:t>COD</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b/>
                <w:bCs/>
                <w:color w:val="auto"/>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正常</w:t>
            </w:r>
          </w:p>
        </w:tc>
        <w:tc>
          <w:tcPr>
            <w:tcW w:w="11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2.0</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50</w:t>
            </w:r>
          </w:p>
        </w:tc>
        <w:tc>
          <w:tcPr>
            <w:tcW w:w="91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5</w:t>
            </w:r>
          </w:p>
        </w:tc>
        <w:tc>
          <w:tcPr>
            <w:tcW w:w="8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0" w:type="pct"/>
            <w:vAlign w:val="center"/>
          </w:tcPr>
          <w:p>
            <w:pPr>
              <w:jc w:val="center"/>
              <w:rPr>
                <w:color w:val="auto"/>
                <w:highlight w:val="none"/>
              </w:rPr>
            </w:pPr>
            <w:r>
              <w:rPr>
                <w:color w:val="auto"/>
                <w:highlight w:val="none"/>
              </w:rPr>
              <w:t>非正常</w:t>
            </w:r>
          </w:p>
        </w:tc>
        <w:tc>
          <w:tcPr>
            <w:tcW w:w="1153" w:type="pct"/>
            <w:vAlign w:val="center"/>
          </w:tcPr>
          <w:p>
            <w:pPr>
              <w:jc w:val="center"/>
              <w:rPr>
                <w:color w:val="auto"/>
                <w:highlight w:val="none"/>
              </w:rPr>
            </w:pPr>
            <w:r>
              <w:rPr>
                <w:color w:val="auto"/>
                <w:highlight w:val="none"/>
              </w:rPr>
              <w:t>2.0</w:t>
            </w:r>
          </w:p>
        </w:tc>
        <w:tc>
          <w:tcPr>
            <w:tcW w:w="919" w:type="pct"/>
            <w:vAlign w:val="center"/>
          </w:tcPr>
          <w:p>
            <w:pPr>
              <w:jc w:val="center"/>
              <w:rPr>
                <w:color w:val="auto"/>
                <w:highlight w:val="none"/>
              </w:rPr>
            </w:pPr>
            <w:r>
              <w:rPr>
                <w:color w:val="auto"/>
                <w:highlight w:val="none"/>
              </w:rPr>
              <w:t>280</w:t>
            </w:r>
          </w:p>
        </w:tc>
        <w:tc>
          <w:tcPr>
            <w:tcW w:w="919" w:type="pct"/>
            <w:vAlign w:val="center"/>
          </w:tcPr>
          <w:p>
            <w:pPr>
              <w:jc w:val="center"/>
              <w:rPr>
                <w:color w:val="auto"/>
                <w:highlight w:val="none"/>
              </w:rPr>
            </w:pPr>
            <w:r>
              <w:rPr>
                <w:color w:val="auto"/>
                <w:highlight w:val="none"/>
              </w:rPr>
              <w:t>35</w:t>
            </w:r>
          </w:p>
        </w:tc>
        <w:tc>
          <w:tcPr>
            <w:tcW w:w="817" w:type="pct"/>
            <w:vAlign w:val="center"/>
          </w:tcPr>
          <w:p>
            <w:pPr>
              <w:jc w:val="center"/>
              <w:rPr>
                <w:color w:val="auto"/>
                <w:highlight w:val="none"/>
              </w:rPr>
            </w:pPr>
            <w:r>
              <w:rPr>
                <w:color w:val="auto"/>
                <w:highlight w:val="none"/>
              </w:rPr>
              <w:t>4.5</w:t>
            </w:r>
          </w:p>
        </w:tc>
      </w:tr>
    </w:tbl>
    <w:p>
      <w:pPr>
        <w:pStyle w:val="22"/>
        <w:spacing w:after="0" w:line="360" w:lineRule="auto"/>
        <w:ind w:left="0" w:leftChars="0" w:firstLine="482" w:firstLineChars="200"/>
        <w:rPr>
          <w:color w:val="auto"/>
          <w:sz w:val="24"/>
          <w:szCs w:val="36"/>
          <w:highlight w:val="none"/>
        </w:rPr>
      </w:pPr>
      <w:r>
        <w:rPr>
          <w:rFonts w:hint="eastAsia"/>
          <w:b/>
          <w:bCs/>
          <w:color w:val="auto"/>
          <w:sz w:val="24"/>
          <w:szCs w:val="32"/>
          <w:highlight w:val="none"/>
          <w:lang w:val="en-US" w:eastAsia="zh-CN" w:bidi="ar"/>
        </w:rPr>
        <w:t>②</w:t>
      </w:r>
      <w:r>
        <w:rPr>
          <w:b/>
          <w:bCs/>
          <w:color w:val="auto"/>
          <w:sz w:val="24"/>
          <w:szCs w:val="36"/>
          <w:highlight w:val="none"/>
        </w:rPr>
        <w:t>评价河段其余污染源调查</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本项目排口位于污水处理厂的</w:t>
      </w:r>
      <w:r>
        <w:rPr>
          <w:color w:val="auto"/>
          <w:kern w:val="2"/>
          <w:sz w:val="24"/>
          <w:szCs w:val="32"/>
          <w:highlight w:val="none"/>
          <w:lang w:bidi="ar"/>
        </w:rPr>
        <w:t>南坝镇龙文村前河左岸</w:t>
      </w:r>
      <w:r>
        <w:rPr>
          <w:color w:val="auto"/>
          <w:sz w:val="24"/>
          <w:szCs w:val="36"/>
          <w:highlight w:val="none"/>
        </w:rPr>
        <w:t>。在项目评价河段范围内还分布有宣汉县下八镇污水处理厂入河排污口、宣汉县黄石乡污水处理厂入河排污口。</w:t>
      </w:r>
    </w:p>
    <w:p>
      <w:pPr>
        <w:pStyle w:val="22"/>
        <w:spacing w:after="0" w:line="360" w:lineRule="auto"/>
        <w:ind w:left="0" w:leftChars="0" w:firstLine="0"/>
        <w:jc w:val="center"/>
        <w:rPr>
          <w:rFonts w:eastAsia="黑体"/>
          <w:color w:val="auto"/>
          <w:sz w:val="21"/>
          <w:highlight w:val="none"/>
        </w:rPr>
      </w:pPr>
    </w:p>
    <w:p>
      <w:pPr>
        <w:pStyle w:val="22"/>
        <w:spacing w:after="0" w:line="360" w:lineRule="auto"/>
        <w:ind w:left="0" w:leftChars="0" w:firstLine="0"/>
        <w:jc w:val="center"/>
        <w:rPr>
          <w:rFonts w:eastAsia="黑体"/>
          <w:color w:val="auto"/>
          <w:sz w:val="21"/>
          <w:highlight w:val="none"/>
        </w:rPr>
      </w:pPr>
      <w:r>
        <w:rPr>
          <w:rFonts w:eastAsia="黑体"/>
          <w:color w:val="auto"/>
          <w:sz w:val="21"/>
          <w:highlight w:val="none"/>
        </w:rPr>
        <w:t>表</w:t>
      </w:r>
      <w:r>
        <w:rPr>
          <w:rFonts w:hint="eastAsia" w:eastAsia="黑体"/>
          <w:color w:val="auto"/>
          <w:sz w:val="21"/>
          <w:highlight w:val="none"/>
          <w:lang w:val="en-US" w:eastAsia="zh-CN"/>
        </w:rPr>
        <w:t>4-4</w:t>
      </w:r>
      <w:r>
        <w:rPr>
          <w:rFonts w:hint="eastAsia" w:eastAsia="黑体"/>
          <w:color w:val="auto"/>
          <w:sz w:val="21"/>
          <w:highlight w:val="none"/>
        </w:rPr>
        <w:t xml:space="preserve"> </w:t>
      </w:r>
      <w:r>
        <w:rPr>
          <w:rFonts w:eastAsia="黑体"/>
          <w:color w:val="auto"/>
          <w:sz w:val="21"/>
          <w:highlight w:val="none"/>
        </w:rPr>
        <w:t>项目评价范围水污染物排放量统计</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4"/>
        <w:gridCol w:w="1595"/>
        <w:gridCol w:w="1152"/>
        <w:gridCol w:w="1152"/>
        <w:gridCol w:w="1152"/>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pct"/>
            <w:vMerge w:val="restart"/>
            <w:tcBorders>
              <w:top w:val="single" w:color="auto" w:sz="4" w:space="0"/>
              <w:left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污水厂名称</w:t>
            </w:r>
          </w:p>
        </w:tc>
        <w:tc>
          <w:tcPr>
            <w:tcW w:w="810" w:type="pct"/>
            <w:vMerge w:val="restart"/>
            <w:tcBorders>
              <w:top w:val="single" w:color="auto" w:sz="4" w:space="0"/>
              <w:left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废水排放量（m</w:t>
            </w:r>
            <w:r>
              <w:rPr>
                <w:b/>
                <w:bCs/>
                <w:color w:val="auto"/>
                <w:highlight w:val="none"/>
                <w:vertAlign w:val="superscript"/>
              </w:rPr>
              <w:t>3</w:t>
            </w:r>
            <w:r>
              <w:rPr>
                <w:b/>
                <w:bCs/>
                <w:color w:val="auto"/>
                <w:highlight w:val="none"/>
              </w:rPr>
              <w:t>/d）</w:t>
            </w:r>
          </w:p>
        </w:tc>
        <w:tc>
          <w:tcPr>
            <w:tcW w:w="17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主要污染物排放浓度</w:t>
            </w:r>
          </w:p>
        </w:tc>
        <w:tc>
          <w:tcPr>
            <w:tcW w:w="1115" w:type="pct"/>
            <w:vMerge w:val="restart"/>
            <w:tcBorders>
              <w:top w:val="single" w:color="auto" w:sz="4" w:space="0"/>
              <w:left w:val="single" w:color="auto" w:sz="4" w:space="0"/>
              <w:right w:val="single" w:color="auto" w:sz="4" w:space="0"/>
            </w:tcBorders>
            <w:shd w:val="clear" w:color="auto" w:fill="auto"/>
            <w:vAlign w:val="center"/>
          </w:tcPr>
          <w:p>
            <w:pPr>
              <w:jc w:val="center"/>
              <w:rPr>
                <w:b/>
                <w:bCs/>
                <w:color w:val="auto"/>
                <w:highlight w:val="none"/>
              </w:rPr>
            </w:pPr>
            <w:r>
              <w:rPr>
                <w:b/>
                <w:bCs/>
                <w:color w:val="auto"/>
                <w:highlight w:val="none"/>
              </w:rPr>
              <w:t>与本项目位置关系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rPr>
            </w:pPr>
          </w:p>
        </w:tc>
        <w:tc>
          <w:tcPr>
            <w:tcW w:w="810"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rPr>
            </w:pP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b/>
                <w:bCs/>
                <w:color w:val="auto"/>
                <w:highlight w:val="none"/>
              </w:rPr>
              <w:t>COD</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b/>
                <w:bCs/>
                <w:color w:val="auto"/>
                <w:highlight w:val="none"/>
              </w:rPr>
              <w:t>NH</w:t>
            </w:r>
            <w:r>
              <w:rPr>
                <w:b/>
                <w:bCs/>
                <w:color w:val="auto"/>
                <w:highlight w:val="none"/>
                <w:vertAlign w:val="subscript"/>
              </w:rPr>
              <w:t>3</w:t>
            </w:r>
            <w:r>
              <w:rPr>
                <w:b/>
                <w:bCs/>
                <w:color w:val="auto"/>
                <w:highlight w:val="none"/>
              </w:rPr>
              <w:t>-N</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b/>
                <w:bCs/>
                <w:color w:val="auto"/>
                <w:highlight w:val="none"/>
              </w:rPr>
              <w:t>TP</w:t>
            </w:r>
          </w:p>
        </w:tc>
        <w:tc>
          <w:tcPr>
            <w:tcW w:w="1115" w:type="pct"/>
            <w:vMerge w:val="continue"/>
            <w:tcBorders>
              <w:left w:val="single" w:color="auto" w:sz="4" w:space="0"/>
              <w:bottom w:val="single" w:color="auto" w:sz="4" w:space="0"/>
              <w:right w:val="single" w:color="auto" w:sz="4" w:space="0"/>
            </w:tcBorders>
            <w:shd w:val="clear" w:color="auto" w:fill="auto"/>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宣汉县下八镇污水处理厂</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500</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60</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8</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1</w:t>
            </w:r>
          </w:p>
        </w:tc>
        <w:tc>
          <w:tcPr>
            <w:tcW w:w="11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highlight w:val="none"/>
              </w:rPr>
            </w:pPr>
            <w:r>
              <w:rPr>
                <w:color w:val="auto"/>
                <w:highlight w:val="none"/>
              </w:rPr>
              <w:t>下游12500m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8" w:type="pct"/>
            <w:vAlign w:val="center"/>
          </w:tcPr>
          <w:p>
            <w:pPr>
              <w:jc w:val="center"/>
              <w:rPr>
                <w:color w:val="auto"/>
                <w:highlight w:val="none"/>
              </w:rPr>
            </w:pPr>
            <w:r>
              <w:rPr>
                <w:color w:val="auto"/>
                <w:highlight w:val="none"/>
              </w:rPr>
              <w:t>宣汉县黄石乡污水处理厂</w:t>
            </w:r>
          </w:p>
        </w:tc>
        <w:tc>
          <w:tcPr>
            <w:tcW w:w="810" w:type="pct"/>
            <w:vAlign w:val="center"/>
          </w:tcPr>
          <w:p>
            <w:pPr>
              <w:jc w:val="center"/>
              <w:rPr>
                <w:color w:val="auto"/>
                <w:highlight w:val="none"/>
              </w:rPr>
            </w:pPr>
            <w:r>
              <w:rPr>
                <w:color w:val="auto"/>
                <w:highlight w:val="none"/>
              </w:rPr>
              <w:t>500</w:t>
            </w:r>
          </w:p>
        </w:tc>
        <w:tc>
          <w:tcPr>
            <w:tcW w:w="585" w:type="pct"/>
            <w:vAlign w:val="center"/>
          </w:tcPr>
          <w:p>
            <w:pPr>
              <w:jc w:val="center"/>
              <w:rPr>
                <w:color w:val="auto"/>
                <w:highlight w:val="none"/>
              </w:rPr>
            </w:pPr>
            <w:r>
              <w:rPr>
                <w:color w:val="auto"/>
                <w:highlight w:val="none"/>
              </w:rPr>
              <w:t>60</w:t>
            </w:r>
          </w:p>
        </w:tc>
        <w:tc>
          <w:tcPr>
            <w:tcW w:w="585" w:type="pct"/>
            <w:vAlign w:val="center"/>
          </w:tcPr>
          <w:p>
            <w:pPr>
              <w:jc w:val="center"/>
              <w:rPr>
                <w:color w:val="auto"/>
                <w:highlight w:val="none"/>
              </w:rPr>
            </w:pPr>
            <w:r>
              <w:rPr>
                <w:color w:val="auto"/>
                <w:highlight w:val="none"/>
              </w:rPr>
              <w:t>8</w:t>
            </w:r>
          </w:p>
        </w:tc>
        <w:tc>
          <w:tcPr>
            <w:tcW w:w="585" w:type="pct"/>
            <w:vAlign w:val="center"/>
          </w:tcPr>
          <w:p>
            <w:pPr>
              <w:jc w:val="center"/>
              <w:rPr>
                <w:color w:val="auto"/>
                <w:highlight w:val="none"/>
              </w:rPr>
            </w:pPr>
            <w:r>
              <w:rPr>
                <w:color w:val="auto"/>
                <w:highlight w:val="none"/>
              </w:rPr>
              <w:t>1</w:t>
            </w:r>
          </w:p>
        </w:tc>
        <w:tc>
          <w:tcPr>
            <w:tcW w:w="1115" w:type="pct"/>
            <w:vAlign w:val="center"/>
          </w:tcPr>
          <w:p>
            <w:pPr>
              <w:jc w:val="center"/>
              <w:rPr>
                <w:color w:val="auto"/>
                <w:highlight w:val="none"/>
              </w:rPr>
            </w:pPr>
            <w:r>
              <w:rPr>
                <w:color w:val="auto"/>
                <w:highlight w:val="none"/>
              </w:rPr>
              <w:t>下游18000m</w:t>
            </w:r>
          </w:p>
        </w:tc>
      </w:tr>
    </w:tbl>
    <w:p>
      <w:pPr>
        <w:pStyle w:val="22"/>
        <w:spacing w:after="0" w:line="360" w:lineRule="auto"/>
        <w:ind w:left="0" w:leftChars="0" w:firstLine="482" w:firstLineChars="200"/>
        <w:rPr>
          <w:b/>
          <w:bCs/>
          <w:color w:val="auto"/>
          <w:sz w:val="24"/>
          <w:szCs w:val="36"/>
          <w:highlight w:val="none"/>
        </w:rPr>
      </w:pPr>
      <w:r>
        <w:rPr>
          <w:rFonts w:hint="eastAsia"/>
          <w:b/>
          <w:bCs/>
          <w:color w:val="auto"/>
          <w:sz w:val="24"/>
          <w:szCs w:val="36"/>
          <w:highlight w:val="none"/>
          <w:lang w:eastAsia="zh-CN"/>
        </w:rPr>
        <w:t>（</w:t>
      </w:r>
      <w:r>
        <w:rPr>
          <w:rFonts w:hint="eastAsia"/>
          <w:b/>
          <w:bCs/>
          <w:color w:val="auto"/>
          <w:sz w:val="24"/>
          <w:szCs w:val="36"/>
          <w:highlight w:val="none"/>
          <w:lang w:val="en-US" w:eastAsia="zh-CN"/>
        </w:rPr>
        <w:t>3</w:t>
      </w:r>
      <w:r>
        <w:rPr>
          <w:rFonts w:hint="eastAsia"/>
          <w:b/>
          <w:bCs/>
          <w:color w:val="auto"/>
          <w:sz w:val="24"/>
          <w:szCs w:val="36"/>
          <w:highlight w:val="none"/>
          <w:lang w:eastAsia="zh-CN"/>
        </w:rPr>
        <w:t>）</w:t>
      </w:r>
      <w:r>
        <w:rPr>
          <w:b/>
          <w:bCs/>
          <w:color w:val="auto"/>
          <w:sz w:val="24"/>
          <w:szCs w:val="36"/>
          <w:highlight w:val="none"/>
        </w:rPr>
        <w:t>水环境质量现状调查与评价</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本次评价收集前河-乡石鹰断面连续三年（2021～2023年）的常规监测数据。根据宣汉县环境监测站提供的前河-乡石鹰断面2021～2023年三年区段的常规水质监测资料，并适当进行补充监测。具体详见本报告第三章“区域环境质量现状、环境保护目标及评价标准”中“三、地表水环境质量现状评价”章节内容。</w:t>
      </w:r>
    </w:p>
    <w:p>
      <w:pPr>
        <w:pageBreakBefore w:val="0"/>
        <w:kinsoku/>
        <w:wordWrap/>
        <w:topLinePunct w:val="0"/>
        <w:bidi w:val="0"/>
        <w:spacing w:line="360" w:lineRule="auto"/>
        <w:ind w:left="0" w:leftChars="0" w:right="0" w:rightChars="0" w:firstLine="480" w:firstLineChars="200"/>
        <w:rPr>
          <w:rFonts w:hint="eastAsia" w:eastAsia="宋体"/>
          <w:color w:val="auto"/>
          <w:sz w:val="24"/>
          <w:szCs w:val="32"/>
          <w:highlight w:val="none"/>
          <w:lang w:eastAsia="zh-CN" w:bidi="ar"/>
        </w:rPr>
      </w:pPr>
      <w:r>
        <w:rPr>
          <w:color w:val="auto"/>
          <w:sz w:val="24"/>
          <w:szCs w:val="32"/>
          <w:highlight w:val="none"/>
          <w:lang w:bidi="ar"/>
        </w:rPr>
        <w:t>根据调查结果可知，</w:t>
      </w:r>
      <w:r>
        <w:rPr>
          <w:color w:val="auto"/>
          <w:sz w:val="24"/>
          <w:szCs w:val="36"/>
          <w:highlight w:val="none"/>
        </w:rPr>
        <w:t>前河-乡石鹰断面</w:t>
      </w:r>
      <w:r>
        <w:rPr>
          <w:color w:val="auto"/>
          <w:sz w:val="24"/>
          <w:szCs w:val="32"/>
          <w:highlight w:val="none"/>
          <w:lang w:bidi="ar"/>
        </w:rPr>
        <w:t>各项指标（除总氮外）近三年季度值均能达到《地表水环境质量标准》（GB3838-2002）Ⅲ类标准。结合历年环境质量监测资料，前河-乡石鹰断面除2021年TP、COD、NH</w:t>
      </w:r>
      <w:r>
        <w:rPr>
          <w:color w:val="auto"/>
          <w:sz w:val="24"/>
          <w:szCs w:val="32"/>
          <w:highlight w:val="none"/>
          <w:vertAlign w:val="subscript"/>
          <w:lang w:bidi="ar"/>
        </w:rPr>
        <w:t>3</w:t>
      </w:r>
      <w:r>
        <w:rPr>
          <w:color w:val="auto"/>
          <w:sz w:val="24"/>
          <w:szCs w:val="32"/>
          <w:highlight w:val="none"/>
          <w:lang w:bidi="ar"/>
        </w:rPr>
        <w:t>数值波动较大，其余时间段数值变化波动较小，区域稳定</w:t>
      </w:r>
      <w:r>
        <w:rPr>
          <w:rFonts w:hint="eastAsia"/>
          <w:color w:val="auto"/>
          <w:sz w:val="24"/>
          <w:szCs w:val="32"/>
          <w:highlight w:val="none"/>
          <w:lang w:eastAsia="zh-CN" w:bidi="ar"/>
        </w:rPr>
        <w:t>（</w:t>
      </w:r>
      <w:r>
        <w:rPr>
          <w:rFonts w:hint="eastAsia"/>
          <w:b/>
          <w:bCs/>
          <w:color w:val="auto"/>
          <w:sz w:val="24"/>
          <w:szCs w:val="32"/>
          <w:highlight w:val="none"/>
          <w:lang w:val="en-US" w:eastAsia="zh-CN" w:bidi="ar"/>
        </w:rPr>
        <w:t>详见表三“</w:t>
      </w:r>
      <w:r>
        <w:rPr>
          <w:b/>
          <w:bCs/>
          <w:color w:val="auto"/>
          <w:sz w:val="24"/>
          <w:szCs w:val="32"/>
          <w:highlight w:val="none"/>
          <w:lang w:bidi="ar"/>
        </w:rPr>
        <w:t>二、地表水环境质量现状评价</w:t>
      </w:r>
      <w:r>
        <w:rPr>
          <w:rFonts w:hint="eastAsia"/>
          <w:b/>
          <w:bCs/>
          <w:color w:val="auto"/>
          <w:sz w:val="24"/>
          <w:szCs w:val="32"/>
          <w:highlight w:val="none"/>
          <w:lang w:val="en-US" w:eastAsia="zh-CN" w:bidi="ar"/>
        </w:rPr>
        <w:t>”</w:t>
      </w:r>
      <w:r>
        <w:rPr>
          <w:rFonts w:hint="eastAsia"/>
          <w:color w:val="auto"/>
          <w:sz w:val="24"/>
          <w:szCs w:val="32"/>
          <w:highlight w:val="none"/>
          <w:lang w:eastAsia="zh-CN" w:bidi="ar"/>
        </w:rPr>
        <w:t>）</w:t>
      </w:r>
      <w:r>
        <w:rPr>
          <w:color w:val="auto"/>
          <w:sz w:val="24"/>
          <w:szCs w:val="32"/>
          <w:highlight w:val="none"/>
          <w:lang w:bidi="ar"/>
        </w:rPr>
        <w:t>。</w:t>
      </w:r>
    </w:p>
    <w:p>
      <w:pPr>
        <w:pStyle w:val="22"/>
        <w:spacing w:after="0" w:line="360" w:lineRule="auto"/>
        <w:ind w:left="0" w:leftChars="0" w:firstLine="480" w:firstLineChars="200"/>
        <w:rPr>
          <w:color w:val="auto"/>
          <w:sz w:val="24"/>
          <w:szCs w:val="36"/>
          <w:highlight w:val="none"/>
        </w:rPr>
      </w:pPr>
      <w:r>
        <w:rPr>
          <w:color w:val="auto"/>
          <w:sz w:val="24"/>
          <w:szCs w:val="36"/>
          <w:highlight w:val="none"/>
        </w:rPr>
        <w:t>同时，根据补充监测，项目排污口所在区域地表水－前河上游500m、1500m等2个断面各项监测指标满足</w:t>
      </w:r>
      <w:r>
        <w:rPr>
          <w:color w:val="auto"/>
          <w:kern w:val="2"/>
          <w:sz w:val="24"/>
          <w:szCs w:val="32"/>
          <w:highlight w:val="none"/>
          <w:lang w:bidi="ar"/>
        </w:rPr>
        <w:t>《地表水环境质量标准》（GB3838-2002）Ⅲ类标准。</w:t>
      </w:r>
    </w:p>
    <w:p>
      <w:pPr>
        <w:pStyle w:val="22"/>
        <w:spacing w:after="0" w:line="360" w:lineRule="auto"/>
        <w:ind w:left="0" w:leftChars="0" w:firstLine="482" w:firstLineChars="200"/>
        <w:rPr>
          <w:color w:val="auto"/>
          <w:sz w:val="24"/>
          <w:szCs w:val="36"/>
          <w:highlight w:val="none"/>
        </w:rPr>
      </w:pPr>
      <w:r>
        <w:rPr>
          <w:rFonts w:hint="eastAsia"/>
          <w:b/>
          <w:bCs/>
          <w:color w:val="auto"/>
          <w:sz w:val="24"/>
          <w:szCs w:val="36"/>
          <w:highlight w:val="none"/>
          <w:lang w:eastAsia="zh-CN"/>
        </w:rPr>
        <w:t>（</w:t>
      </w:r>
      <w:r>
        <w:rPr>
          <w:rFonts w:hint="eastAsia"/>
          <w:b/>
          <w:bCs/>
          <w:color w:val="auto"/>
          <w:sz w:val="24"/>
          <w:szCs w:val="36"/>
          <w:highlight w:val="none"/>
          <w:lang w:val="en-US" w:eastAsia="zh-CN"/>
        </w:rPr>
        <w:t>4</w:t>
      </w:r>
      <w:r>
        <w:rPr>
          <w:rFonts w:hint="eastAsia"/>
          <w:b/>
          <w:bCs/>
          <w:color w:val="auto"/>
          <w:sz w:val="24"/>
          <w:szCs w:val="36"/>
          <w:highlight w:val="none"/>
          <w:lang w:eastAsia="zh-CN"/>
        </w:rPr>
        <w:t>）</w:t>
      </w:r>
      <w:r>
        <w:rPr>
          <w:b/>
          <w:bCs/>
          <w:color w:val="auto"/>
          <w:sz w:val="24"/>
          <w:szCs w:val="36"/>
          <w:highlight w:val="none"/>
        </w:rPr>
        <w:t>水环境保护目标</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本项目评价范围内水环境保护目标见下表。</w:t>
      </w:r>
    </w:p>
    <w:p>
      <w:pPr>
        <w:pStyle w:val="22"/>
        <w:spacing w:after="0" w:line="360" w:lineRule="auto"/>
        <w:ind w:left="0" w:leftChars="0"/>
        <w:jc w:val="center"/>
        <w:rPr>
          <w:color w:val="auto"/>
          <w:sz w:val="24"/>
          <w:szCs w:val="36"/>
          <w:highlight w:val="none"/>
        </w:rPr>
      </w:pPr>
      <w:r>
        <w:rPr>
          <w:rFonts w:eastAsia="黑体"/>
          <w:color w:val="auto"/>
          <w:sz w:val="21"/>
          <w:highlight w:val="none"/>
        </w:rPr>
        <w:t>表</w:t>
      </w:r>
      <w:r>
        <w:rPr>
          <w:rFonts w:hint="eastAsia" w:eastAsia="黑体"/>
          <w:color w:val="auto"/>
          <w:sz w:val="21"/>
          <w:highlight w:val="none"/>
          <w:lang w:val="en-US" w:eastAsia="zh-CN"/>
        </w:rPr>
        <w:t>4-5</w:t>
      </w:r>
      <w:r>
        <w:rPr>
          <w:rFonts w:hint="eastAsia" w:eastAsia="黑体"/>
          <w:color w:val="auto"/>
          <w:sz w:val="21"/>
          <w:highlight w:val="none"/>
        </w:rPr>
        <w:t xml:space="preserve"> </w:t>
      </w:r>
      <w:r>
        <w:rPr>
          <w:rFonts w:eastAsia="黑体"/>
          <w:color w:val="auto"/>
          <w:sz w:val="21"/>
          <w:highlight w:val="none"/>
        </w:rPr>
        <w:t>评价范围内水环境保护目标</w:t>
      </w:r>
    </w:p>
    <w:tbl>
      <w:tblPr>
        <w:tblStyle w:val="23"/>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122"/>
        <w:gridCol w:w="4159"/>
        <w:gridCol w:w="839"/>
        <w:gridCol w:w="191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shd w:val="clear" w:color="auto" w:fill="auto"/>
            <w:vAlign w:val="center"/>
          </w:tcPr>
          <w:p>
            <w:pPr>
              <w:jc w:val="center"/>
              <w:rPr>
                <w:b/>
                <w:bCs/>
                <w:color w:val="auto"/>
                <w:highlight w:val="none"/>
              </w:rPr>
            </w:pPr>
            <w:r>
              <w:rPr>
                <w:b/>
                <w:bCs/>
                <w:color w:val="auto"/>
                <w:highlight w:val="none"/>
              </w:rPr>
              <w:t>序号</w:t>
            </w:r>
          </w:p>
        </w:tc>
        <w:tc>
          <w:tcPr>
            <w:tcW w:w="571" w:type="pct"/>
            <w:shd w:val="clear" w:color="auto" w:fill="auto"/>
            <w:vAlign w:val="center"/>
          </w:tcPr>
          <w:p>
            <w:pPr>
              <w:jc w:val="center"/>
              <w:rPr>
                <w:b/>
                <w:bCs/>
                <w:color w:val="auto"/>
                <w:highlight w:val="none"/>
              </w:rPr>
            </w:pPr>
            <w:r>
              <w:rPr>
                <w:b/>
                <w:bCs/>
                <w:color w:val="auto"/>
                <w:highlight w:val="none"/>
              </w:rPr>
              <w:t>名称</w:t>
            </w:r>
          </w:p>
        </w:tc>
        <w:tc>
          <w:tcPr>
            <w:tcW w:w="2117" w:type="pct"/>
            <w:shd w:val="clear" w:color="auto" w:fill="auto"/>
            <w:vAlign w:val="center"/>
          </w:tcPr>
          <w:p>
            <w:pPr>
              <w:jc w:val="center"/>
              <w:rPr>
                <w:b/>
                <w:bCs/>
                <w:color w:val="auto"/>
                <w:highlight w:val="none"/>
              </w:rPr>
            </w:pPr>
            <w:r>
              <w:rPr>
                <w:b/>
                <w:bCs/>
                <w:color w:val="auto"/>
                <w:highlight w:val="none"/>
              </w:rPr>
              <w:t>规模</w:t>
            </w:r>
          </w:p>
        </w:tc>
        <w:tc>
          <w:tcPr>
            <w:tcW w:w="427" w:type="pct"/>
            <w:shd w:val="clear" w:color="auto" w:fill="auto"/>
            <w:vAlign w:val="center"/>
          </w:tcPr>
          <w:p>
            <w:pPr>
              <w:jc w:val="center"/>
              <w:rPr>
                <w:b/>
                <w:bCs/>
                <w:color w:val="auto"/>
                <w:highlight w:val="none"/>
              </w:rPr>
            </w:pPr>
            <w:r>
              <w:rPr>
                <w:b/>
                <w:bCs/>
                <w:color w:val="auto"/>
                <w:highlight w:val="none"/>
              </w:rPr>
              <w:t>方位</w:t>
            </w:r>
          </w:p>
        </w:tc>
        <w:tc>
          <w:tcPr>
            <w:tcW w:w="976" w:type="pct"/>
            <w:shd w:val="clear" w:color="auto" w:fill="auto"/>
            <w:vAlign w:val="center"/>
          </w:tcPr>
          <w:p>
            <w:pPr>
              <w:jc w:val="center"/>
              <w:rPr>
                <w:b/>
                <w:bCs/>
                <w:color w:val="auto"/>
                <w:highlight w:val="none"/>
              </w:rPr>
            </w:pPr>
            <w:r>
              <w:rPr>
                <w:b/>
                <w:bCs/>
                <w:color w:val="auto"/>
                <w:highlight w:val="none"/>
              </w:rPr>
              <w:t>与厂界最近距离</w:t>
            </w:r>
          </w:p>
        </w:tc>
        <w:tc>
          <w:tcPr>
            <w:tcW w:w="559" w:type="pct"/>
            <w:shd w:val="clear" w:color="auto" w:fill="auto"/>
            <w:vAlign w:val="center"/>
          </w:tcPr>
          <w:p>
            <w:pPr>
              <w:jc w:val="center"/>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Align w:val="center"/>
          </w:tcPr>
          <w:p>
            <w:pPr>
              <w:jc w:val="center"/>
              <w:rPr>
                <w:color w:val="auto"/>
                <w:highlight w:val="none"/>
              </w:rPr>
            </w:pPr>
            <w:r>
              <w:rPr>
                <w:color w:val="auto"/>
                <w:highlight w:val="none"/>
              </w:rPr>
              <w:t>1</w:t>
            </w:r>
          </w:p>
        </w:tc>
        <w:tc>
          <w:tcPr>
            <w:tcW w:w="571" w:type="pct"/>
            <w:vAlign w:val="center"/>
          </w:tcPr>
          <w:p>
            <w:pPr>
              <w:jc w:val="center"/>
              <w:rPr>
                <w:color w:val="auto"/>
                <w:highlight w:val="none"/>
              </w:rPr>
            </w:pPr>
            <w:r>
              <w:rPr>
                <w:color w:val="auto"/>
                <w:highlight w:val="none"/>
              </w:rPr>
              <w:t>前河</w:t>
            </w:r>
          </w:p>
        </w:tc>
        <w:tc>
          <w:tcPr>
            <w:tcW w:w="2117" w:type="pct"/>
            <w:vAlign w:val="center"/>
          </w:tcPr>
          <w:p>
            <w:pPr>
              <w:jc w:val="center"/>
              <w:rPr>
                <w:color w:val="auto"/>
                <w:highlight w:val="none"/>
                <w:lang w:bidi="ar"/>
              </w:rPr>
            </w:pPr>
            <w:r>
              <w:rPr>
                <w:rFonts w:hint="eastAsia"/>
                <w:color w:val="auto"/>
                <w:highlight w:val="none"/>
                <w:lang w:bidi="ar"/>
              </w:rPr>
              <w:t>中河（南坝水文站年平均流量57.96m</w:t>
            </w:r>
            <w:r>
              <w:rPr>
                <w:rFonts w:hint="eastAsia"/>
                <w:color w:val="auto"/>
                <w:highlight w:val="none"/>
                <w:vertAlign w:val="superscript"/>
                <w:lang w:bidi="ar"/>
              </w:rPr>
              <w:t>3</w:t>
            </w:r>
            <w:r>
              <w:rPr>
                <w:rFonts w:hint="eastAsia"/>
                <w:color w:val="auto"/>
                <w:highlight w:val="none"/>
                <w:lang w:bidi="ar"/>
              </w:rPr>
              <w:t>/s）</w:t>
            </w:r>
          </w:p>
        </w:tc>
        <w:tc>
          <w:tcPr>
            <w:tcW w:w="427" w:type="pct"/>
            <w:vAlign w:val="center"/>
          </w:tcPr>
          <w:p>
            <w:pPr>
              <w:jc w:val="center"/>
              <w:rPr>
                <w:color w:val="auto"/>
                <w:highlight w:val="none"/>
                <w:lang w:bidi="ar"/>
              </w:rPr>
            </w:pPr>
            <w:r>
              <w:rPr>
                <w:color w:val="auto"/>
                <w:highlight w:val="none"/>
                <w:lang w:bidi="ar"/>
              </w:rPr>
              <w:t>N</w:t>
            </w:r>
          </w:p>
        </w:tc>
        <w:tc>
          <w:tcPr>
            <w:tcW w:w="976" w:type="pct"/>
            <w:vAlign w:val="center"/>
          </w:tcPr>
          <w:p>
            <w:pPr>
              <w:jc w:val="center"/>
              <w:rPr>
                <w:color w:val="auto"/>
                <w:highlight w:val="none"/>
              </w:rPr>
            </w:pPr>
            <w:r>
              <w:rPr>
                <w:color w:val="auto"/>
                <w:highlight w:val="none"/>
                <w:lang w:bidi="ar"/>
              </w:rPr>
              <w:t>50m</w:t>
            </w:r>
          </w:p>
        </w:tc>
        <w:tc>
          <w:tcPr>
            <w:tcW w:w="559" w:type="pct"/>
            <w:vAlign w:val="center"/>
          </w:tcPr>
          <w:p>
            <w:pPr>
              <w:jc w:val="center"/>
              <w:rPr>
                <w:color w:val="auto"/>
                <w:highlight w:val="none"/>
              </w:rPr>
            </w:pPr>
            <w:r>
              <w:rPr>
                <w:color w:val="auto"/>
                <w:highlight w:val="none"/>
                <w:lang w:bidi="ar"/>
              </w:rPr>
              <w:t>Ⅲ类水域</w:t>
            </w:r>
          </w:p>
        </w:tc>
      </w:tr>
    </w:tbl>
    <w:p>
      <w:pPr>
        <w:pageBreakBefore w:val="0"/>
        <w:kinsoku/>
        <w:wordWrap/>
        <w:topLinePunct w:val="0"/>
        <w:bidi w:val="0"/>
        <w:spacing w:line="360" w:lineRule="auto"/>
        <w:ind w:left="0" w:leftChars="0" w:right="0" w:rightChars="0" w:firstLine="480" w:firstLineChars="200"/>
        <w:rPr>
          <w:rFonts w:hint="eastAsia"/>
          <w:b w:val="0"/>
          <w:bCs w:val="0"/>
          <w:color w:val="auto"/>
          <w:sz w:val="24"/>
          <w:szCs w:val="32"/>
          <w:highlight w:val="none"/>
          <w:lang w:val="en-US" w:eastAsia="zh-CN" w:bidi="ar"/>
        </w:rPr>
      </w:pPr>
    </w:p>
    <w:p>
      <w:pPr>
        <w:pageBreakBefore w:val="0"/>
        <w:kinsoku/>
        <w:wordWrap/>
        <w:topLinePunct w:val="0"/>
        <w:bidi w:val="0"/>
        <w:spacing w:line="360" w:lineRule="auto"/>
        <w:ind w:left="0" w:leftChars="0" w:right="0" w:rightChars="0" w:firstLine="480" w:firstLineChars="200"/>
        <w:rPr>
          <w:rFonts w:hint="eastAsia"/>
          <w:b w:val="0"/>
          <w:bCs w:val="0"/>
          <w:color w:val="auto"/>
          <w:sz w:val="24"/>
          <w:szCs w:val="32"/>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bidi w:val="0"/>
        <w:spacing w:line="360" w:lineRule="auto"/>
        <w:ind w:left="0" w:leftChars="0" w:right="0"/>
        <w:outlineLvl w:val="0"/>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lang w:val="en-US" w:eastAsia="zh-CN"/>
        </w:rPr>
        <w:t>5</w:t>
      </w:r>
      <w:r>
        <w:rPr>
          <w:rFonts w:hint="default" w:ascii="Times New Roman" w:hAnsi="Times New Roman" w:cs="Times New Roman"/>
          <w:b/>
          <w:bCs/>
          <w:color w:val="auto"/>
          <w:sz w:val="30"/>
          <w:szCs w:val="30"/>
          <w:highlight w:val="none"/>
        </w:rPr>
        <w:t xml:space="preserve"> 地表水环境影响评价</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 xml:space="preserve">.1 </w:t>
      </w:r>
      <w:r>
        <w:rPr>
          <w:rFonts w:hint="default" w:ascii="Times New Roman" w:hAnsi="Times New Roman" w:cs="Times New Roman"/>
          <w:b/>
          <w:bCs/>
          <w:color w:val="auto"/>
          <w:sz w:val="28"/>
          <w:szCs w:val="28"/>
          <w:highlight w:val="none"/>
          <w:lang w:val="en-US" w:eastAsia="zh-CN"/>
        </w:rPr>
        <w:t>预测因子与预测范围</w:t>
      </w:r>
    </w:p>
    <w:p>
      <w:pPr>
        <w:pStyle w:val="34"/>
        <w:pageBreakBefore w:val="0"/>
        <w:kinsoku/>
        <w:wordWrap/>
        <w:topLinePunct w:val="0"/>
        <w:bidi w:val="0"/>
        <w:spacing w:line="360" w:lineRule="auto"/>
        <w:ind w:left="0" w:leftChars="0" w:right="0" w:rightChars="0" w:firstLine="482" w:firstLineChars="200"/>
        <w:jc w:val="both"/>
        <w:outlineLvl w:val="9"/>
        <w:rPr>
          <w:b/>
          <w:bCs w:val="0"/>
          <w:color w:val="auto"/>
          <w:sz w:val="24"/>
          <w:szCs w:val="36"/>
          <w:highlight w:val="none"/>
        </w:rPr>
      </w:pPr>
      <w:r>
        <w:rPr>
          <w:rFonts w:hint="eastAsia"/>
          <w:b/>
          <w:bCs w:val="0"/>
          <w:color w:val="auto"/>
          <w:sz w:val="24"/>
          <w:szCs w:val="36"/>
          <w:highlight w:val="none"/>
          <w:lang w:eastAsia="zh-CN"/>
        </w:rPr>
        <w:t>（</w:t>
      </w:r>
      <w:r>
        <w:rPr>
          <w:rFonts w:hint="eastAsia"/>
          <w:b/>
          <w:bCs w:val="0"/>
          <w:color w:val="auto"/>
          <w:sz w:val="24"/>
          <w:szCs w:val="36"/>
          <w:highlight w:val="none"/>
          <w:lang w:val="en-US" w:eastAsia="zh-CN"/>
        </w:rPr>
        <w:t>1</w:t>
      </w:r>
      <w:r>
        <w:rPr>
          <w:rFonts w:hint="eastAsia"/>
          <w:b/>
          <w:bCs w:val="0"/>
          <w:color w:val="auto"/>
          <w:sz w:val="24"/>
          <w:szCs w:val="36"/>
          <w:highlight w:val="none"/>
          <w:lang w:eastAsia="zh-CN"/>
        </w:rPr>
        <w:t>）</w:t>
      </w:r>
      <w:r>
        <w:rPr>
          <w:b/>
          <w:bCs w:val="0"/>
          <w:color w:val="auto"/>
          <w:sz w:val="24"/>
          <w:szCs w:val="36"/>
          <w:highlight w:val="none"/>
        </w:rPr>
        <w:t>预测因子</w:t>
      </w: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bCs/>
          <w:color w:val="auto"/>
          <w:kern w:val="2"/>
          <w:sz w:val="24"/>
          <w:szCs w:val="24"/>
          <w:highlight w:val="none"/>
          <w:lang w:val="en-US" w:eastAsia="zh-CN" w:bidi="ar"/>
        </w:rPr>
      </w:pPr>
      <w:r>
        <w:rPr>
          <w:b w:val="0"/>
          <w:bCs/>
          <w:color w:val="auto"/>
          <w:sz w:val="24"/>
          <w:szCs w:val="36"/>
          <w:highlight w:val="none"/>
        </w:rPr>
        <w:t>应根据评价因子确定，重点选择与建设项目水环境影响关系密切的因子。综合流域规划要求、河段的污染特性以及水资源保护管理要求，本次预测选取COD、氨氮、总磷作为预测因子。</w:t>
      </w:r>
    </w:p>
    <w:p>
      <w:pPr>
        <w:pStyle w:val="34"/>
        <w:pageBreakBefore w:val="0"/>
        <w:kinsoku/>
        <w:wordWrap/>
        <w:topLinePunct w:val="0"/>
        <w:bidi w:val="0"/>
        <w:spacing w:line="360" w:lineRule="auto"/>
        <w:ind w:left="0" w:leftChars="0" w:right="0" w:rightChars="0" w:firstLine="482" w:firstLineChars="200"/>
        <w:jc w:val="both"/>
        <w:outlineLvl w:val="9"/>
        <w:rPr>
          <w:rFonts w:hint="default" w:ascii="Times New Roman" w:hAnsi="Times New Roman" w:cs="Times New Roman"/>
          <w:b/>
          <w:bCs/>
          <w:color w:val="auto"/>
          <w:sz w:val="24"/>
          <w:szCs w:val="28"/>
          <w:highlight w:val="none"/>
          <w:lang w:val="en-US" w:eastAsia="zh-CN"/>
        </w:rPr>
      </w:pPr>
      <w:r>
        <w:rPr>
          <w:rFonts w:hint="eastAsia" w:ascii="Times New Roman" w:hAnsi="Times New Roman" w:cs="Times New Roman"/>
          <w:b/>
          <w:bCs/>
          <w:color w:val="auto"/>
          <w:sz w:val="24"/>
          <w:szCs w:val="28"/>
          <w:highlight w:val="none"/>
          <w:lang w:val="en-US" w:eastAsia="zh-CN"/>
        </w:rPr>
        <w:t>（2）</w:t>
      </w:r>
      <w:r>
        <w:rPr>
          <w:rFonts w:hint="default" w:ascii="Times New Roman" w:hAnsi="Times New Roman" w:cs="Times New Roman"/>
          <w:b/>
          <w:bCs/>
          <w:color w:val="auto"/>
          <w:sz w:val="24"/>
          <w:szCs w:val="28"/>
          <w:highlight w:val="none"/>
          <w:lang w:val="en-US" w:eastAsia="zh-CN"/>
        </w:rPr>
        <w:t>预测范围</w:t>
      </w: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bCs/>
          <w:color w:val="auto"/>
          <w:kern w:val="2"/>
          <w:sz w:val="24"/>
          <w:szCs w:val="24"/>
          <w:highlight w:val="none"/>
          <w:lang w:val="en-US" w:eastAsia="zh-CN" w:bidi="ar"/>
        </w:rPr>
      </w:pPr>
      <w:r>
        <w:rPr>
          <w:b w:val="0"/>
          <w:bCs/>
          <w:color w:val="auto"/>
          <w:sz w:val="24"/>
          <w:szCs w:val="36"/>
          <w:highlight w:val="none"/>
        </w:rPr>
        <w:t>本项目受纳水体为前河。根据《环境影响评价技术导则地表水环境》（HJ2.3-2018），建设项目地表水环境影响评价范围指整体实施后，可能对地表水环境造成的影响范围。根据调查，前河评价河段主要水体功能为饮用、工业、渔业、景观娱乐用水等。本次评价范围为排污口至排污口下游27000m前河-乡石鹰断面。</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2</w:t>
      </w:r>
      <w:r>
        <w:rPr>
          <w:rFonts w:hint="default" w:ascii="Times New Roman" w:hAnsi="Times New Roman" w:cs="Times New Roman"/>
          <w:b/>
          <w:bCs/>
          <w:color w:val="auto"/>
          <w:sz w:val="28"/>
          <w:szCs w:val="28"/>
          <w:highlight w:val="none"/>
        </w:rPr>
        <w:t xml:space="preserve"> </w:t>
      </w:r>
      <w:r>
        <w:rPr>
          <w:rFonts w:hint="default" w:ascii="Times New Roman" w:hAnsi="Times New Roman" w:cs="Times New Roman"/>
          <w:b/>
          <w:bCs/>
          <w:color w:val="auto"/>
          <w:sz w:val="28"/>
          <w:szCs w:val="28"/>
          <w:highlight w:val="none"/>
          <w:lang w:val="en-US" w:eastAsia="zh-CN"/>
        </w:rPr>
        <w:t>预测因子时期</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根据《环境影响评价技术导则地表水环境》（HJ2.3-2018）要求，二级评价时期至少为枯水期。</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lang w:val="en-US"/>
        </w:rPr>
      </w:pPr>
      <w:r>
        <w:rPr>
          <w:rFonts w:hint="default"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 xml:space="preserve"> </w:t>
      </w:r>
      <w:r>
        <w:rPr>
          <w:rFonts w:hint="default" w:ascii="Times New Roman" w:hAnsi="Times New Roman" w:cs="Times New Roman"/>
          <w:b/>
          <w:bCs/>
          <w:color w:val="auto"/>
          <w:sz w:val="28"/>
          <w:szCs w:val="28"/>
          <w:highlight w:val="none"/>
          <w:lang w:val="en-US" w:eastAsia="zh-CN"/>
        </w:rPr>
        <w:t>预测情景</w:t>
      </w: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bCs/>
          <w:color w:val="auto"/>
          <w:kern w:val="2"/>
          <w:sz w:val="24"/>
          <w:szCs w:val="24"/>
          <w:highlight w:val="none"/>
          <w:lang w:val="en-US" w:eastAsia="zh-CN" w:bidi="ar"/>
        </w:rPr>
      </w:pPr>
      <w:r>
        <w:rPr>
          <w:b w:val="0"/>
          <w:bCs/>
          <w:color w:val="auto"/>
          <w:kern w:val="2"/>
          <w:sz w:val="24"/>
          <w:szCs w:val="24"/>
          <w:highlight w:val="none"/>
          <w:lang w:bidi="ar"/>
        </w:rPr>
        <w:t>正常排放、事故排放（按废水直接排放计）</w:t>
      </w:r>
      <w:r>
        <w:rPr>
          <w:b w:val="0"/>
          <w:bCs/>
          <w:color w:val="auto"/>
          <w:sz w:val="24"/>
          <w:szCs w:val="36"/>
          <w:highlight w:val="none"/>
        </w:rPr>
        <w:t>。</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lang w:val="en-US"/>
        </w:rPr>
      </w:pPr>
      <w:r>
        <w:rPr>
          <w:rFonts w:hint="default"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4</w:t>
      </w:r>
      <w:r>
        <w:rPr>
          <w:rFonts w:hint="default" w:ascii="Times New Roman" w:hAnsi="Times New Roman" w:cs="Times New Roman"/>
          <w:b/>
          <w:bCs/>
          <w:color w:val="auto"/>
          <w:sz w:val="28"/>
          <w:szCs w:val="28"/>
          <w:highlight w:val="none"/>
        </w:rPr>
        <w:t xml:space="preserve"> </w:t>
      </w:r>
      <w:r>
        <w:rPr>
          <w:rFonts w:hint="default" w:ascii="Times New Roman" w:hAnsi="Times New Roman" w:cs="Times New Roman"/>
          <w:b/>
          <w:bCs/>
          <w:color w:val="auto"/>
          <w:sz w:val="28"/>
          <w:szCs w:val="28"/>
          <w:highlight w:val="none"/>
          <w:lang w:val="en-US" w:eastAsia="zh-CN"/>
        </w:rPr>
        <w:t>预测内容</w:t>
      </w:r>
    </w:p>
    <w:p>
      <w:pPr>
        <w:pStyle w:val="35"/>
        <w:pageBreakBefore w:val="0"/>
        <w:kinsoku/>
        <w:wordWrap/>
        <w:bidi w:val="0"/>
        <w:spacing w:line="360"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各关心断面（控制断面、污染源排放核算断面等）水质预测因子的浓度及变化；</w:t>
      </w:r>
    </w:p>
    <w:p>
      <w:pPr>
        <w:pStyle w:val="35"/>
        <w:pageBreakBefore w:val="0"/>
        <w:kinsoku/>
        <w:wordWrap/>
        <w:bidi w:val="0"/>
        <w:spacing w:line="360"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各污染物最大影响范围；</w:t>
      </w:r>
    </w:p>
    <w:p>
      <w:pPr>
        <w:pStyle w:val="35"/>
        <w:pageBreakBefore w:val="0"/>
        <w:kinsoku/>
        <w:wordWrap/>
        <w:bidi w:val="0"/>
        <w:spacing w:line="360"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排放口混合区范围。</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lang w:val="en-US"/>
        </w:rPr>
      </w:pPr>
      <w:r>
        <w:rPr>
          <w:rFonts w:hint="default"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5</w:t>
      </w:r>
      <w:r>
        <w:rPr>
          <w:rFonts w:hint="default" w:ascii="Times New Roman" w:hAnsi="Times New Roman" w:cs="Times New Roman"/>
          <w:b/>
          <w:bCs/>
          <w:color w:val="auto"/>
          <w:sz w:val="28"/>
          <w:szCs w:val="28"/>
          <w:highlight w:val="none"/>
        </w:rPr>
        <w:t xml:space="preserve"> </w:t>
      </w:r>
      <w:r>
        <w:rPr>
          <w:rFonts w:hint="default" w:ascii="Times New Roman" w:hAnsi="Times New Roman" w:cs="Times New Roman"/>
          <w:b/>
          <w:bCs/>
          <w:color w:val="auto"/>
          <w:sz w:val="28"/>
          <w:szCs w:val="28"/>
          <w:highlight w:val="none"/>
          <w:lang w:val="en-US" w:eastAsia="zh-CN"/>
        </w:rPr>
        <w:t>预测模型</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根据《环境影响评价技术导则地表水环境》（HJ2.3-2018）中7.6预测模型中：“7.6.1地表水环境影响预测模型包括数学模型、物理模型。地表水环境影响预测宜选用数学模型。7.6.3.2水动力模型及水质模型：按照时间分为稳态模型与非稳态模型，按照空间分为零维、一维、二维以及三维模型，按照是否需要采用数值离散方法分为解析解模型与数值解模型。7.7.2河流水域概化要求：a）预测河段及代表性断面的宽深比≥20时，可视为矩形河段；b）河段弯曲系数＞1.3时，可视为弯曲河段，其余可概化为平直河段”。</w:t>
      </w:r>
    </w:p>
    <w:p>
      <w:pPr>
        <w:pStyle w:val="22"/>
        <w:pageBreakBefore w:val="0"/>
        <w:kinsoku/>
        <w:wordWrap/>
        <w:topLinePunct w:val="0"/>
        <w:bidi w:val="0"/>
        <w:spacing w:after="0" w:line="360" w:lineRule="auto"/>
        <w:ind w:left="0" w:leftChars="0" w:right="0" w:rightChars="0" w:firstLine="480" w:firstLineChars="200"/>
        <w:rPr>
          <w:color w:val="auto"/>
          <w:sz w:val="24"/>
          <w:highlight w:val="none"/>
        </w:rPr>
      </w:pPr>
      <w:r>
        <w:rPr>
          <w:color w:val="auto"/>
          <w:sz w:val="24"/>
          <w:szCs w:val="36"/>
          <w:highlight w:val="none"/>
        </w:rPr>
        <w:t>本项目尾水排入前河，根据项目区域段前河的水文断面参数，前河评价河段宽深比＞20，弯曲系数＞1.3，</w:t>
      </w:r>
      <w:r>
        <w:rPr>
          <w:color w:val="auto"/>
          <w:sz w:val="24"/>
          <w:highlight w:val="none"/>
        </w:rPr>
        <w:t>故评价河段可简化为弯曲河流</w:t>
      </w:r>
      <w:r>
        <w:rPr>
          <w:color w:val="auto"/>
          <w:sz w:val="24"/>
          <w:szCs w:val="36"/>
          <w:highlight w:val="none"/>
        </w:rPr>
        <w:t>。</w:t>
      </w:r>
      <w:r>
        <w:rPr>
          <w:color w:val="auto"/>
          <w:sz w:val="24"/>
          <w:highlight w:val="none"/>
        </w:rPr>
        <w:t>污染源特性：连续、稳定排放，因此根据导则表4，模型时间分类，属于稳态。在模拟河流顺直、水流均匀且排污稳定时可以采用解析解。</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故本次评价完全混合段采用纵向一维连续稳定排放模型解析法中的连续稳定排放公式。</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5-1</w:t>
      </w:r>
      <w:r>
        <w:rPr>
          <w:rFonts w:hint="eastAsia" w:eastAsia="黑体"/>
          <w:color w:val="auto"/>
          <w:highlight w:val="none"/>
        </w:rPr>
        <w:t xml:space="preserve"> </w:t>
      </w:r>
      <w:r>
        <w:rPr>
          <w:rFonts w:eastAsia="黑体"/>
          <w:color w:val="auto"/>
          <w:highlight w:val="none"/>
        </w:rPr>
        <w:t>本项目地表水预测模型选择</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2459"/>
        <w:gridCol w:w="1842"/>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污染物类别</w:t>
            </w:r>
          </w:p>
        </w:tc>
        <w:tc>
          <w:tcPr>
            <w:tcW w:w="124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预测因子</w:t>
            </w:r>
          </w:p>
        </w:tc>
        <w:tc>
          <w:tcPr>
            <w:tcW w:w="936"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预测范围</w:t>
            </w:r>
          </w:p>
        </w:tc>
        <w:tc>
          <w:tcPr>
            <w:tcW w:w="1565"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选用预测模式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非持久性污染物</w:t>
            </w:r>
          </w:p>
        </w:tc>
        <w:tc>
          <w:tcPr>
            <w:tcW w:w="124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CODcr、NH</w:t>
            </w:r>
            <w:r>
              <w:rPr>
                <w:color w:val="auto"/>
                <w:highlight w:val="none"/>
                <w:vertAlign w:val="subscript"/>
              </w:rPr>
              <w:t>3</w:t>
            </w:r>
            <w:r>
              <w:rPr>
                <w:color w:val="auto"/>
                <w:highlight w:val="none"/>
              </w:rPr>
              <w:t>-N、TP</w:t>
            </w:r>
          </w:p>
        </w:tc>
        <w:tc>
          <w:tcPr>
            <w:tcW w:w="93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充分混合断</w:t>
            </w:r>
          </w:p>
        </w:tc>
        <w:tc>
          <w:tcPr>
            <w:tcW w:w="156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纵向一维连续稳定排放模型</w:t>
            </w:r>
          </w:p>
        </w:tc>
      </w:tr>
    </w:tbl>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根据《环境影响评价技术导则地表水环境》（HJ2.3-2018），本项目尾水排放混合过程段长度采用如下模式：</w:t>
      </w:r>
    </w:p>
    <w:p>
      <w:pPr>
        <w:pStyle w:val="22"/>
        <w:pageBreakBefore w:val="0"/>
        <w:kinsoku/>
        <w:wordWrap/>
        <w:topLinePunct w:val="0"/>
        <w:bidi w:val="0"/>
        <w:spacing w:after="0" w:line="360" w:lineRule="auto"/>
        <w:ind w:left="0" w:leftChars="0" w:right="0" w:rightChars="0" w:firstLine="0"/>
        <w:jc w:val="center"/>
        <w:rPr>
          <w:color w:val="auto"/>
          <w:sz w:val="24"/>
          <w:szCs w:val="36"/>
          <w:highlight w:val="none"/>
        </w:rPr>
      </w:pPr>
      <w:r>
        <w:rPr>
          <w:color w:val="auto"/>
          <w:highlight w:val="none"/>
        </w:rPr>
        <w:drawing>
          <wp:inline distT="0" distB="0" distL="114300" distR="114300">
            <wp:extent cx="4571365" cy="2076450"/>
            <wp:effectExtent l="0" t="0" r="63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6"/>
                    <a:stretch>
                      <a:fillRect/>
                    </a:stretch>
                  </pic:blipFill>
                  <pic:spPr>
                    <a:xfrm>
                      <a:off x="0" y="0"/>
                      <a:ext cx="4571365" cy="2076450"/>
                    </a:xfrm>
                    <a:prstGeom prst="rect">
                      <a:avLst/>
                    </a:prstGeom>
                    <a:noFill/>
                    <a:ln w="9525">
                      <a:noFill/>
                    </a:ln>
                  </pic:spPr>
                </pic:pic>
              </a:graphicData>
            </a:graphic>
          </wp:inline>
        </w:drawing>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横向扩散系数：污染物横向扩散系数计算公式（泰勒法）如下：</w:t>
      </w:r>
    </w:p>
    <w:p>
      <w:pPr>
        <w:pageBreakBefore w:val="0"/>
        <w:kinsoku/>
        <w:wordWrap/>
        <w:topLinePunct w:val="0"/>
        <w:bidi w:val="0"/>
        <w:spacing w:line="360" w:lineRule="auto"/>
        <w:ind w:left="0" w:leftChars="0" w:right="0" w:rightChars="0"/>
        <w:jc w:val="center"/>
        <w:rPr>
          <w:color w:val="auto"/>
          <w:sz w:val="24"/>
          <w:highlight w:val="none"/>
        </w:rPr>
      </w:pPr>
      <w:r>
        <w:rPr>
          <w:color w:val="auto"/>
          <w:highlight w:val="none"/>
        </w:rPr>
        <w:drawing>
          <wp:inline distT="0" distB="0" distL="114300" distR="114300">
            <wp:extent cx="2505075" cy="390525"/>
            <wp:effectExtent l="0" t="0" r="9525" b="952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47"/>
                    <a:stretch>
                      <a:fillRect/>
                    </a:stretch>
                  </pic:blipFill>
                  <pic:spPr>
                    <a:xfrm>
                      <a:off x="0" y="0"/>
                      <a:ext cx="2505075" cy="390525"/>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式中：Ey——污染物横向扩散系数，m</w:t>
      </w:r>
      <w:r>
        <w:rPr>
          <w:color w:val="auto"/>
          <w:sz w:val="24"/>
          <w:highlight w:val="none"/>
          <w:vertAlign w:val="superscript"/>
        </w:rPr>
        <w:t>2</w:t>
      </w:r>
      <w:r>
        <w:rPr>
          <w:color w:val="auto"/>
          <w:sz w:val="24"/>
          <w:highlight w:val="none"/>
        </w:rPr>
        <w:t>/s；</w:t>
      </w:r>
    </w:p>
    <w:p>
      <w:pPr>
        <w:pageBreakBefore w:val="0"/>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B——河流平均宽度；</w:t>
      </w:r>
    </w:p>
    <w:p>
      <w:pPr>
        <w:pageBreakBefore w:val="0"/>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H——河流平均水深；</w:t>
      </w:r>
    </w:p>
    <w:p>
      <w:pPr>
        <w:pageBreakBefore w:val="0"/>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g——重力加速度；</w:t>
      </w:r>
    </w:p>
    <w:p>
      <w:pPr>
        <w:pageBreakBefore w:val="0"/>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I——河流比降；</w:t>
      </w:r>
    </w:p>
    <w:p>
      <w:pPr>
        <w:pageBreakBefore w:val="0"/>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经过计算最枯水期Ey：0.031。</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经核算，枯水期混合过程段长度Lm=4928m。</w:t>
      </w:r>
    </w:p>
    <w:p>
      <w:pPr>
        <w:pageBreakBefore w:val="0"/>
        <w:kinsoku/>
        <w:wordWrap/>
        <w:topLinePunct w:val="0"/>
        <w:bidi w:val="0"/>
        <w:spacing w:line="360" w:lineRule="auto"/>
        <w:ind w:left="0" w:leftChars="0" w:right="0" w:rightChars="0" w:firstLine="482" w:firstLineChars="200"/>
        <w:rPr>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1</w:t>
      </w:r>
      <w:r>
        <w:rPr>
          <w:rFonts w:hint="eastAsia"/>
          <w:b/>
          <w:bCs/>
          <w:color w:val="auto"/>
          <w:sz w:val="24"/>
          <w:highlight w:val="none"/>
          <w:lang w:eastAsia="zh-CN"/>
        </w:rPr>
        <w:t>）</w:t>
      </w:r>
      <w:r>
        <w:rPr>
          <w:b/>
          <w:bCs/>
          <w:color w:val="auto"/>
          <w:sz w:val="24"/>
          <w:highlight w:val="none"/>
        </w:rPr>
        <w:t>纵向一维连续稳定排放模型：</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完全混合段一维连续稳定排放模型解析方法判定公式：</w:t>
      </w:r>
    </w:p>
    <w:p>
      <w:pPr>
        <w:pageBreakBefore w:val="0"/>
        <w:kinsoku/>
        <w:wordWrap/>
        <w:topLinePunct w:val="0"/>
        <w:bidi w:val="0"/>
        <w:spacing w:line="360" w:lineRule="auto"/>
        <w:ind w:left="0" w:leftChars="0" w:right="0" w:rightChars="0"/>
        <w:jc w:val="center"/>
        <w:rPr>
          <w:color w:val="auto"/>
          <w:position w:val="-28"/>
          <w:sz w:val="24"/>
          <w:highlight w:val="none"/>
        </w:rPr>
      </w:pPr>
      <w:r>
        <w:rPr>
          <w:color w:val="auto"/>
          <w:position w:val="-24"/>
          <w:sz w:val="24"/>
          <w:highlight w:val="none"/>
        </w:rPr>
        <w:drawing>
          <wp:inline distT="0" distB="0" distL="0" distR="0">
            <wp:extent cx="480060" cy="369570"/>
            <wp:effectExtent l="0" t="0" r="15240" b="1206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80060" cy="369570"/>
                    </a:xfrm>
                    <a:prstGeom prst="rect">
                      <a:avLst/>
                    </a:prstGeom>
                    <a:noFill/>
                    <a:ln>
                      <a:noFill/>
                    </a:ln>
                  </pic:spPr>
                </pic:pic>
              </a:graphicData>
            </a:graphic>
          </wp:inline>
        </w:drawing>
      </w:r>
    </w:p>
    <w:p>
      <w:pPr>
        <w:pageBreakBefore w:val="0"/>
        <w:kinsoku/>
        <w:wordWrap/>
        <w:topLinePunct w:val="0"/>
        <w:bidi w:val="0"/>
        <w:spacing w:line="360" w:lineRule="auto"/>
        <w:ind w:left="0" w:leftChars="0" w:right="0" w:rightChars="0"/>
        <w:jc w:val="center"/>
        <w:rPr>
          <w:color w:val="auto"/>
          <w:position w:val="-28"/>
          <w:sz w:val="24"/>
          <w:highlight w:val="none"/>
        </w:rPr>
      </w:pPr>
      <w:r>
        <w:rPr>
          <w:color w:val="auto"/>
          <w:position w:val="-24"/>
          <w:sz w:val="24"/>
          <w:highlight w:val="none"/>
        </w:rPr>
        <w:drawing>
          <wp:inline distT="0" distB="0" distL="0" distR="0">
            <wp:extent cx="480060" cy="369570"/>
            <wp:effectExtent l="0" t="0" r="15240" b="1206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80060" cy="369570"/>
                    </a:xfrm>
                    <a:prstGeom prst="rect">
                      <a:avLst/>
                    </a:prstGeom>
                    <a:noFill/>
                    <a:ln>
                      <a:noFill/>
                    </a:ln>
                  </pic:spPr>
                </pic:pic>
              </a:graphicData>
            </a:graphic>
          </wp:inline>
        </w:drawing>
      </w:r>
    </w:p>
    <w:p>
      <w:pPr>
        <w:pageBreakBefore w:val="0"/>
        <w:kinsoku/>
        <w:wordWrap/>
        <w:overflowPunct w:val="0"/>
        <w:topLinePunct w:val="0"/>
        <w:autoSpaceDE w:val="0"/>
        <w:autoSpaceDN w:val="0"/>
        <w:bidi w:val="0"/>
        <w:spacing w:line="360" w:lineRule="auto"/>
        <w:ind w:left="0" w:leftChars="0" w:right="0" w:rightChars="0" w:firstLine="480" w:firstLineChars="200"/>
        <w:textAlignment w:val="bottom"/>
        <w:rPr>
          <w:color w:val="auto"/>
          <w:sz w:val="24"/>
          <w:highlight w:val="none"/>
        </w:rPr>
      </w:pPr>
      <w:r>
        <w:rPr>
          <w:color w:val="auto"/>
          <w:sz w:val="24"/>
          <w:highlight w:val="none"/>
        </w:rPr>
        <w:t>其中，Ex</w:t>
      </w:r>
      <w:r>
        <w:rPr>
          <w:color w:val="auto"/>
          <w:kern w:val="0"/>
          <w:sz w:val="24"/>
          <w:szCs w:val="20"/>
          <w:highlight w:val="none"/>
        </w:rPr>
        <w:t>——</w:t>
      </w:r>
      <w:r>
        <w:rPr>
          <w:color w:val="auto"/>
          <w:sz w:val="24"/>
          <w:highlight w:val="none"/>
        </w:rPr>
        <w:t>采用艾尔德（Elder）法进行计算</w:t>
      </w:r>
    </w:p>
    <w:p>
      <w:pPr>
        <w:pageBreakBefore w:val="0"/>
        <w:kinsoku/>
        <w:wordWrap/>
        <w:topLinePunct w:val="0"/>
        <w:autoSpaceDE w:val="0"/>
        <w:autoSpaceDN w:val="0"/>
        <w:bidi w:val="0"/>
        <w:spacing w:line="360" w:lineRule="auto"/>
        <w:ind w:left="0" w:leftChars="0" w:right="0" w:rightChars="0"/>
        <w:jc w:val="center"/>
        <w:rPr>
          <w:color w:val="auto"/>
          <w:sz w:val="24"/>
          <w:highlight w:val="none"/>
        </w:rPr>
      </w:pPr>
      <w:r>
        <w:rPr>
          <w:color w:val="auto"/>
          <w:position w:val="-10"/>
          <w:sz w:val="24"/>
          <w:highlight w:val="none"/>
        </w:rPr>
        <w:drawing>
          <wp:inline distT="0" distB="0" distL="0" distR="0">
            <wp:extent cx="1283970" cy="221615"/>
            <wp:effectExtent l="0" t="0" r="11430" b="571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83970" cy="221615"/>
                    </a:xfrm>
                    <a:prstGeom prst="rect">
                      <a:avLst/>
                    </a:prstGeom>
                    <a:noFill/>
                    <a:ln>
                      <a:noFill/>
                    </a:ln>
                  </pic:spPr>
                </pic:pic>
              </a:graphicData>
            </a:graphic>
          </wp:inline>
        </w:drawing>
      </w:r>
      <w:r>
        <w:rPr>
          <w:color w:val="auto"/>
          <w:sz w:val="24"/>
          <w:highlight w:val="none"/>
        </w:rPr>
        <w:t>（适用于河流）</w:t>
      </w:r>
    </w:p>
    <w:p>
      <w:pPr>
        <w:pageBreakBefore w:val="0"/>
        <w:kinsoku/>
        <w:wordWrap/>
        <w:overflowPunct w:val="0"/>
        <w:topLinePunct w:val="0"/>
        <w:autoSpaceDE w:val="0"/>
        <w:autoSpaceDN w:val="0"/>
        <w:bidi w:val="0"/>
        <w:spacing w:line="360" w:lineRule="auto"/>
        <w:ind w:left="0" w:leftChars="0" w:right="0" w:rightChars="0" w:firstLine="480" w:firstLineChars="200"/>
        <w:textAlignment w:val="bottom"/>
        <w:rPr>
          <w:color w:val="auto"/>
          <w:kern w:val="0"/>
          <w:sz w:val="24"/>
          <w:szCs w:val="20"/>
          <w:highlight w:val="none"/>
        </w:rPr>
      </w:pPr>
      <w:r>
        <w:rPr>
          <w:color w:val="auto"/>
          <w:sz w:val="24"/>
          <w:highlight w:val="none"/>
        </w:rPr>
        <w:t>式中：</w:t>
      </w:r>
      <w:r>
        <w:rPr>
          <w:color w:val="auto"/>
          <w:kern w:val="0"/>
          <w:sz w:val="24"/>
          <w:szCs w:val="20"/>
          <w:highlight w:val="none"/>
        </w:rPr>
        <w:t>H——平均水深，m；</w:t>
      </w:r>
    </w:p>
    <w:p>
      <w:pPr>
        <w:pageBreakBefore w:val="0"/>
        <w:tabs>
          <w:tab w:val="center" w:pos="4153"/>
          <w:tab w:val="right" w:pos="8306"/>
        </w:tabs>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I</w:t>
      </w:r>
      <w:r>
        <w:rPr>
          <w:color w:val="auto"/>
          <w:kern w:val="0"/>
          <w:sz w:val="24"/>
          <w:szCs w:val="20"/>
          <w:highlight w:val="none"/>
        </w:rPr>
        <w:t>——</w:t>
      </w:r>
      <w:r>
        <w:rPr>
          <w:color w:val="auto"/>
          <w:sz w:val="24"/>
          <w:highlight w:val="none"/>
        </w:rPr>
        <w:t>河流地坡系数，无量纲；</w:t>
      </w:r>
    </w:p>
    <w:p>
      <w:pPr>
        <w:pStyle w:val="22"/>
        <w:pageBreakBefore w:val="0"/>
        <w:kinsoku/>
        <w:wordWrap/>
        <w:topLinePunct w:val="0"/>
        <w:bidi w:val="0"/>
        <w:spacing w:after="0" w:line="360" w:lineRule="auto"/>
        <w:ind w:left="0" w:leftChars="0" w:right="0" w:rightChars="0" w:firstLine="1200" w:firstLineChars="500"/>
        <w:jc w:val="both"/>
        <w:rPr>
          <w:color w:val="auto"/>
          <w:sz w:val="24"/>
          <w:highlight w:val="none"/>
        </w:rPr>
      </w:pPr>
      <w:r>
        <w:rPr>
          <w:color w:val="auto"/>
          <w:sz w:val="24"/>
          <w:highlight w:val="none"/>
        </w:rPr>
        <w:t>g</w:t>
      </w:r>
      <w:r>
        <w:rPr>
          <w:color w:val="auto"/>
          <w:sz w:val="24"/>
          <w:szCs w:val="20"/>
          <w:highlight w:val="none"/>
        </w:rPr>
        <w:t>——</w:t>
      </w:r>
      <w:r>
        <w:rPr>
          <w:color w:val="auto"/>
          <w:sz w:val="24"/>
          <w:highlight w:val="none"/>
        </w:rPr>
        <w:t>重力加速度，9.81m/s</w:t>
      </w:r>
      <w:r>
        <w:rPr>
          <w:color w:val="auto"/>
          <w:sz w:val="24"/>
          <w:highlight w:val="none"/>
          <w:vertAlign w:val="superscript"/>
        </w:rPr>
        <w:t>2</w:t>
      </w:r>
      <w:r>
        <w:rPr>
          <w:color w:val="auto"/>
          <w:sz w:val="24"/>
          <w:highlight w:val="none"/>
        </w:rPr>
        <w:t>。</w:t>
      </w:r>
    </w:p>
    <w:p>
      <w:pPr>
        <w:pStyle w:val="22"/>
        <w:pageBreakBefore w:val="0"/>
        <w:kinsoku/>
        <w:wordWrap/>
        <w:topLinePunct w:val="0"/>
        <w:bidi w:val="0"/>
        <w:spacing w:after="0" w:line="360" w:lineRule="auto"/>
        <w:ind w:left="0" w:leftChars="0" w:right="0" w:rightChars="0" w:firstLine="0" w:firstLineChars="0"/>
        <w:jc w:val="center"/>
        <w:rPr>
          <w:color w:val="auto"/>
          <w:sz w:val="24"/>
          <w:highlight w:val="none"/>
        </w:rPr>
      </w:pPr>
      <w:r>
        <w:rPr>
          <w:color w:val="auto"/>
          <w:sz w:val="24"/>
          <w:highlight w:val="none"/>
        </w:rPr>
        <w:drawing>
          <wp:inline distT="0" distB="0" distL="0" distR="0">
            <wp:extent cx="4804410" cy="5028565"/>
            <wp:effectExtent l="0" t="0" r="15240" b="635"/>
            <wp:docPr id="45" name="图片 45" descr="QQ截图2021032909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2103290940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804410" cy="5028565"/>
                    </a:xfrm>
                    <a:prstGeom prst="rect">
                      <a:avLst/>
                    </a:prstGeom>
                    <a:noFill/>
                    <a:ln>
                      <a:noFill/>
                    </a:ln>
                  </pic:spPr>
                </pic:pic>
              </a:graphicData>
            </a:graphic>
          </wp:inline>
        </w:drawing>
      </w:r>
    </w:p>
    <w:p>
      <w:pPr>
        <w:pStyle w:val="22"/>
        <w:pageBreakBefore w:val="0"/>
        <w:kinsoku/>
        <w:wordWrap/>
        <w:topLinePunct w:val="0"/>
        <w:bidi w:val="0"/>
        <w:spacing w:after="0" w:line="360" w:lineRule="auto"/>
        <w:ind w:left="0" w:leftChars="0" w:right="0" w:rightChars="0" w:firstLine="0"/>
        <w:jc w:val="center"/>
        <w:rPr>
          <w:color w:val="auto"/>
          <w:sz w:val="24"/>
          <w:highlight w:val="none"/>
        </w:rPr>
      </w:pPr>
    </w:p>
    <w:p>
      <w:pPr>
        <w:pStyle w:val="22"/>
        <w:pageBreakBefore w:val="0"/>
        <w:kinsoku/>
        <w:wordWrap/>
        <w:topLinePunct w:val="0"/>
        <w:bidi w:val="0"/>
        <w:spacing w:after="0" w:line="360" w:lineRule="auto"/>
        <w:ind w:left="0" w:leftChars="0" w:right="0" w:rightChars="0" w:firstLine="0"/>
        <w:jc w:val="center"/>
        <w:rPr>
          <w:color w:val="auto"/>
          <w:sz w:val="24"/>
          <w:szCs w:val="36"/>
          <w:highlight w:val="none"/>
        </w:rPr>
      </w:pPr>
      <w:r>
        <w:rPr>
          <w:color w:val="auto"/>
          <w:sz w:val="24"/>
          <w:highlight w:val="none"/>
        </w:rPr>
        <w:drawing>
          <wp:inline distT="0" distB="0" distL="0" distR="0">
            <wp:extent cx="3656965" cy="2165350"/>
            <wp:effectExtent l="0" t="0" r="635" b="6350"/>
            <wp:docPr id="46" name="图片 46" descr="QQ截图2021032909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Q截图202103290943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656965" cy="2165350"/>
                    </a:xfrm>
                    <a:prstGeom prst="rect">
                      <a:avLst/>
                    </a:prstGeom>
                    <a:noFill/>
                    <a:ln>
                      <a:noFill/>
                    </a:ln>
                  </pic:spPr>
                </pic:pic>
              </a:graphicData>
            </a:graphic>
          </wp:inline>
        </w:drawing>
      </w:r>
    </w:p>
    <w:p>
      <w:pPr>
        <w:pageBreakBefore w:val="0"/>
        <w:kinsoku/>
        <w:wordWrap/>
        <w:topLinePunct w:val="0"/>
        <w:autoSpaceDE w:val="0"/>
        <w:autoSpaceDN w:val="0"/>
        <w:bidi w:val="0"/>
        <w:spacing w:line="360" w:lineRule="auto"/>
        <w:ind w:left="0" w:leftChars="0" w:right="0" w:rightChars="0" w:firstLine="480" w:firstLineChars="200"/>
        <w:rPr>
          <w:color w:val="auto"/>
          <w:sz w:val="24"/>
          <w:highlight w:val="none"/>
        </w:rPr>
      </w:pPr>
      <w:r>
        <w:rPr>
          <w:color w:val="auto"/>
          <w:sz w:val="24"/>
          <w:highlight w:val="none"/>
        </w:rPr>
        <w:t>式中：α</w:t>
      </w:r>
      <w:r>
        <w:rPr>
          <w:color w:val="auto"/>
          <w:kern w:val="0"/>
          <w:sz w:val="24"/>
          <w:szCs w:val="20"/>
          <w:highlight w:val="none"/>
        </w:rPr>
        <w:t>——</w:t>
      </w:r>
      <w:r>
        <w:rPr>
          <w:color w:val="auto"/>
          <w:sz w:val="24"/>
          <w:highlight w:val="none"/>
        </w:rPr>
        <w:t>O</w:t>
      </w:r>
      <w:r>
        <w:rPr>
          <w:color w:val="auto"/>
          <w:sz w:val="24"/>
          <w:highlight w:val="none"/>
          <w:vertAlign w:val="superscript"/>
        </w:rPr>
        <w:t>，</w:t>
      </w:r>
      <w:r>
        <w:rPr>
          <w:color w:val="auto"/>
          <w:sz w:val="24"/>
          <w:highlight w:val="none"/>
        </w:rPr>
        <w:t>Connor数，量纲为1，表征物质离散降解通量与移流通量比值；</w:t>
      </w:r>
    </w:p>
    <w:p>
      <w:pPr>
        <w:pageBreakBefore w:val="0"/>
        <w:kinsoku/>
        <w:wordWrap/>
        <w:topLinePunct w:val="0"/>
        <w:autoSpaceDE w:val="0"/>
        <w:autoSpaceDN w:val="0"/>
        <w:bidi w:val="0"/>
        <w:spacing w:line="360" w:lineRule="auto"/>
        <w:ind w:left="0" w:leftChars="0" w:right="0" w:rightChars="0" w:firstLine="1200" w:firstLineChars="500"/>
        <w:rPr>
          <w:color w:val="auto"/>
          <w:sz w:val="24"/>
          <w:highlight w:val="none"/>
        </w:rPr>
      </w:pPr>
      <w:r>
        <w:rPr>
          <w:color w:val="auto"/>
          <w:sz w:val="24"/>
          <w:highlight w:val="none"/>
        </w:rPr>
        <w:t>Pe</w:t>
      </w:r>
      <w:r>
        <w:rPr>
          <w:color w:val="auto"/>
          <w:kern w:val="0"/>
          <w:sz w:val="24"/>
          <w:szCs w:val="20"/>
          <w:highlight w:val="none"/>
        </w:rPr>
        <w:t>——</w:t>
      </w:r>
      <w:r>
        <w:rPr>
          <w:color w:val="auto"/>
          <w:sz w:val="24"/>
          <w:highlight w:val="none"/>
        </w:rPr>
        <w:t>贝克莱数，量纲为1，表征物质移流通量与离散降解通量比值；</w:t>
      </w:r>
    </w:p>
    <w:p>
      <w:pPr>
        <w:pageBreakBefore w:val="0"/>
        <w:kinsoku/>
        <w:wordWrap/>
        <w:topLinePunct w:val="0"/>
        <w:autoSpaceDE w:val="0"/>
        <w:autoSpaceDN w:val="0"/>
        <w:bidi w:val="0"/>
        <w:spacing w:line="360" w:lineRule="auto"/>
        <w:ind w:left="0" w:leftChars="0" w:right="0" w:rightChars="0" w:firstLine="1200" w:firstLineChars="500"/>
        <w:rPr>
          <w:color w:val="auto"/>
          <w:sz w:val="24"/>
          <w:highlight w:val="none"/>
        </w:rPr>
      </w:pPr>
      <w:r>
        <w:rPr>
          <w:color w:val="auto"/>
          <w:sz w:val="24"/>
          <w:highlight w:val="none"/>
        </w:rPr>
        <w:t>C</w:t>
      </w:r>
      <w:r>
        <w:rPr>
          <w:color w:val="auto"/>
          <w:sz w:val="24"/>
          <w:highlight w:val="none"/>
          <w:vertAlign w:val="subscript"/>
        </w:rPr>
        <w:t>0</w:t>
      </w:r>
      <w:r>
        <w:rPr>
          <w:color w:val="auto"/>
          <w:kern w:val="0"/>
          <w:sz w:val="24"/>
          <w:szCs w:val="20"/>
          <w:highlight w:val="none"/>
        </w:rPr>
        <w:t>——</w:t>
      </w:r>
      <w:r>
        <w:rPr>
          <w:color w:val="auto"/>
          <w:sz w:val="24"/>
          <w:highlight w:val="none"/>
        </w:rPr>
        <w:t>河流排放口初始断面混合浓度，mg/L；</w:t>
      </w:r>
    </w:p>
    <w:p>
      <w:pPr>
        <w:pageBreakBefore w:val="0"/>
        <w:kinsoku/>
        <w:wordWrap/>
        <w:topLinePunct w:val="0"/>
        <w:autoSpaceDE w:val="0"/>
        <w:autoSpaceDN w:val="0"/>
        <w:bidi w:val="0"/>
        <w:spacing w:line="360" w:lineRule="auto"/>
        <w:ind w:left="0" w:leftChars="0" w:right="0" w:rightChars="0" w:firstLine="1200" w:firstLineChars="500"/>
        <w:rPr>
          <w:color w:val="auto"/>
          <w:sz w:val="24"/>
          <w:highlight w:val="none"/>
        </w:rPr>
      </w:pPr>
      <w:r>
        <w:rPr>
          <w:color w:val="auto"/>
          <w:sz w:val="24"/>
          <w:highlight w:val="none"/>
        </w:rPr>
        <w:t>x</w:t>
      </w:r>
      <w:r>
        <w:rPr>
          <w:color w:val="auto"/>
          <w:kern w:val="0"/>
          <w:sz w:val="24"/>
          <w:szCs w:val="20"/>
          <w:highlight w:val="none"/>
        </w:rPr>
        <w:t>——</w:t>
      </w:r>
      <w:r>
        <w:rPr>
          <w:color w:val="auto"/>
          <w:sz w:val="24"/>
          <w:highlight w:val="none"/>
        </w:rPr>
        <w:t>河流沿程坐标，m，x=0指排放口处，x＞0指排放口下游段，x＜0指排放口上游段；</w:t>
      </w:r>
    </w:p>
    <w:p>
      <w:pPr>
        <w:pageBreakBefore w:val="0"/>
        <w:kinsoku/>
        <w:wordWrap/>
        <w:topLinePunct w:val="0"/>
        <w:autoSpaceDE w:val="0"/>
        <w:autoSpaceDN w:val="0"/>
        <w:bidi w:val="0"/>
        <w:spacing w:line="360" w:lineRule="auto"/>
        <w:ind w:left="0" w:leftChars="0" w:right="0" w:rightChars="0" w:firstLine="1200" w:firstLineChars="500"/>
        <w:rPr>
          <w:color w:val="auto"/>
          <w:sz w:val="24"/>
          <w:highlight w:val="none"/>
        </w:rPr>
      </w:pPr>
      <w:r>
        <w:rPr>
          <w:color w:val="auto"/>
          <w:sz w:val="24"/>
          <w:highlight w:val="none"/>
        </w:rPr>
        <w:t>k</w:t>
      </w:r>
      <w:r>
        <w:rPr>
          <w:color w:val="auto"/>
          <w:kern w:val="0"/>
          <w:sz w:val="24"/>
          <w:szCs w:val="20"/>
          <w:highlight w:val="none"/>
        </w:rPr>
        <w:t>——</w:t>
      </w:r>
      <w:r>
        <w:rPr>
          <w:color w:val="auto"/>
          <w:sz w:val="24"/>
          <w:highlight w:val="none"/>
        </w:rPr>
        <w:t>污染物综合衰减系数，1/s；</w:t>
      </w:r>
    </w:p>
    <w:p>
      <w:pPr>
        <w:pageBreakBefore w:val="0"/>
        <w:kinsoku/>
        <w:wordWrap/>
        <w:topLinePunct w:val="0"/>
        <w:autoSpaceDE w:val="0"/>
        <w:autoSpaceDN w:val="0"/>
        <w:bidi w:val="0"/>
        <w:spacing w:line="360" w:lineRule="auto"/>
        <w:ind w:left="0" w:leftChars="0" w:right="0" w:rightChars="0" w:firstLine="1200" w:firstLineChars="500"/>
        <w:rPr>
          <w:color w:val="auto"/>
          <w:sz w:val="24"/>
          <w:highlight w:val="none"/>
        </w:rPr>
      </w:pPr>
      <w:r>
        <w:rPr>
          <w:color w:val="auto"/>
          <w:sz w:val="24"/>
          <w:highlight w:val="none"/>
        </w:rPr>
        <w:t>u</w:t>
      </w:r>
      <w:r>
        <w:rPr>
          <w:color w:val="auto"/>
          <w:kern w:val="0"/>
          <w:sz w:val="24"/>
          <w:szCs w:val="20"/>
          <w:highlight w:val="none"/>
        </w:rPr>
        <w:t>——</w:t>
      </w:r>
      <w:r>
        <w:rPr>
          <w:color w:val="auto"/>
          <w:sz w:val="24"/>
          <w:highlight w:val="none"/>
        </w:rPr>
        <w:t>断面流速，m/s；</w:t>
      </w:r>
    </w:p>
    <w:p>
      <w:pPr>
        <w:pageBreakBefore w:val="0"/>
        <w:kinsoku/>
        <w:wordWrap/>
        <w:topLinePunct w:val="0"/>
        <w:autoSpaceDE w:val="0"/>
        <w:autoSpaceDN w:val="0"/>
        <w:bidi w:val="0"/>
        <w:spacing w:line="360" w:lineRule="auto"/>
        <w:ind w:left="0" w:leftChars="0" w:right="0" w:rightChars="0" w:firstLine="1200" w:firstLineChars="500"/>
        <w:rPr>
          <w:color w:val="auto"/>
          <w:sz w:val="24"/>
          <w:highlight w:val="none"/>
        </w:rPr>
      </w:pPr>
      <w:r>
        <w:rPr>
          <w:color w:val="auto"/>
          <w:sz w:val="24"/>
          <w:highlight w:val="none"/>
        </w:rPr>
        <w:t>B</w:t>
      </w:r>
      <w:r>
        <w:rPr>
          <w:color w:val="auto"/>
          <w:kern w:val="0"/>
          <w:sz w:val="24"/>
          <w:szCs w:val="20"/>
          <w:highlight w:val="none"/>
        </w:rPr>
        <w:t>——</w:t>
      </w:r>
      <w:r>
        <w:rPr>
          <w:color w:val="auto"/>
          <w:sz w:val="24"/>
          <w:highlight w:val="none"/>
        </w:rPr>
        <w:t>水面宽度，m；</w:t>
      </w:r>
    </w:p>
    <w:p>
      <w:pPr>
        <w:pageBreakBefore w:val="0"/>
        <w:tabs>
          <w:tab w:val="center" w:pos="4153"/>
          <w:tab w:val="right" w:pos="8306"/>
        </w:tabs>
        <w:kinsoku/>
        <w:wordWrap/>
        <w:topLinePunct w:val="0"/>
        <w:bidi w:val="0"/>
        <w:spacing w:line="360" w:lineRule="auto"/>
        <w:ind w:left="0" w:leftChars="0" w:right="0" w:rightChars="0" w:firstLine="1200" w:firstLineChars="500"/>
        <w:rPr>
          <w:color w:val="auto"/>
          <w:sz w:val="24"/>
          <w:highlight w:val="none"/>
        </w:rPr>
      </w:pPr>
      <w:r>
        <w:rPr>
          <w:color w:val="auto"/>
          <w:sz w:val="24"/>
          <w:highlight w:val="none"/>
        </w:rPr>
        <w:t>E</w:t>
      </w:r>
      <w:r>
        <w:rPr>
          <w:color w:val="auto"/>
          <w:sz w:val="24"/>
          <w:highlight w:val="none"/>
          <w:vertAlign w:val="subscript"/>
        </w:rPr>
        <w:t>x</w:t>
      </w:r>
      <w:r>
        <w:rPr>
          <w:color w:val="auto"/>
          <w:kern w:val="0"/>
          <w:sz w:val="24"/>
          <w:szCs w:val="20"/>
          <w:highlight w:val="none"/>
        </w:rPr>
        <w:t>——</w:t>
      </w:r>
      <w:r>
        <w:rPr>
          <w:color w:val="auto"/>
          <w:sz w:val="24"/>
          <w:highlight w:val="none"/>
        </w:rPr>
        <w:t>污染物纵向扩散系数，m</w:t>
      </w:r>
      <w:r>
        <w:rPr>
          <w:color w:val="auto"/>
          <w:sz w:val="24"/>
          <w:highlight w:val="none"/>
          <w:vertAlign w:val="superscript"/>
        </w:rPr>
        <w:t>2</w:t>
      </w:r>
      <w:r>
        <w:rPr>
          <w:color w:val="auto"/>
          <w:sz w:val="24"/>
          <w:highlight w:val="none"/>
        </w:rPr>
        <w:t>/s；</w:t>
      </w:r>
    </w:p>
    <w:p>
      <w:pPr>
        <w:pStyle w:val="34"/>
        <w:pageBreakBefore w:val="0"/>
        <w:kinsoku/>
        <w:wordWrap/>
        <w:topLinePunct w:val="0"/>
        <w:bidi w:val="0"/>
        <w:spacing w:line="360" w:lineRule="auto"/>
        <w:ind w:left="0" w:leftChars="0" w:right="0" w:rightChars="0" w:firstLine="482" w:firstLineChars="200"/>
        <w:jc w:val="both"/>
        <w:outlineLvl w:val="9"/>
        <w:rPr>
          <w:rFonts w:hint="default" w:cs="Times New Roman"/>
          <w:b/>
          <w:bCs/>
          <w:color w:val="auto"/>
          <w:kern w:val="2"/>
          <w:sz w:val="24"/>
          <w:szCs w:val="24"/>
          <w:highlight w:val="none"/>
          <w:lang w:val="en-US" w:eastAsia="zh-CN" w:bidi="ar"/>
        </w:rPr>
      </w:pPr>
      <w:r>
        <w:rPr>
          <w:rFonts w:hint="eastAsia" w:cs="Times New Roman"/>
          <w:b/>
          <w:bCs/>
          <w:color w:val="auto"/>
          <w:kern w:val="2"/>
          <w:sz w:val="24"/>
          <w:szCs w:val="24"/>
          <w:highlight w:val="none"/>
          <w:lang w:val="en-US" w:eastAsia="zh-CN" w:bidi="ar"/>
        </w:rPr>
        <w:t>（2）水文参数</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本次评价引用南坝水文站径流计算成果，详见下表。</w:t>
      </w:r>
    </w:p>
    <w:p>
      <w:pPr>
        <w:pStyle w:val="22"/>
        <w:pageBreakBefore w:val="0"/>
        <w:kinsoku/>
        <w:wordWrap/>
        <w:topLinePunct w:val="0"/>
        <w:bidi w:val="0"/>
        <w:spacing w:after="0" w:line="360" w:lineRule="auto"/>
        <w:ind w:left="0" w:leftChars="0" w:right="0" w:rightChars="0"/>
        <w:jc w:val="center"/>
        <w:rPr>
          <w:color w:val="auto"/>
          <w:sz w:val="24"/>
          <w:szCs w:val="36"/>
          <w:highlight w:val="none"/>
        </w:rPr>
      </w:pPr>
      <w:r>
        <w:rPr>
          <w:rFonts w:eastAsia="黑体"/>
          <w:color w:val="auto"/>
          <w:sz w:val="21"/>
          <w:highlight w:val="none"/>
        </w:rPr>
        <w:t>表</w:t>
      </w:r>
      <w:r>
        <w:rPr>
          <w:rFonts w:hint="eastAsia" w:eastAsia="黑体"/>
          <w:color w:val="auto"/>
          <w:sz w:val="21"/>
          <w:highlight w:val="none"/>
          <w:lang w:val="en-US" w:eastAsia="zh-CN"/>
        </w:rPr>
        <w:t>5-2</w:t>
      </w:r>
      <w:r>
        <w:rPr>
          <w:rFonts w:hint="eastAsia" w:eastAsia="黑体"/>
          <w:color w:val="auto"/>
          <w:sz w:val="21"/>
          <w:highlight w:val="none"/>
        </w:rPr>
        <w:t xml:space="preserve"> </w:t>
      </w:r>
      <w:r>
        <w:rPr>
          <w:rFonts w:eastAsia="黑体"/>
          <w:color w:val="auto"/>
          <w:sz w:val="21"/>
          <w:highlight w:val="none"/>
        </w:rPr>
        <w:t>南坝水文站径流计算成果表</w:t>
      </w:r>
    </w:p>
    <w:tbl>
      <w:tblPr>
        <w:tblStyle w:val="23"/>
        <w:tblW w:w="9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0"/>
        <w:gridCol w:w="1288"/>
        <w:gridCol w:w="1049"/>
        <w:gridCol w:w="1080"/>
        <w:gridCol w:w="1084"/>
        <w:gridCol w:w="1084"/>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2" w:type="pct"/>
            <w:vMerge w:val="restar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集水面积（km</w:t>
            </w:r>
            <w:r>
              <w:rPr>
                <w:b/>
                <w:bCs/>
                <w:color w:val="auto"/>
                <w:highlight w:val="none"/>
                <w:vertAlign w:val="superscript"/>
              </w:rPr>
              <w:t>2</w:t>
            </w:r>
            <w:r>
              <w:rPr>
                <w:b/>
                <w:bCs/>
                <w:color w:val="auto"/>
                <w:highlight w:val="none"/>
              </w:rPr>
              <w:t>）</w:t>
            </w:r>
          </w:p>
        </w:tc>
        <w:tc>
          <w:tcPr>
            <w:tcW w:w="669" w:type="pct"/>
            <w:vMerge w:val="restar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均值（m</w:t>
            </w:r>
            <w:r>
              <w:rPr>
                <w:b/>
                <w:bCs/>
                <w:color w:val="auto"/>
                <w:highlight w:val="none"/>
                <w:vertAlign w:val="superscript"/>
              </w:rPr>
              <w:t>3</w:t>
            </w:r>
            <w:r>
              <w:rPr>
                <w:b/>
                <w:bCs/>
                <w:color w:val="auto"/>
                <w:highlight w:val="none"/>
              </w:rPr>
              <w:t>/s）</w:t>
            </w:r>
          </w:p>
        </w:tc>
        <w:tc>
          <w:tcPr>
            <w:tcW w:w="545" w:type="pct"/>
            <w:vMerge w:val="restar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Cv</w:t>
            </w:r>
          </w:p>
        </w:tc>
        <w:tc>
          <w:tcPr>
            <w:tcW w:w="561" w:type="pct"/>
            <w:vMerge w:val="restar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Cs/Cv</w:t>
            </w:r>
          </w:p>
        </w:tc>
        <w:tc>
          <w:tcPr>
            <w:tcW w:w="1690" w:type="pct"/>
            <w:gridSpan w:val="3"/>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资料年限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2"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c>
          <w:tcPr>
            <w:tcW w:w="669"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c>
          <w:tcPr>
            <w:tcW w:w="545"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c>
          <w:tcPr>
            <w:tcW w:w="561" w:type="pct"/>
            <w:vMerge w:val="continue"/>
            <w:shd w:val="clear" w:color="auto" w:fill="auto"/>
            <w:vAlign w:val="center"/>
          </w:tcPr>
          <w:p>
            <w:pPr>
              <w:pageBreakBefore w:val="0"/>
              <w:kinsoku/>
              <w:wordWrap/>
              <w:topLinePunct w:val="0"/>
              <w:bidi w:val="0"/>
              <w:ind w:left="0" w:leftChars="0" w:right="0" w:rightChars="0"/>
              <w:jc w:val="center"/>
              <w:rPr>
                <w:b/>
                <w:bCs/>
                <w:color w:val="auto"/>
                <w:highlight w:val="none"/>
              </w:rPr>
            </w:pPr>
          </w:p>
        </w:tc>
        <w:tc>
          <w:tcPr>
            <w:tcW w:w="563"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P=3%</w:t>
            </w:r>
          </w:p>
        </w:tc>
        <w:tc>
          <w:tcPr>
            <w:tcW w:w="563"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P=50%</w:t>
            </w:r>
          </w:p>
        </w:tc>
        <w:tc>
          <w:tcPr>
            <w:tcW w:w="564"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P=90%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年平均流量（5月～翌年4月）</w:t>
            </w:r>
          </w:p>
        </w:tc>
        <w:tc>
          <w:tcPr>
            <w:tcW w:w="669" w:type="pct"/>
            <w:vAlign w:val="center"/>
          </w:tcPr>
          <w:p>
            <w:pPr>
              <w:pageBreakBefore w:val="0"/>
              <w:kinsoku/>
              <w:wordWrap/>
              <w:topLinePunct w:val="0"/>
              <w:bidi w:val="0"/>
              <w:ind w:left="0" w:leftChars="0" w:right="0" w:rightChars="0"/>
              <w:jc w:val="center"/>
              <w:rPr>
                <w:color w:val="auto"/>
                <w:highlight w:val="none"/>
              </w:rPr>
            </w:pPr>
            <w:r>
              <w:rPr>
                <w:color w:val="auto"/>
                <w:highlight w:val="none"/>
              </w:rPr>
              <w:t>57.96</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0.17</w:t>
            </w:r>
          </w:p>
        </w:tc>
        <w:tc>
          <w:tcPr>
            <w:tcW w:w="56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56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84.7</w:t>
            </w:r>
          </w:p>
        </w:tc>
        <w:tc>
          <w:tcPr>
            <w:tcW w:w="56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57.4</w:t>
            </w:r>
          </w:p>
        </w:tc>
        <w:tc>
          <w:tcPr>
            <w:tcW w:w="564" w:type="pct"/>
            <w:vAlign w:val="center"/>
          </w:tcPr>
          <w:p>
            <w:pPr>
              <w:pageBreakBefore w:val="0"/>
              <w:kinsoku/>
              <w:wordWrap/>
              <w:topLinePunct w:val="0"/>
              <w:bidi w:val="0"/>
              <w:ind w:left="0" w:leftChars="0" w:right="0" w:rightChars="0"/>
              <w:jc w:val="center"/>
              <w:rPr>
                <w:color w:val="auto"/>
                <w:highlight w:val="none"/>
              </w:rPr>
            </w:pPr>
            <w:r>
              <w:rPr>
                <w:color w:val="auto"/>
                <w:highlight w:val="none"/>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多年最枯月平均流量</w:t>
            </w:r>
          </w:p>
        </w:tc>
        <w:tc>
          <w:tcPr>
            <w:tcW w:w="669"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11.35</w:t>
            </w:r>
          </w:p>
        </w:tc>
        <w:tc>
          <w:tcPr>
            <w:tcW w:w="545"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0.29</w:t>
            </w:r>
          </w:p>
        </w:tc>
        <w:tc>
          <w:tcPr>
            <w:tcW w:w="561"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2</w:t>
            </w:r>
          </w:p>
        </w:tc>
        <w:tc>
          <w:tcPr>
            <w:tcW w:w="56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15.7</w:t>
            </w:r>
          </w:p>
        </w:tc>
        <w:tc>
          <w:tcPr>
            <w:tcW w:w="563"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11</w:t>
            </w:r>
          </w:p>
        </w:tc>
        <w:tc>
          <w:tcPr>
            <w:tcW w:w="564"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6.51</w:t>
            </w:r>
          </w:p>
        </w:tc>
      </w:tr>
    </w:tbl>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由于论证范围内河道宽度约40～60m，水深较浅，宽深比＞20，按要求可简化成矩形河段，本次水文计算参数均按照矩形河段提取，水文断面参数见下表。</w:t>
      </w:r>
    </w:p>
    <w:p>
      <w:pPr>
        <w:pStyle w:val="22"/>
        <w:pageBreakBefore w:val="0"/>
        <w:kinsoku/>
        <w:wordWrap/>
        <w:topLinePunct w:val="0"/>
        <w:bidi w:val="0"/>
        <w:spacing w:after="0" w:line="360" w:lineRule="auto"/>
        <w:ind w:left="0" w:leftChars="0" w:right="0" w:rightChars="0"/>
        <w:jc w:val="center"/>
        <w:rPr>
          <w:color w:val="auto"/>
          <w:sz w:val="24"/>
          <w:szCs w:val="36"/>
          <w:highlight w:val="none"/>
        </w:rPr>
      </w:pPr>
      <w:r>
        <w:rPr>
          <w:rFonts w:eastAsia="黑体"/>
          <w:color w:val="auto"/>
          <w:sz w:val="21"/>
          <w:highlight w:val="none"/>
        </w:rPr>
        <w:t>表</w:t>
      </w:r>
      <w:r>
        <w:rPr>
          <w:rFonts w:hint="eastAsia" w:eastAsia="黑体"/>
          <w:color w:val="auto"/>
          <w:sz w:val="21"/>
          <w:highlight w:val="none"/>
          <w:lang w:val="en-US" w:eastAsia="zh-CN"/>
        </w:rPr>
        <w:t>5-3</w:t>
      </w:r>
      <w:r>
        <w:rPr>
          <w:rFonts w:hint="eastAsia" w:eastAsia="黑体"/>
          <w:color w:val="auto"/>
          <w:sz w:val="21"/>
          <w:highlight w:val="none"/>
        </w:rPr>
        <w:t xml:space="preserve"> </w:t>
      </w:r>
      <w:r>
        <w:rPr>
          <w:rFonts w:eastAsia="黑体"/>
          <w:color w:val="auto"/>
          <w:sz w:val="21"/>
          <w:highlight w:val="none"/>
        </w:rPr>
        <w:t>水文断面参数</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5"/>
        <w:gridCol w:w="1459"/>
        <w:gridCol w:w="1382"/>
        <w:gridCol w:w="1488"/>
        <w:gridCol w:w="156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水文工况</w:t>
            </w:r>
          </w:p>
        </w:tc>
        <w:tc>
          <w:tcPr>
            <w:tcW w:w="741"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流量（m</w:t>
            </w:r>
            <w:r>
              <w:rPr>
                <w:b/>
                <w:bCs/>
                <w:color w:val="auto"/>
                <w:highlight w:val="none"/>
                <w:vertAlign w:val="superscript"/>
              </w:rPr>
              <w:t>3</w:t>
            </w:r>
            <w:r>
              <w:rPr>
                <w:b/>
                <w:bCs/>
                <w:color w:val="auto"/>
                <w:highlight w:val="none"/>
              </w:rPr>
              <w:t>/s）</w:t>
            </w:r>
          </w:p>
        </w:tc>
        <w:tc>
          <w:tcPr>
            <w:tcW w:w="702"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流速（m/s）</w:t>
            </w:r>
          </w:p>
        </w:tc>
        <w:tc>
          <w:tcPr>
            <w:tcW w:w="756"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平均水深（m）</w:t>
            </w:r>
          </w:p>
        </w:tc>
        <w:tc>
          <w:tcPr>
            <w:tcW w:w="795"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水面宽度（m）</w:t>
            </w:r>
          </w:p>
        </w:tc>
        <w:tc>
          <w:tcPr>
            <w:tcW w:w="808"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河道比降（‰）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pct"/>
            <w:vAlign w:val="center"/>
          </w:tcPr>
          <w:p>
            <w:pPr>
              <w:pageBreakBefore w:val="0"/>
              <w:kinsoku/>
              <w:wordWrap/>
              <w:topLinePunct w:val="0"/>
              <w:bidi w:val="0"/>
              <w:ind w:left="0" w:leftChars="0" w:right="0" w:rightChars="0"/>
              <w:jc w:val="center"/>
              <w:rPr>
                <w:color w:val="auto"/>
                <w:highlight w:val="none"/>
              </w:rPr>
            </w:pPr>
            <w:r>
              <w:rPr>
                <w:color w:val="auto"/>
                <w:highlight w:val="none"/>
              </w:rPr>
              <w:t>多年最枯月平均流量（P=90%）</w:t>
            </w:r>
          </w:p>
        </w:tc>
        <w:tc>
          <w:tcPr>
            <w:tcW w:w="741" w:type="pct"/>
            <w:vAlign w:val="center"/>
          </w:tcPr>
          <w:p>
            <w:pPr>
              <w:pageBreakBefore w:val="0"/>
              <w:kinsoku/>
              <w:wordWrap/>
              <w:topLinePunct w:val="0"/>
              <w:bidi w:val="0"/>
              <w:ind w:left="0" w:leftChars="0" w:right="0" w:rightChars="0"/>
              <w:jc w:val="center"/>
              <w:rPr>
                <w:color w:val="auto"/>
                <w:highlight w:val="none"/>
              </w:rPr>
            </w:pPr>
            <w:r>
              <w:rPr>
                <w:color w:val="auto"/>
                <w:highlight w:val="none"/>
              </w:rPr>
              <w:t>6.51</w:t>
            </w:r>
          </w:p>
        </w:tc>
        <w:tc>
          <w:tcPr>
            <w:tcW w:w="702" w:type="pct"/>
            <w:vAlign w:val="center"/>
          </w:tcPr>
          <w:p>
            <w:pPr>
              <w:pageBreakBefore w:val="0"/>
              <w:kinsoku/>
              <w:wordWrap/>
              <w:topLinePunct w:val="0"/>
              <w:bidi w:val="0"/>
              <w:ind w:left="0" w:leftChars="0" w:right="0" w:rightChars="0"/>
              <w:jc w:val="center"/>
              <w:rPr>
                <w:color w:val="auto"/>
                <w:highlight w:val="none"/>
              </w:rPr>
            </w:pPr>
            <w:r>
              <w:rPr>
                <w:color w:val="auto"/>
                <w:highlight w:val="none"/>
              </w:rPr>
              <w:t>0.15</w:t>
            </w:r>
          </w:p>
        </w:tc>
        <w:tc>
          <w:tcPr>
            <w:tcW w:w="756"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0.90</w:t>
            </w:r>
          </w:p>
        </w:tc>
        <w:tc>
          <w:tcPr>
            <w:tcW w:w="795"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48</w:t>
            </w:r>
          </w:p>
        </w:tc>
        <w:tc>
          <w:tcPr>
            <w:tcW w:w="808" w:type="pct"/>
            <w:vAlign w:val="center"/>
          </w:tcPr>
          <w:p>
            <w:pPr>
              <w:pageBreakBefore w:val="0"/>
              <w:kinsoku/>
              <w:wordWrap/>
              <w:topLinePunct w:val="0"/>
              <w:bidi w:val="0"/>
              <w:ind w:left="0" w:leftChars="0" w:right="0" w:rightChars="0"/>
              <w:jc w:val="center"/>
              <w:rPr>
                <w:color w:val="auto"/>
                <w:highlight w:val="none"/>
                <w:lang w:bidi="ar"/>
              </w:rPr>
            </w:pPr>
            <w:r>
              <w:rPr>
                <w:color w:val="auto"/>
                <w:highlight w:val="none"/>
                <w:lang w:bidi="ar"/>
              </w:rPr>
              <w:t>0.84</w:t>
            </w:r>
          </w:p>
        </w:tc>
      </w:tr>
    </w:tbl>
    <w:p>
      <w:pPr>
        <w:pStyle w:val="22"/>
        <w:pageBreakBefore w:val="0"/>
        <w:kinsoku/>
        <w:wordWrap/>
        <w:topLinePunct w:val="0"/>
        <w:bidi w:val="0"/>
        <w:spacing w:after="0" w:line="360" w:lineRule="auto"/>
        <w:ind w:left="0" w:leftChars="0" w:right="0" w:rightChars="0" w:firstLine="482" w:firstLineChars="200"/>
        <w:rPr>
          <w:color w:val="auto"/>
          <w:sz w:val="24"/>
          <w:szCs w:val="36"/>
          <w:highlight w:val="none"/>
        </w:rPr>
      </w:pPr>
      <w:r>
        <w:rPr>
          <w:b/>
          <w:bCs/>
          <w:color w:val="auto"/>
          <w:sz w:val="24"/>
          <w:szCs w:val="36"/>
          <w:highlight w:val="none"/>
        </w:rPr>
        <w:t>降解系数：</w:t>
      </w:r>
      <w:r>
        <w:rPr>
          <w:color w:val="auto"/>
          <w:sz w:val="24"/>
          <w:szCs w:val="36"/>
          <w:highlight w:val="none"/>
        </w:rPr>
        <w:t>本次评级衰减系数：K</w:t>
      </w:r>
      <w:r>
        <w:rPr>
          <w:color w:val="auto"/>
          <w:sz w:val="24"/>
          <w:szCs w:val="36"/>
          <w:highlight w:val="none"/>
          <w:vertAlign w:val="subscript"/>
        </w:rPr>
        <w:t>COD</w:t>
      </w:r>
      <w:r>
        <w:rPr>
          <w:color w:val="auto"/>
          <w:sz w:val="24"/>
          <w:szCs w:val="36"/>
          <w:highlight w:val="none"/>
        </w:rPr>
        <w:t>=0.2（1/d），K</w:t>
      </w:r>
      <w:r>
        <w:rPr>
          <w:color w:val="auto"/>
          <w:sz w:val="24"/>
          <w:szCs w:val="36"/>
          <w:highlight w:val="none"/>
          <w:vertAlign w:val="subscript"/>
        </w:rPr>
        <w:t>NH3-N</w:t>
      </w:r>
      <w:r>
        <w:rPr>
          <w:color w:val="auto"/>
          <w:sz w:val="24"/>
          <w:szCs w:val="36"/>
          <w:highlight w:val="none"/>
        </w:rPr>
        <w:t>=0.25（1/d）；K</w:t>
      </w:r>
      <w:r>
        <w:rPr>
          <w:color w:val="auto"/>
          <w:sz w:val="24"/>
          <w:szCs w:val="36"/>
          <w:highlight w:val="none"/>
          <w:vertAlign w:val="subscript"/>
        </w:rPr>
        <w:t>TP</w:t>
      </w:r>
      <w:r>
        <w:rPr>
          <w:color w:val="auto"/>
          <w:sz w:val="24"/>
          <w:szCs w:val="36"/>
          <w:highlight w:val="none"/>
        </w:rPr>
        <w:t>=0.1（1/d）。</w:t>
      </w:r>
    </w:p>
    <w:p>
      <w:pPr>
        <w:pStyle w:val="34"/>
        <w:pageBreakBefore w:val="0"/>
        <w:kinsoku/>
        <w:wordWrap/>
        <w:topLinePunct w:val="0"/>
        <w:bidi w:val="0"/>
        <w:spacing w:line="360" w:lineRule="auto"/>
        <w:ind w:left="0" w:leftChars="0" w:right="0" w:rightChars="0" w:firstLine="482" w:firstLineChars="200"/>
        <w:jc w:val="both"/>
        <w:outlineLvl w:val="9"/>
        <w:rPr>
          <w:rFonts w:hint="eastAsia" w:cs="Times New Roman"/>
          <w:b w:val="0"/>
          <w:color w:val="auto"/>
          <w:kern w:val="2"/>
          <w:sz w:val="24"/>
          <w:szCs w:val="24"/>
          <w:highlight w:val="none"/>
          <w:lang w:val="en-US" w:eastAsia="zh-CN" w:bidi="ar"/>
        </w:rPr>
      </w:pPr>
      <w:r>
        <w:rPr>
          <w:rFonts w:hint="eastAsia" w:cs="Times New Roman"/>
          <w:b/>
          <w:bCs/>
          <w:color w:val="auto"/>
          <w:kern w:val="2"/>
          <w:sz w:val="24"/>
          <w:szCs w:val="24"/>
          <w:highlight w:val="none"/>
          <w:lang w:val="en-US" w:eastAsia="zh-CN" w:bidi="ar"/>
        </w:rPr>
        <w:t>（3）</w:t>
      </w:r>
      <w:r>
        <w:rPr>
          <w:b/>
          <w:bCs/>
          <w:color w:val="auto"/>
          <w:sz w:val="24"/>
          <w:szCs w:val="36"/>
          <w:highlight w:val="none"/>
        </w:rPr>
        <w:t>预测参数</w:t>
      </w:r>
    </w:p>
    <w:p>
      <w:pPr>
        <w:pStyle w:val="21"/>
        <w:pageBreakBefore w:val="0"/>
        <w:kinsoku/>
        <w:wordWrap/>
        <w:topLinePunct w:val="0"/>
        <w:bidi w:val="0"/>
        <w:spacing w:after="0" w:line="360" w:lineRule="auto"/>
        <w:ind w:left="0" w:leftChars="0" w:right="0" w:rightChars="0" w:firstLine="482" w:firstLineChars="200"/>
        <w:rPr>
          <w:b/>
          <w:bCs/>
          <w:color w:val="auto"/>
          <w:sz w:val="24"/>
          <w:highlight w:val="none"/>
        </w:rPr>
      </w:pPr>
      <w:r>
        <w:rPr>
          <w:rFonts w:hint="eastAsia" w:cs="Times New Roman"/>
          <w:b/>
          <w:bCs/>
          <w:color w:val="auto"/>
          <w:kern w:val="2"/>
          <w:sz w:val="24"/>
          <w:szCs w:val="24"/>
          <w:highlight w:val="none"/>
          <w:lang w:val="en-US" w:eastAsia="zh-CN" w:bidi="ar"/>
        </w:rPr>
        <w:t>①</w:t>
      </w:r>
      <w:r>
        <w:rPr>
          <w:b/>
          <w:bCs/>
          <w:color w:val="auto"/>
          <w:sz w:val="24"/>
          <w:highlight w:val="none"/>
        </w:rPr>
        <w:t>河流来水污染物浓度设定</w:t>
      </w:r>
    </w:p>
    <w:p>
      <w:pPr>
        <w:pStyle w:val="35"/>
        <w:pageBreakBefore w:val="0"/>
        <w:kinsoku/>
        <w:wordWrap/>
        <w:topLinePunct w:val="0"/>
        <w:bidi w:val="0"/>
        <w:spacing w:line="360" w:lineRule="auto"/>
        <w:ind w:left="0" w:leftChars="0" w:right="0" w:rightChars="0" w:firstLine="480" w:firstLineChars="200"/>
        <w:rPr>
          <w:rFonts w:hint="default" w:ascii="Times New Roman" w:hAnsi="Times New Roman"/>
          <w:color w:val="auto"/>
          <w:highlight w:val="none"/>
        </w:rPr>
      </w:pPr>
      <w:r>
        <w:rPr>
          <w:rFonts w:hint="default" w:ascii="Times New Roman" w:hAnsi="Times New Roman"/>
          <w:color w:val="auto"/>
          <w:szCs w:val="36"/>
          <w:highlight w:val="none"/>
        </w:rPr>
        <w:t>考虑</w:t>
      </w:r>
      <w:r>
        <w:rPr>
          <w:rFonts w:hint="default" w:ascii="Times New Roman" w:hAnsi="Times New Roman"/>
          <w:color w:val="auto"/>
          <w:highlight w:val="none"/>
        </w:rPr>
        <w:t>到沿途现状污染源对前河的叠加影响，因此本次评价选取达州恒福环境监测服务有限公司于2023年6月24日～26日对区域地表水进行补充监测</w:t>
      </w:r>
      <w:r>
        <w:rPr>
          <w:rFonts w:hint="default" w:ascii="Times New Roman" w:hAnsi="Times New Roman"/>
          <w:color w:val="auto"/>
          <w:kern w:val="2"/>
          <w:highlight w:val="none"/>
          <w:lang w:bidi="ar"/>
        </w:rPr>
        <w:t>恒福（环）检字（2023）第0603号</w:t>
      </w:r>
      <w:r>
        <w:rPr>
          <w:rFonts w:hint="default" w:ascii="Times New Roman" w:hAnsi="Times New Roman"/>
          <w:color w:val="auto"/>
          <w:highlight w:val="none"/>
        </w:rPr>
        <w:t>实测数据的最差值作为背景值，具体见下表：</w:t>
      </w:r>
    </w:p>
    <w:p>
      <w:pPr>
        <w:pStyle w:val="35"/>
        <w:pageBreakBefore w:val="0"/>
        <w:kinsoku/>
        <w:wordWrap/>
        <w:topLinePunct w:val="0"/>
        <w:bidi w:val="0"/>
        <w:spacing w:line="360" w:lineRule="auto"/>
        <w:ind w:left="0" w:leftChars="0" w:right="0" w:rightChars="0"/>
        <w:jc w:val="center"/>
        <w:rPr>
          <w:rFonts w:hint="default" w:ascii="Times New Roman" w:hAnsi="Times New Roman" w:eastAsia="黑体"/>
          <w:color w:val="auto"/>
          <w:kern w:val="2"/>
          <w:sz w:val="21"/>
          <w:szCs w:val="21"/>
          <w:highlight w:val="none"/>
        </w:rPr>
      </w:pPr>
      <w:r>
        <w:rPr>
          <w:rFonts w:hint="default" w:ascii="Times New Roman" w:hAnsi="Times New Roman" w:eastAsia="黑体" w:cs="Times New Roman"/>
          <w:color w:val="auto"/>
          <w:sz w:val="21"/>
          <w:highlight w:val="none"/>
        </w:rPr>
        <w:t>表</w:t>
      </w:r>
      <w:r>
        <w:rPr>
          <w:rFonts w:hint="default" w:ascii="Times New Roman" w:hAnsi="Times New Roman" w:eastAsia="黑体" w:cs="Times New Roman"/>
          <w:color w:val="auto"/>
          <w:sz w:val="21"/>
          <w:highlight w:val="none"/>
          <w:lang w:val="en-US" w:eastAsia="zh-CN"/>
        </w:rPr>
        <w:t>5-4</w:t>
      </w:r>
      <w:r>
        <w:rPr>
          <w:rFonts w:ascii="Times New Roman" w:hAnsi="Times New Roman" w:eastAsia="黑体"/>
          <w:color w:val="auto"/>
          <w:kern w:val="2"/>
          <w:sz w:val="21"/>
          <w:szCs w:val="21"/>
          <w:highlight w:val="none"/>
        </w:rPr>
        <w:t xml:space="preserve"> </w:t>
      </w:r>
      <w:r>
        <w:rPr>
          <w:rFonts w:hint="default" w:ascii="Times New Roman" w:hAnsi="Times New Roman" w:eastAsia="黑体"/>
          <w:color w:val="auto"/>
          <w:kern w:val="2"/>
          <w:sz w:val="21"/>
          <w:szCs w:val="21"/>
          <w:highlight w:val="none"/>
        </w:rPr>
        <w:t>预测背景值选取</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2498"/>
        <w:gridCol w:w="2498"/>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pct"/>
            <w:vAlign w:val="center"/>
          </w:tcPr>
          <w:p>
            <w:pPr>
              <w:pStyle w:val="65"/>
              <w:pageBreakBefore w:val="0"/>
              <w:kinsoku/>
              <w:wordWrap/>
              <w:topLinePunct w:val="0"/>
              <w:bidi w:val="0"/>
              <w:spacing w:line="240" w:lineRule="atLeast"/>
              <w:ind w:left="0" w:leftChars="0" w:right="0" w:rightChars="0"/>
              <w:rPr>
                <w:rFonts w:cs="Times New Roman"/>
                <w:b/>
                <w:bCs/>
                <w:color w:val="auto"/>
                <w:highlight w:val="none"/>
              </w:rPr>
            </w:pPr>
            <w:r>
              <w:rPr>
                <w:rFonts w:cs="Times New Roman"/>
                <w:b/>
                <w:bCs/>
                <w:color w:val="auto"/>
                <w:highlight w:val="none"/>
              </w:rPr>
              <w:t>河流名称</w:t>
            </w:r>
          </w:p>
        </w:tc>
        <w:tc>
          <w:tcPr>
            <w:tcW w:w="1267" w:type="pct"/>
            <w:vAlign w:val="center"/>
          </w:tcPr>
          <w:p>
            <w:pPr>
              <w:pStyle w:val="65"/>
              <w:pageBreakBefore w:val="0"/>
              <w:kinsoku/>
              <w:wordWrap/>
              <w:topLinePunct w:val="0"/>
              <w:bidi w:val="0"/>
              <w:spacing w:line="240" w:lineRule="atLeast"/>
              <w:ind w:left="0" w:leftChars="0" w:right="0" w:rightChars="0"/>
              <w:rPr>
                <w:rFonts w:cs="Times New Roman"/>
                <w:b/>
                <w:bCs/>
                <w:color w:val="auto"/>
                <w:highlight w:val="none"/>
              </w:rPr>
            </w:pPr>
            <w:r>
              <w:rPr>
                <w:rFonts w:cs="Times New Roman"/>
                <w:b/>
                <w:bCs/>
                <w:color w:val="auto"/>
                <w:highlight w:val="none"/>
              </w:rPr>
              <w:t>CODcr（mg/L）</w:t>
            </w:r>
          </w:p>
        </w:tc>
        <w:tc>
          <w:tcPr>
            <w:tcW w:w="1267" w:type="pct"/>
            <w:vAlign w:val="center"/>
          </w:tcPr>
          <w:p>
            <w:pPr>
              <w:pStyle w:val="65"/>
              <w:pageBreakBefore w:val="0"/>
              <w:kinsoku/>
              <w:wordWrap/>
              <w:topLinePunct w:val="0"/>
              <w:bidi w:val="0"/>
              <w:spacing w:line="240" w:lineRule="atLeast"/>
              <w:ind w:left="0" w:leftChars="0" w:right="0" w:rightChars="0"/>
              <w:rPr>
                <w:rFonts w:cs="Times New Roman"/>
                <w:b/>
                <w:bCs/>
                <w:color w:val="auto"/>
                <w:highlight w:val="none"/>
              </w:rPr>
            </w:pPr>
            <w:r>
              <w:rPr>
                <w:rFonts w:cs="Times New Roman"/>
                <w:b/>
                <w:bCs/>
                <w:color w:val="auto"/>
                <w:highlight w:val="none"/>
              </w:rPr>
              <w:t>NH</w:t>
            </w:r>
            <w:r>
              <w:rPr>
                <w:rFonts w:cs="Times New Roman"/>
                <w:b/>
                <w:bCs/>
                <w:color w:val="auto"/>
                <w:highlight w:val="none"/>
                <w:vertAlign w:val="subscript"/>
              </w:rPr>
              <w:t>3</w:t>
            </w:r>
            <w:r>
              <w:rPr>
                <w:rFonts w:cs="Times New Roman"/>
                <w:b/>
                <w:bCs/>
                <w:color w:val="auto"/>
                <w:highlight w:val="none"/>
              </w:rPr>
              <w:t>-N（mg/L）</w:t>
            </w:r>
          </w:p>
        </w:tc>
        <w:tc>
          <w:tcPr>
            <w:tcW w:w="1268" w:type="pct"/>
            <w:vAlign w:val="center"/>
          </w:tcPr>
          <w:p>
            <w:pPr>
              <w:pStyle w:val="65"/>
              <w:pageBreakBefore w:val="0"/>
              <w:kinsoku/>
              <w:wordWrap/>
              <w:topLinePunct w:val="0"/>
              <w:bidi w:val="0"/>
              <w:spacing w:line="240" w:lineRule="atLeast"/>
              <w:ind w:left="0" w:leftChars="0" w:right="0" w:rightChars="0"/>
              <w:rPr>
                <w:rFonts w:cs="Times New Roman"/>
                <w:b/>
                <w:bCs/>
                <w:color w:val="auto"/>
                <w:highlight w:val="none"/>
              </w:rPr>
            </w:pPr>
            <w:r>
              <w:rPr>
                <w:rFonts w:cs="Times New Roman"/>
                <w:b/>
                <w:bCs/>
                <w:color w:val="auto"/>
                <w:highlight w:val="none"/>
              </w:rPr>
              <w:t>TP（mg/L）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pct"/>
            <w:vAlign w:val="center"/>
          </w:tcPr>
          <w:p>
            <w:pPr>
              <w:pStyle w:val="65"/>
              <w:pageBreakBefore w:val="0"/>
              <w:kinsoku/>
              <w:wordWrap/>
              <w:topLinePunct w:val="0"/>
              <w:bidi w:val="0"/>
              <w:spacing w:line="240" w:lineRule="atLeast"/>
              <w:ind w:left="0" w:leftChars="0" w:right="0" w:rightChars="0"/>
              <w:rPr>
                <w:rFonts w:cs="Times New Roman"/>
                <w:color w:val="auto"/>
                <w:highlight w:val="none"/>
              </w:rPr>
            </w:pPr>
            <w:r>
              <w:rPr>
                <w:rFonts w:cs="Times New Roman"/>
                <w:color w:val="auto"/>
                <w:highlight w:val="none"/>
              </w:rPr>
              <w:t>前河</w:t>
            </w:r>
          </w:p>
        </w:tc>
        <w:tc>
          <w:tcPr>
            <w:tcW w:w="1267" w:type="pct"/>
            <w:vAlign w:val="center"/>
          </w:tcPr>
          <w:p>
            <w:pPr>
              <w:pStyle w:val="65"/>
              <w:pageBreakBefore w:val="0"/>
              <w:kinsoku/>
              <w:wordWrap/>
              <w:topLinePunct w:val="0"/>
              <w:bidi w:val="0"/>
              <w:spacing w:line="240" w:lineRule="atLeast"/>
              <w:ind w:left="0" w:leftChars="0" w:right="0" w:rightChars="0"/>
              <w:rPr>
                <w:rFonts w:cs="Times New Roman"/>
                <w:color w:val="auto"/>
                <w:highlight w:val="none"/>
              </w:rPr>
            </w:pPr>
            <w:r>
              <w:rPr>
                <w:rFonts w:cs="Times New Roman"/>
                <w:color w:val="auto"/>
                <w:highlight w:val="none"/>
              </w:rPr>
              <w:t>7</w:t>
            </w:r>
          </w:p>
        </w:tc>
        <w:tc>
          <w:tcPr>
            <w:tcW w:w="1267" w:type="pct"/>
            <w:vAlign w:val="center"/>
          </w:tcPr>
          <w:p>
            <w:pPr>
              <w:pStyle w:val="65"/>
              <w:pageBreakBefore w:val="0"/>
              <w:kinsoku/>
              <w:wordWrap/>
              <w:topLinePunct w:val="0"/>
              <w:bidi w:val="0"/>
              <w:spacing w:line="240" w:lineRule="atLeast"/>
              <w:ind w:left="0" w:leftChars="0" w:right="0" w:rightChars="0"/>
              <w:rPr>
                <w:rFonts w:cs="Times New Roman"/>
                <w:color w:val="auto"/>
                <w:highlight w:val="none"/>
              </w:rPr>
            </w:pPr>
            <w:r>
              <w:rPr>
                <w:rFonts w:cs="Times New Roman"/>
                <w:color w:val="auto"/>
                <w:highlight w:val="none"/>
              </w:rPr>
              <w:t>0.264</w:t>
            </w:r>
          </w:p>
        </w:tc>
        <w:tc>
          <w:tcPr>
            <w:tcW w:w="1268" w:type="pct"/>
            <w:vAlign w:val="center"/>
          </w:tcPr>
          <w:p>
            <w:pPr>
              <w:pStyle w:val="65"/>
              <w:pageBreakBefore w:val="0"/>
              <w:kinsoku/>
              <w:wordWrap/>
              <w:topLinePunct w:val="0"/>
              <w:bidi w:val="0"/>
              <w:spacing w:line="240" w:lineRule="atLeast"/>
              <w:ind w:left="0" w:leftChars="0" w:right="0" w:rightChars="0"/>
              <w:rPr>
                <w:rFonts w:cs="Times New Roman"/>
                <w:color w:val="auto"/>
                <w:highlight w:val="none"/>
              </w:rPr>
            </w:pPr>
            <w:r>
              <w:rPr>
                <w:rFonts w:cs="Times New Roman"/>
                <w:color w:val="auto"/>
                <w:highlight w:val="none"/>
              </w:rPr>
              <w:t>0.04</w:t>
            </w:r>
          </w:p>
        </w:tc>
      </w:tr>
    </w:tbl>
    <w:p>
      <w:pPr>
        <w:pStyle w:val="22"/>
        <w:pageBreakBefore w:val="0"/>
        <w:kinsoku/>
        <w:wordWrap/>
        <w:topLinePunct w:val="0"/>
        <w:bidi w:val="0"/>
        <w:spacing w:after="0" w:line="360" w:lineRule="auto"/>
        <w:ind w:left="0" w:leftChars="0" w:right="0" w:rightChars="0" w:firstLine="482" w:firstLineChars="200"/>
        <w:rPr>
          <w:b/>
          <w:bCs/>
          <w:color w:val="auto"/>
          <w:sz w:val="24"/>
          <w:szCs w:val="36"/>
          <w:highlight w:val="none"/>
        </w:rPr>
      </w:pPr>
      <w:r>
        <w:rPr>
          <w:rFonts w:hint="eastAsia"/>
          <w:b/>
          <w:bCs/>
          <w:color w:val="auto"/>
          <w:sz w:val="24"/>
          <w:szCs w:val="36"/>
          <w:highlight w:val="none"/>
          <w:lang w:val="en-US" w:eastAsia="zh-CN"/>
        </w:rPr>
        <w:t>②</w:t>
      </w:r>
      <w:r>
        <w:rPr>
          <w:b/>
          <w:bCs/>
          <w:color w:val="auto"/>
          <w:sz w:val="24"/>
          <w:szCs w:val="36"/>
          <w:highlight w:val="none"/>
        </w:rPr>
        <w:t>一维模型确定</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经过计算COD、氨氮、TP的O’Connor数α，贝克莱数Pe判定选取完全混合段一维模型，判定结果如下：</w:t>
      </w:r>
    </w:p>
    <w:p>
      <w:pPr>
        <w:pageBreakBefore w:val="0"/>
        <w:kinsoku/>
        <w:wordWrap/>
        <w:topLinePunct w:val="0"/>
        <w:bidi w:val="0"/>
        <w:spacing w:line="360" w:lineRule="auto"/>
        <w:ind w:left="0" w:leftChars="0" w:right="0" w:rightChars="0"/>
        <w:jc w:val="center"/>
        <w:rPr>
          <w:rFonts w:eastAsia="黑体"/>
          <w:color w:val="auto"/>
          <w:highlight w:val="none"/>
        </w:rPr>
      </w:pPr>
      <w:r>
        <w:rPr>
          <w:rFonts w:hint="default" w:ascii="Times New Roman" w:hAnsi="Times New Roman" w:eastAsia="黑体" w:cs="Times New Roman"/>
          <w:color w:val="auto"/>
          <w:sz w:val="21"/>
          <w:highlight w:val="none"/>
        </w:rPr>
        <w:t>表</w:t>
      </w:r>
      <w:r>
        <w:rPr>
          <w:rFonts w:hint="default" w:ascii="Times New Roman" w:hAnsi="Times New Roman" w:eastAsia="黑体" w:cs="Times New Roman"/>
          <w:color w:val="auto"/>
          <w:sz w:val="21"/>
          <w:highlight w:val="none"/>
          <w:lang w:val="en-US" w:eastAsia="zh-CN"/>
        </w:rPr>
        <w:t>5-</w:t>
      </w:r>
      <w:r>
        <w:rPr>
          <w:rFonts w:hint="eastAsia" w:ascii="Times New Roman" w:hAnsi="Times New Roman" w:eastAsia="黑体" w:cs="Times New Roman"/>
          <w:color w:val="auto"/>
          <w:sz w:val="21"/>
          <w:highlight w:val="none"/>
          <w:lang w:val="en-US" w:eastAsia="zh-CN"/>
        </w:rPr>
        <w:t>5</w:t>
      </w:r>
      <w:r>
        <w:rPr>
          <w:rFonts w:hint="eastAsia" w:eastAsia="黑体"/>
          <w:color w:val="auto"/>
          <w:highlight w:val="none"/>
        </w:rPr>
        <w:t xml:space="preserve"> </w:t>
      </w:r>
      <w:r>
        <w:rPr>
          <w:rFonts w:eastAsia="黑体"/>
          <w:color w:val="auto"/>
          <w:highlight w:val="none"/>
        </w:rPr>
        <w:t>枯水期完全混合段一维模型选择结果</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727"/>
        <w:gridCol w:w="1841"/>
        <w:gridCol w:w="1632"/>
        <w:gridCol w:w="1853"/>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预测</w:t>
            </w:r>
          </w:p>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因子</w:t>
            </w:r>
          </w:p>
        </w:tc>
        <w:tc>
          <w:tcPr>
            <w:tcW w:w="877"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降解系数1/d</w:t>
            </w:r>
          </w:p>
        </w:tc>
        <w:tc>
          <w:tcPr>
            <w:tcW w:w="935"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O</w:t>
            </w:r>
            <w:r>
              <w:rPr>
                <w:b/>
                <w:bCs/>
                <w:color w:val="auto"/>
                <w:highlight w:val="none"/>
                <w:vertAlign w:val="superscript"/>
              </w:rPr>
              <w:t>，</w:t>
            </w:r>
            <w:r>
              <w:rPr>
                <w:b/>
                <w:bCs/>
                <w:color w:val="auto"/>
                <w:highlight w:val="none"/>
              </w:rPr>
              <w:t>Connor值α</w:t>
            </w:r>
          </w:p>
        </w:tc>
        <w:tc>
          <w:tcPr>
            <w:tcW w:w="829"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贝克莱数Pe</w:t>
            </w:r>
          </w:p>
        </w:tc>
        <w:tc>
          <w:tcPr>
            <w:tcW w:w="941"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判别条件</w:t>
            </w:r>
          </w:p>
        </w:tc>
        <w:tc>
          <w:tcPr>
            <w:tcW w:w="842"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bCs/>
                <w:color w:val="auto"/>
                <w:highlight w:val="none"/>
              </w:rPr>
            </w:pPr>
            <w:r>
              <w:rPr>
                <w:b/>
                <w:bCs/>
                <w:color w:val="auto"/>
                <w:highlight w:val="none"/>
              </w:rPr>
              <w:t>模型选取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COD</w:t>
            </w:r>
          </w:p>
        </w:tc>
        <w:tc>
          <w:tcPr>
            <w:tcW w:w="877"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0.2</w:t>
            </w:r>
          </w:p>
        </w:tc>
        <w:tc>
          <w:tcPr>
            <w:tcW w:w="935"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0.00005</w:t>
            </w:r>
          </w:p>
        </w:tc>
        <w:tc>
          <w:tcPr>
            <w:tcW w:w="829"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16</w:t>
            </w:r>
          </w:p>
        </w:tc>
        <w:tc>
          <w:tcPr>
            <w:tcW w:w="941"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α≤0.027、Pe≥1</w:t>
            </w:r>
          </w:p>
        </w:tc>
        <w:tc>
          <w:tcPr>
            <w:tcW w:w="842"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对流降解模型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氨氮</w:t>
            </w:r>
          </w:p>
        </w:tc>
        <w:tc>
          <w:tcPr>
            <w:tcW w:w="877"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0.25</w:t>
            </w:r>
          </w:p>
        </w:tc>
        <w:tc>
          <w:tcPr>
            <w:tcW w:w="935"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0.00006</w:t>
            </w:r>
          </w:p>
        </w:tc>
        <w:tc>
          <w:tcPr>
            <w:tcW w:w="829"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16</w:t>
            </w:r>
          </w:p>
        </w:tc>
        <w:tc>
          <w:tcPr>
            <w:tcW w:w="941"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α≤0.027、Pe≥1</w:t>
            </w:r>
          </w:p>
        </w:tc>
        <w:tc>
          <w:tcPr>
            <w:tcW w:w="842"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对流降解模型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3"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TP</w:t>
            </w:r>
          </w:p>
        </w:tc>
        <w:tc>
          <w:tcPr>
            <w:tcW w:w="877"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0.1</w:t>
            </w:r>
          </w:p>
        </w:tc>
        <w:tc>
          <w:tcPr>
            <w:tcW w:w="935"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0.00002</w:t>
            </w:r>
          </w:p>
        </w:tc>
        <w:tc>
          <w:tcPr>
            <w:tcW w:w="829"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16</w:t>
            </w:r>
          </w:p>
        </w:tc>
        <w:tc>
          <w:tcPr>
            <w:tcW w:w="941"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α≤0.027、Pe≥1</w:t>
            </w:r>
          </w:p>
        </w:tc>
        <w:tc>
          <w:tcPr>
            <w:tcW w:w="842"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对流降解模型</w:t>
            </w:r>
          </w:p>
        </w:tc>
      </w:tr>
    </w:tbl>
    <w:p>
      <w:pPr>
        <w:pStyle w:val="34"/>
        <w:pageBreakBefore w:val="0"/>
        <w:kinsoku/>
        <w:wordWrap/>
        <w:topLinePunct w:val="0"/>
        <w:bidi w:val="0"/>
        <w:spacing w:line="360" w:lineRule="auto"/>
        <w:ind w:left="0" w:leftChars="0" w:right="0" w:rightChars="0" w:firstLine="482" w:firstLineChars="200"/>
        <w:jc w:val="both"/>
        <w:outlineLvl w:val="9"/>
        <w:rPr>
          <w:rFonts w:hint="default" w:cs="Times New Roman"/>
          <w:b w:val="0"/>
          <w:color w:val="auto"/>
          <w:kern w:val="2"/>
          <w:sz w:val="24"/>
          <w:szCs w:val="24"/>
          <w:highlight w:val="none"/>
          <w:lang w:val="en-US" w:eastAsia="zh-CN" w:bidi="ar"/>
        </w:rPr>
      </w:pPr>
      <w:r>
        <w:rPr>
          <w:color w:val="auto"/>
          <w:sz w:val="24"/>
          <w:highlight w:val="none"/>
        </w:rPr>
        <w:t>由表可知，项目完全混合段COD、氨氮和TP预测模式应采用对流降解模型。</w:t>
      </w:r>
    </w:p>
    <w:p>
      <w:pPr>
        <w:pStyle w:val="34"/>
        <w:pageBreakBefore w:val="0"/>
        <w:kinsoku/>
        <w:wordWrap/>
        <w:topLinePunct w:val="0"/>
        <w:bidi w:val="0"/>
        <w:spacing w:line="360" w:lineRule="auto"/>
        <w:ind w:left="0" w:leftChars="0" w:right="0" w:rightChars="0" w:firstLine="482" w:firstLineChars="200"/>
        <w:jc w:val="both"/>
        <w:outlineLvl w:val="9"/>
        <w:rPr>
          <w:rFonts w:ascii="Times New Roman" w:hAnsi="Times New Roman"/>
          <w:b/>
          <w:color w:val="auto"/>
          <w:szCs w:val="24"/>
          <w:highlight w:val="none"/>
        </w:rPr>
      </w:pPr>
      <w:r>
        <w:rPr>
          <w:rFonts w:hint="eastAsia" w:cs="Times New Roman"/>
          <w:b/>
          <w:bCs/>
          <w:color w:val="auto"/>
          <w:kern w:val="2"/>
          <w:sz w:val="24"/>
          <w:szCs w:val="24"/>
          <w:highlight w:val="none"/>
          <w:lang w:val="en-US" w:eastAsia="zh-CN" w:bidi="ar"/>
        </w:rPr>
        <w:t>（4）</w:t>
      </w:r>
      <w:r>
        <w:rPr>
          <w:rFonts w:ascii="Times New Roman" w:hAnsi="Times New Roman"/>
          <w:b/>
          <w:color w:val="auto"/>
          <w:szCs w:val="24"/>
          <w:highlight w:val="none"/>
        </w:rPr>
        <w:t>预测情景</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在影响预测中主要预测两种情景：</w:t>
      </w:r>
    </w:p>
    <w:p>
      <w:pPr>
        <w:pageBreakBefore w:val="0"/>
        <w:kinsoku/>
        <w:wordWrap/>
        <w:topLinePunct w:val="0"/>
        <w:bidi w:val="0"/>
        <w:spacing w:line="360" w:lineRule="auto"/>
        <w:ind w:left="0" w:leftChars="0" w:right="0" w:rightChars="0" w:firstLine="480" w:firstLineChars="200"/>
        <w:rPr>
          <w:color w:val="auto"/>
          <w:sz w:val="24"/>
          <w:highlight w:val="none"/>
        </w:rPr>
      </w:pPr>
      <w:r>
        <w:rPr>
          <w:rFonts w:hint="eastAsia"/>
          <w:color w:val="auto"/>
          <w:sz w:val="24"/>
          <w:highlight w:val="none"/>
          <w:lang w:val="en-US" w:eastAsia="zh-CN"/>
        </w:rPr>
        <w:t>①</w:t>
      </w:r>
      <w:r>
        <w:rPr>
          <w:color w:val="auto"/>
          <w:sz w:val="24"/>
          <w:highlight w:val="none"/>
        </w:rPr>
        <w:t>考虑本项目正常运行（尾水排放量按20000m</w:t>
      </w:r>
      <w:r>
        <w:rPr>
          <w:color w:val="auto"/>
          <w:sz w:val="24"/>
          <w:highlight w:val="none"/>
          <w:vertAlign w:val="superscript"/>
        </w:rPr>
        <w:t>3</w:t>
      </w:r>
      <w:r>
        <w:rPr>
          <w:color w:val="auto"/>
          <w:sz w:val="24"/>
          <w:highlight w:val="none"/>
        </w:rPr>
        <w:t>/d计），废水经处理达标后，预测对前河水质的影响。</w:t>
      </w:r>
    </w:p>
    <w:p>
      <w:pPr>
        <w:pageBreakBefore w:val="0"/>
        <w:kinsoku/>
        <w:wordWrap/>
        <w:topLinePunct w:val="0"/>
        <w:bidi w:val="0"/>
        <w:spacing w:line="360" w:lineRule="auto"/>
        <w:ind w:left="0" w:leftChars="0" w:right="0" w:rightChars="0" w:firstLine="480" w:firstLineChars="200"/>
        <w:rPr>
          <w:color w:val="auto"/>
          <w:sz w:val="24"/>
          <w:highlight w:val="none"/>
        </w:rPr>
      </w:pPr>
      <w:r>
        <w:rPr>
          <w:rFonts w:hint="eastAsia"/>
          <w:color w:val="auto"/>
          <w:sz w:val="24"/>
          <w:highlight w:val="none"/>
          <w:lang w:val="en-US" w:eastAsia="zh-CN"/>
        </w:rPr>
        <w:t>②</w:t>
      </w:r>
      <w:r>
        <w:rPr>
          <w:color w:val="auto"/>
          <w:sz w:val="24"/>
          <w:highlight w:val="none"/>
        </w:rPr>
        <w:t>考虑本项目事故性排放（尾水排放量按20000m</w:t>
      </w:r>
      <w:r>
        <w:rPr>
          <w:color w:val="auto"/>
          <w:sz w:val="24"/>
          <w:highlight w:val="none"/>
          <w:vertAlign w:val="superscript"/>
        </w:rPr>
        <w:t>3</w:t>
      </w:r>
      <w:r>
        <w:rPr>
          <w:color w:val="auto"/>
          <w:sz w:val="24"/>
          <w:highlight w:val="none"/>
        </w:rPr>
        <w:t>/d计），即废水不经处理直接排放，以此进行事故影响分析，预测对前河水质的影响。</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本项目尾水排放情况见表：</w:t>
      </w:r>
    </w:p>
    <w:p>
      <w:pPr>
        <w:pStyle w:val="22"/>
        <w:pageBreakBefore w:val="0"/>
        <w:kinsoku/>
        <w:wordWrap/>
        <w:topLinePunct w:val="0"/>
        <w:bidi w:val="0"/>
        <w:spacing w:after="0" w:line="360" w:lineRule="auto"/>
        <w:ind w:left="0" w:leftChars="0" w:right="0" w:rightChars="0" w:firstLine="0"/>
        <w:jc w:val="center"/>
        <w:rPr>
          <w:rFonts w:eastAsia="黑体"/>
          <w:color w:val="auto"/>
          <w:sz w:val="21"/>
          <w:highlight w:val="none"/>
        </w:rPr>
      </w:pPr>
      <w:r>
        <w:rPr>
          <w:rFonts w:eastAsia="黑体"/>
          <w:color w:val="auto"/>
          <w:sz w:val="21"/>
          <w:highlight w:val="none"/>
        </w:rPr>
        <w:t>表</w:t>
      </w:r>
      <w:r>
        <w:rPr>
          <w:rFonts w:hint="eastAsia" w:eastAsia="黑体"/>
          <w:color w:val="auto"/>
          <w:sz w:val="21"/>
          <w:highlight w:val="none"/>
          <w:lang w:val="en-US" w:eastAsia="zh-CN"/>
        </w:rPr>
        <w:t>5-6</w:t>
      </w:r>
      <w:r>
        <w:rPr>
          <w:rFonts w:hint="eastAsia" w:eastAsia="黑体"/>
          <w:color w:val="auto"/>
          <w:sz w:val="21"/>
          <w:highlight w:val="none"/>
        </w:rPr>
        <w:t xml:space="preserve"> </w:t>
      </w:r>
      <w:r>
        <w:rPr>
          <w:rFonts w:eastAsia="黑体"/>
          <w:color w:val="auto"/>
          <w:highlight w:val="none"/>
        </w:rPr>
        <w:t>污水处理厂预测情景设置</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550"/>
        <w:gridCol w:w="1080"/>
        <w:gridCol w:w="922"/>
        <w:gridCol w:w="920"/>
        <w:gridCol w:w="775"/>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8" w:type="pct"/>
            <w:vMerge w:val="restar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序号</w:t>
            </w:r>
          </w:p>
        </w:tc>
        <w:tc>
          <w:tcPr>
            <w:tcW w:w="1294" w:type="pct"/>
            <w:vMerge w:val="restar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排放情形</w:t>
            </w:r>
          </w:p>
        </w:tc>
        <w:tc>
          <w:tcPr>
            <w:tcW w:w="548" w:type="pct"/>
            <w:vMerge w:val="restar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废水量（m</w:t>
            </w:r>
            <w:r>
              <w:rPr>
                <w:b/>
                <w:color w:val="auto"/>
                <w:highlight w:val="none"/>
                <w:vertAlign w:val="superscript"/>
              </w:rPr>
              <w:t>3</w:t>
            </w:r>
            <w:r>
              <w:rPr>
                <w:b/>
                <w:color w:val="auto"/>
                <w:highlight w:val="none"/>
              </w:rPr>
              <w:t>/s）</w:t>
            </w:r>
          </w:p>
        </w:tc>
        <w:tc>
          <w:tcPr>
            <w:tcW w:w="1328" w:type="pct"/>
            <w:gridSpan w:val="3"/>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污染物浓度（mg/L）</w:t>
            </w:r>
          </w:p>
        </w:tc>
        <w:tc>
          <w:tcPr>
            <w:tcW w:w="1469" w:type="pct"/>
            <w:vMerge w:val="restar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8" w:type="pct"/>
            <w:vMerge w:val="continue"/>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p>
        </w:tc>
        <w:tc>
          <w:tcPr>
            <w:tcW w:w="1294" w:type="pct"/>
            <w:vMerge w:val="continue"/>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p>
        </w:tc>
        <w:tc>
          <w:tcPr>
            <w:tcW w:w="548" w:type="pct"/>
            <w:vMerge w:val="continue"/>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p>
        </w:tc>
        <w:tc>
          <w:tcPr>
            <w:tcW w:w="468"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COD</w:t>
            </w:r>
            <w:r>
              <w:rPr>
                <w:b/>
                <w:color w:val="auto"/>
                <w:highlight w:val="none"/>
                <w:vertAlign w:val="subscript"/>
              </w:rPr>
              <w:t>cr</w:t>
            </w:r>
          </w:p>
        </w:tc>
        <w:tc>
          <w:tcPr>
            <w:tcW w:w="467"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NH</w:t>
            </w:r>
            <w:r>
              <w:rPr>
                <w:b/>
                <w:color w:val="auto"/>
                <w:highlight w:val="none"/>
                <w:vertAlign w:val="subscript"/>
              </w:rPr>
              <w:t>3</w:t>
            </w:r>
            <w:r>
              <w:rPr>
                <w:b/>
                <w:color w:val="auto"/>
                <w:highlight w:val="none"/>
              </w:rPr>
              <w:t>-N</w:t>
            </w:r>
          </w:p>
        </w:tc>
        <w:tc>
          <w:tcPr>
            <w:tcW w:w="392"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b/>
                <w:color w:val="auto"/>
                <w:highlight w:val="none"/>
              </w:rPr>
              <w:t>TP</w:t>
            </w:r>
          </w:p>
        </w:tc>
        <w:tc>
          <w:tcPr>
            <w:tcW w:w="1469" w:type="pct"/>
            <w:vMerge w:val="continue"/>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8"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1</w:t>
            </w:r>
          </w:p>
        </w:tc>
        <w:tc>
          <w:tcPr>
            <w:tcW w:w="1294"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本项目正常运行</w:t>
            </w:r>
          </w:p>
        </w:tc>
        <w:tc>
          <w:tcPr>
            <w:tcW w:w="548"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0.23</w:t>
            </w:r>
          </w:p>
        </w:tc>
        <w:tc>
          <w:tcPr>
            <w:tcW w:w="468"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50</w:t>
            </w:r>
          </w:p>
        </w:tc>
        <w:tc>
          <w:tcPr>
            <w:tcW w:w="467"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5</w:t>
            </w:r>
          </w:p>
        </w:tc>
        <w:tc>
          <w:tcPr>
            <w:tcW w:w="392"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0.5</w:t>
            </w:r>
          </w:p>
        </w:tc>
        <w:tc>
          <w:tcPr>
            <w:tcW w:w="1469"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情景一：本项目正常运行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8"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2</w:t>
            </w:r>
          </w:p>
        </w:tc>
        <w:tc>
          <w:tcPr>
            <w:tcW w:w="1294"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本项目事故性排放</w:t>
            </w:r>
          </w:p>
        </w:tc>
        <w:tc>
          <w:tcPr>
            <w:tcW w:w="548"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color w:val="auto"/>
                <w:highlight w:val="none"/>
              </w:rPr>
            </w:pPr>
            <w:r>
              <w:rPr>
                <w:color w:val="auto"/>
                <w:highlight w:val="none"/>
              </w:rPr>
              <w:t>0.23</w:t>
            </w:r>
          </w:p>
        </w:tc>
        <w:tc>
          <w:tcPr>
            <w:tcW w:w="468"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280</w:t>
            </w:r>
          </w:p>
        </w:tc>
        <w:tc>
          <w:tcPr>
            <w:tcW w:w="467"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35</w:t>
            </w:r>
          </w:p>
        </w:tc>
        <w:tc>
          <w:tcPr>
            <w:tcW w:w="392"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4.5</w:t>
            </w:r>
          </w:p>
        </w:tc>
        <w:tc>
          <w:tcPr>
            <w:tcW w:w="1469" w:type="pct"/>
            <w:shd w:val="clear" w:color="auto" w:fill="auto"/>
            <w:vAlign w:val="center"/>
          </w:tcPr>
          <w:p>
            <w:pPr>
              <w:pageBreakBefore w:val="0"/>
              <w:tabs>
                <w:tab w:val="center" w:pos="4153"/>
                <w:tab w:val="right" w:pos="8306"/>
              </w:tabs>
              <w:kinsoku/>
              <w:wordWrap/>
              <w:topLinePunct w:val="0"/>
              <w:bidi w:val="0"/>
              <w:snapToGrid w:val="0"/>
              <w:ind w:left="0" w:leftChars="0" w:right="0" w:rightChars="0"/>
              <w:jc w:val="center"/>
              <w:rPr>
                <w:b/>
                <w:color w:val="auto"/>
                <w:highlight w:val="none"/>
              </w:rPr>
            </w:pPr>
            <w:r>
              <w:rPr>
                <w:color w:val="auto"/>
                <w:highlight w:val="none"/>
              </w:rPr>
              <w:t>情景二：本项目事故性排放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shd w:val="clear" w:color="auto" w:fill="auto"/>
            <w:vAlign w:val="center"/>
          </w:tcPr>
          <w:p>
            <w:pPr>
              <w:pageBreakBefore w:val="0"/>
              <w:tabs>
                <w:tab w:val="center" w:pos="4153"/>
                <w:tab w:val="right" w:pos="8306"/>
              </w:tabs>
              <w:kinsoku/>
              <w:wordWrap/>
              <w:topLinePunct w:val="0"/>
              <w:bidi w:val="0"/>
              <w:snapToGrid w:val="0"/>
              <w:ind w:left="0" w:leftChars="0" w:right="0" w:rightChars="0"/>
              <w:rPr>
                <w:color w:val="auto"/>
                <w:highlight w:val="none"/>
              </w:rPr>
            </w:pPr>
            <w:r>
              <w:rPr>
                <w:color w:val="auto"/>
                <w:highlight w:val="none"/>
              </w:rPr>
              <w:t>备注：本项目事故状态下污水浓度参照本项目污水处理厂设计进水水质。</w:t>
            </w:r>
          </w:p>
        </w:tc>
      </w:tr>
    </w:tbl>
    <w:p>
      <w:pPr>
        <w:pStyle w:val="34"/>
        <w:pageBreakBefore w:val="0"/>
        <w:kinsoku/>
        <w:wordWrap/>
        <w:topLinePunct w:val="0"/>
        <w:bidi w:val="0"/>
        <w:spacing w:line="360" w:lineRule="auto"/>
        <w:ind w:left="0" w:leftChars="0" w:right="0" w:rightChars="0" w:firstLine="482" w:firstLineChars="200"/>
        <w:jc w:val="both"/>
        <w:outlineLvl w:val="9"/>
        <w:rPr>
          <w:rFonts w:hint="eastAsia" w:cs="Times New Roman"/>
          <w:b w:val="0"/>
          <w:color w:val="auto"/>
          <w:kern w:val="2"/>
          <w:sz w:val="24"/>
          <w:szCs w:val="24"/>
          <w:highlight w:val="none"/>
          <w:lang w:val="en-US" w:eastAsia="zh-CN" w:bidi="ar"/>
        </w:rPr>
      </w:pPr>
      <w:r>
        <w:rPr>
          <w:rFonts w:hint="eastAsia" w:cs="Times New Roman"/>
          <w:b/>
          <w:bCs/>
          <w:color w:val="auto"/>
          <w:kern w:val="2"/>
          <w:sz w:val="24"/>
          <w:szCs w:val="24"/>
          <w:highlight w:val="none"/>
          <w:lang w:val="en-US" w:eastAsia="zh-CN" w:bidi="ar"/>
        </w:rPr>
        <w:t>（5）预测结果</w:t>
      </w:r>
    </w:p>
    <w:p>
      <w:pPr>
        <w:pStyle w:val="66"/>
        <w:pageBreakBefore w:val="0"/>
        <w:kinsoku/>
        <w:wordWrap/>
        <w:topLinePunct w:val="0"/>
        <w:bidi w:val="0"/>
        <w:ind w:left="0" w:leftChars="0" w:right="0" w:rightChars="0" w:firstLine="482"/>
        <w:rPr>
          <w:rFonts w:ascii="Times New Roman" w:hAnsi="Times New Roman"/>
          <w:b/>
          <w:color w:val="auto"/>
          <w:szCs w:val="24"/>
          <w:highlight w:val="none"/>
        </w:rPr>
      </w:pPr>
      <w:r>
        <w:rPr>
          <w:rFonts w:ascii="Times New Roman" w:hAnsi="Times New Roman"/>
          <w:b/>
          <w:color w:val="auto"/>
          <w:szCs w:val="24"/>
          <w:highlight w:val="none"/>
        </w:rPr>
        <w:t>1）正常排放预测结果</w:t>
      </w:r>
    </w:p>
    <w:p>
      <w:pPr>
        <w:pStyle w:val="66"/>
        <w:pageBreakBefore w:val="0"/>
        <w:kinsoku/>
        <w:wordWrap/>
        <w:topLinePunct w:val="0"/>
        <w:bidi w:val="0"/>
        <w:ind w:left="0" w:leftChars="0" w:right="0" w:rightChars="0" w:firstLine="482"/>
        <w:rPr>
          <w:rFonts w:ascii="Times New Roman" w:hAnsi="Times New Roman"/>
          <w:b/>
          <w:color w:val="auto"/>
          <w:szCs w:val="24"/>
          <w:highlight w:val="none"/>
        </w:rPr>
      </w:pPr>
      <w:r>
        <w:rPr>
          <w:rFonts w:ascii="Times New Roman" w:hAnsi="Times New Roman"/>
          <w:b/>
          <w:color w:val="auto"/>
          <w:szCs w:val="24"/>
          <w:highlight w:val="none"/>
        </w:rPr>
        <w:t>①情景一正常排放预测结果</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情景一正常排放段预测结果见下表。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sz w:val="21"/>
          <w:highlight w:val="none"/>
        </w:rPr>
        <w:t>表</w:t>
      </w:r>
      <w:r>
        <w:rPr>
          <w:rFonts w:hint="eastAsia" w:eastAsia="黑体"/>
          <w:color w:val="auto"/>
          <w:sz w:val="21"/>
          <w:highlight w:val="none"/>
          <w:lang w:val="en-US" w:eastAsia="zh-CN"/>
        </w:rPr>
        <w:t>5-7</w:t>
      </w:r>
      <w:r>
        <w:rPr>
          <w:rFonts w:hint="eastAsia" w:eastAsia="黑体"/>
          <w:color w:val="auto"/>
          <w:highlight w:val="none"/>
        </w:rPr>
        <w:t xml:space="preserve"> </w:t>
      </w:r>
      <w:r>
        <w:rPr>
          <w:rFonts w:eastAsia="黑体"/>
          <w:color w:val="auto"/>
          <w:highlight w:val="none"/>
        </w:rPr>
        <w:t>尾水正常排放排入前河后COD</w:t>
      </w:r>
      <w:r>
        <w:rPr>
          <w:rFonts w:eastAsia="黑体"/>
          <w:color w:val="auto"/>
          <w:highlight w:val="none"/>
          <w:vertAlign w:val="subscript"/>
        </w:rPr>
        <w:t>Cr</w:t>
      </w:r>
      <w:r>
        <w:rPr>
          <w:bCs/>
          <w:color w:val="auto"/>
          <w:sz w:val="24"/>
          <w:szCs w:val="24"/>
          <w:highlight w:val="none"/>
        </w:rPr>
        <w:t>、</w:t>
      </w:r>
      <w:r>
        <w:rPr>
          <w:rFonts w:eastAsia="黑体"/>
          <w:color w:val="auto"/>
          <w:highlight w:val="none"/>
        </w:rPr>
        <w:t>NH</w:t>
      </w:r>
      <w:r>
        <w:rPr>
          <w:rFonts w:eastAsia="黑体"/>
          <w:color w:val="auto"/>
          <w:highlight w:val="none"/>
          <w:vertAlign w:val="subscript"/>
        </w:rPr>
        <w:t>3</w:t>
      </w:r>
      <w:r>
        <w:rPr>
          <w:rFonts w:eastAsia="黑体"/>
          <w:color w:val="auto"/>
          <w:highlight w:val="none"/>
        </w:rPr>
        <w:t>-N、TP浓度预测</w:t>
      </w:r>
      <w:r>
        <w:rPr>
          <w:rFonts w:hint="eastAsia" w:eastAsia="黑体"/>
          <w:color w:val="auto"/>
          <w:highlight w:val="none"/>
        </w:rPr>
        <w:t xml:space="preserve"> </w:t>
      </w:r>
      <w:r>
        <w:rPr>
          <w:rFonts w:hint="eastAsia" w:eastAsia="黑体"/>
          <w:color w:val="auto"/>
          <w:highlight w:val="none"/>
          <w:lang w:val="en-US" w:eastAsia="zh-CN"/>
        </w:rPr>
        <w:t xml:space="preserve"> </w:t>
      </w:r>
      <w:r>
        <w:rPr>
          <w:rFonts w:eastAsia="黑体"/>
          <w:color w:val="auto"/>
          <w:highlight w:val="none"/>
        </w:rPr>
        <w:t>单位：mg/L</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2556"/>
        <w:gridCol w:w="2556"/>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X（m）</w:t>
            </w:r>
          </w:p>
        </w:tc>
        <w:tc>
          <w:tcPr>
            <w:tcW w:w="1325" w:type="pct"/>
            <w:shd w:val="clear" w:color="auto" w:fill="auto"/>
            <w:tcMar>
              <w:left w:w="0" w:type="dxa"/>
              <w:right w:w="0" w:type="dxa"/>
            </w:tcMar>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w:t>
            </w:r>
            <w:r>
              <w:rPr>
                <w:rFonts w:eastAsia="黑体"/>
                <w:b/>
                <w:bCs/>
                <w:color w:val="auto"/>
                <w:highlight w:val="none"/>
              </w:rPr>
              <w:t>COD</w:t>
            </w:r>
            <w:r>
              <w:rPr>
                <w:rFonts w:eastAsia="黑体"/>
                <w:b/>
                <w:bCs/>
                <w:color w:val="auto"/>
                <w:highlight w:val="none"/>
                <w:vertAlign w:val="subscript"/>
              </w:rPr>
              <w:t>Cr</w:t>
            </w:r>
            <w:r>
              <w:rPr>
                <w:b/>
                <w:bCs/>
                <w:color w:val="auto"/>
                <w:highlight w:val="none"/>
              </w:rPr>
              <w:t>）</w:t>
            </w:r>
          </w:p>
        </w:tc>
        <w:tc>
          <w:tcPr>
            <w:tcW w:w="1325" w:type="pct"/>
            <w:shd w:val="clear" w:color="auto" w:fill="auto"/>
            <w:tcMar>
              <w:left w:w="0" w:type="dxa"/>
              <w:right w:w="0" w:type="dxa"/>
            </w:tcMar>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w:t>
            </w:r>
            <w:r>
              <w:rPr>
                <w:rFonts w:eastAsia="黑体"/>
                <w:b/>
                <w:bCs/>
                <w:color w:val="auto"/>
                <w:highlight w:val="none"/>
              </w:rPr>
              <w:t>NH</w:t>
            </w:r>
            <w:r>
              <w:rPr>
                <w:rFonts w:eastAsia="黑体"/>
                <w:b/>
                <w:bCs/>
                <w:color w:val="auto"/>
                <w:highlight w:val="none"/>
                <w:vertAlign w:val="subscript"/>
              </w:rPr>
              <w:t>3</w:t>
            </w:r>
            <w:r>
              <w:rPr>
                <w:rFonts w:eastAsia="黑体"/>
                <w:b/>
                <w:bCs/>
                <w:color w:val="auto"/>
                <w:highlight w:val="none"/>
              </w:rPr>
              <w:t>-N</w:t>
            </w:r>
            <w:r>
              <w:rPr>
                <w:b/>
                <w:bCs/>
                <w:color w:val="auto"/>
                <w:highlight w:val="none"/>
              </w:rPr>
              <w:t>）</w:t>
            </w:r>
          </w:p>
        </w:tc>
        <w:tc>
          <w:tcPr>
            <w:tcW w:w="1326" w:type="pct"/>
            <w:shd w:val="clear" w:color="auto" w:fill="auto"/>
            <w:tcMar>
              <w:left w:w="0" w:type="dxa"/>
              <w:right w:w="0" w:type="dxa"/>
            </w:tcMar>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w:t>
            </w:r>
            <w:r>
              <w:rPr>
                <w:rFonts w:eastAsia="黑体"/>
                <w:b/>
                <w:bCs/>
                <w:color w:val="auto"/>
                <w:highlight w:val="none"/>
              </w:rPr>
              <w:t>TP</w:t>
            </w:r>
            <w:r>
              <w:rPr>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8.48</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8.47</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8.45</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300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8.44</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500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8.41</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8.35</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0.42</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bCs/>
                <w:color w:val="auto"/>
                <w:kern w:val="0"/>
                <w:sz w:val="22"/>
                <w:szCs w:val="22"/>
                <w:highlight w:val="none"/>
                <w:lang w:bidi="ar"/>
              </w:rPr>
            </w:pPr>
            <w:r>
              <w:rPr>
                <w:b/>
                <w:bCs/>
                <w:color w:val="auto"/>
                <w:kern w:val="0"/>
                <w:sz w:val="22"/>
                <w:szCs w:val="22"/>
                <w:highlight w:val="none"/>
                <w:lang w:bidi="ar"/>
              </w:rPr>
              <w:t>2000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bCs/>
                <w:color w:val="auto"/>
                <w:kern w:val="0"/>
                <w:sz w:val="22"/>
                <w:szCs w:val="22"/>
                <w:highlight w:val="none"/>
                <w:lang w:bidi="ar"/>
              </w:rPr>
            </w:pPr>
            <w:r>
              <w:rPr>
                <w:b/>
                <w:bCs/>
                <w:color w:val="auto"/>
                <w:kern w:val="0"/>
                <w:sz w:val="22"/>
                <w:szCs w:val="22"/>
                <w:highlight w:val="none"/>
                <w:lang w:bidi="ar"/>
              </w:rPr>
              <w:t>8.22</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bCs/>
                <w:color w:val="auto"/>
                <w:kern w:val="0"/>
                <w:sz w:val="22"/>
                <w:szCs w:val="22"/>
                <w:highlight w:val="none"/>
                <w:lang w:bidi="ar"/>
              </w:rPr>
            </w:pPr>
            <w:r>
              <w:rPr>
                <w:b/>
                <w:bCs/>
                <w:color w:val="auto"/>
                <w:kern w:val="0"/>
                <w:sz w:val="22"/>
                <w:szCs w:val="22"/>
                <w:highlight w:val="none"/>
                <w:lang w:bidi="ar"/>
              </w:rPr>
              <w:t>0.41</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bCs/>
                <w:color w:val="auto"/>
                <w:kern w:val="0"/>
                <w:sz w:val="22"/>
                <w:szCs w:val="22"/>
                <w:highlight w:val="none"/>
                <w:lang w:bidi="ar"/>
              </w:rPr>
            </w:pPr>
            <w:r>
              <w:rPr>
                <w:b/>
                <w:bCs/>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3000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8.1</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0.41</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color w:val="auto"/>
                <w:kern w:val="0"/>
                <w:sz w:val="22"/>
                <w:szCs w:val="22"/>
                <w:highlight w:val="none"/>
                <w:lang w:bidi="ar"/>
              </w:rPr>
              <w:t>5000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color w:val="auto"/>
                <w:kern w:val="0"/>
                <w:sz w:val="22"/>
                <w:szCs w:val="22"/>
                <w:highlight w:val="none"/>
                <w:lang w:bidi="ar"/>
              </w:rPr>
              <w:t>7.85</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color w:val="auto"/>
                <w:kern w:val="0"/>
                <w:sz w:val="22"/>
                <w:szCs w:val="22"/>
                <w:highlight w:val="none"/>
                <w:lang w:bidi="ar"/>
              </w:rPr>
              <w:t>0.39</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7.27</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0.35</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15000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6.73</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 xml:space="preserve">0.32 </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20000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6.23</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0.29</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27000</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5.59</w:t>
            </w:r>
          </w:p>
        </w:tc>
        <w:tc>
          <w:tcPr>
            <w:tcW w:w="2551"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0.26</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0.05</w:t>
            </w:r>
          </w:p>
        </w:tc>
      </w:tr>
    </w:tbl>
    <w:p>
      <w:pPr>
        <w:pageBreakBefore w:val="0"/>
        <w:kinsoku/>
        <w:wordWrap/>
        <w:topLinePunct w:val="0"/>
        <w:bidi w:val="0"/>
        <w:spacing w:line="360" w:lineRule="auto"/>
        <w:ind w:left="0" w:leftChars="0" w:right="0" w:rightChars="0" w:firstLine="480" w:firstLineChars="200"/>
        <w:rPr>
          <w:bCs/>
          <w:color w:val="auto"/>
          <w:sz w:val="24"/>
          <w:szCs w:val="24"/>
          <w:highlight w:val="none"/>
        </w:rPr>
      </w:pPr>
      <w:r>
        <w:rPr>
          <w:bCs/>
          <w:color w:val="auto"/>
          <w:sz w:val="24"/>
          <w:szCs w:val="24"/>
          <w:highlight w:val="none"/>
        </w:rPr>
        <w:t>前河枯水期最不利水文条件，</w:t>
      </w:r>
      <w:r>
        <w:rPr>
          <w:color w:val="auto"/>
          <w:sz w:val="24"/>
          <w:highlight w:val="none"/>
        </w:rPr>
        <w:t>由上述计算结果可以看出，枯水期尾水正常排放情况下，排污口附近COD浓度值为8.48mg/L，氨氮浓度值为0.43mg/L，总磷浓度值为0.06mg/L，水质能够满足《地表水环境质量标准》（GB3838-2002）Ⅲ类标准。</w:t>
      </w:r>
    </w:p>
    <w:p>
      <w:pPr>
        <w:pageBreakBefore w:val="0"/>
        <w:kinsoku/>
        <w:wordWrap/>
        <w:topLinePunct w:val="0"/>
        <w:bidi w:val="0"/>
        <w:spacing w:line="360" w:lineRule="auto"/>
        <w:ind w:left="0" w:leftChars="0" w:right="0" w:rightChars="0" w:firstLine="482" w:firstLineChars="200"/>
        <w:rPr>
          <w:b/>
          <w:color w:val="auto"/>
          <w:sz w:val="24"/>
          <w:szCs w:val="24"/>
          <w:highlight w:val="none"/>
        </w:rPr>
      </w:pPr>
      <w:r>
        <w:rPr>
          <w:b/>
          <w:color w:val="auto"/>
          <w:sz w:val="24"/>
          <w:szCs w:val="24"/>
          <w:highlight w:val="none"/>
        </w:rPr>
        <w:t>综上所述，尾水正常排放下不会改变地表水水体水环境功能，对地表水水体影响较小。</w:t>
      </w:r>
    </w:p>
    <w:p>
      <w:pPr>
        <w:pageBreakBefore w:val="0"/>
        <w:kinsoku/>
        <w:wordWrap/>
        <w:topLinePunct w:val="0"/>
        <w:bidi w:val="0"/>
        <w:spacing w:line="360" w:lineRule="auto"/>
        <w:ind w:left="0" w:leftChars="0" w:right="0" w:rightChars="0" w:firstLine="482" w:firstLineChars="200"/>
        <w:rPr>
          <w:b/>
          <w:color w:val="auto"/>
          <w:sz w:val="24"/>
          <w:highlight w:val="none"/>
        </w:rPr>
      </w:pPr>
      <w:r>
        <w:rPr>
          <w:b/>
          <w:color w:val="auto"/>
          <w:sz w:val="24"/>
          <w:szCs w:val="24"/>
          <w:highlight w:val="none"/>
        </w:rPr>
        <w:t>②</w:t>
      </w:r>
      <w:r>
        <w:rPr>
          <w:b/>
          <w:color w:val="auto"/>
          <w:sz w:val="24"/>
          <w:highlight w:val="none"/>
        </w:rPr>
        <w:t>情景一正常排放情况下污染物核算断面预测结果汇总</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情景一正常排放情况下污染物核算断面预测结果如下表。</w:t>
      </w:r>
    </w:p>
    <w:p>
      <w:pPr>
        <w:pageBreakBefore w:val="0"/>
        <w:kinsoku/>
        <w:wordWrap/>
        <w:topLinePunct w:val="0"/>
        <w:bidi w:val="0"/>
        <w:spacing w:line="360" w:lineRule="auto"/>
        <w:ind w:left="0" w:leftChars="0" w:right="0" w:rightChars="0"/>
        <w:jc w:val="center"/>
        <w:rPr>
          <w:rFonts w:eastAsia="黑体"/>
          <w:color w:val="auto"/>
          <w:highlight w:val="none"/>
        </w:rPr>
      </w:pPr>
      <w:r>
        <w:rPr>
          <w:rFonts w:eastAsia="黑体"/>
          <w:color w:val="auto"/>
          <w:sz w:val="21"/>
          <w:highlight w:val="none"/>
        </w:rPr>
        <w:t>表</w:t>
      </w:r>
      <w:r>
        <w:rPr>
          <w:rFonts w:hint="eastAsia" w:eastAsia="黑体"/>
          <w:color w:val="auto"/>
          <w:sz w:val="21"/>
          <w:highlight w:val="none"/>
          <w:lang w:val="en-US" w:eastAsia="zh-CN"/>
        </w:rPr>
        <w:t>5-8</w:t>
      </w:r>
      <w:r>
        <w:rPr>
          <w:rFonts w:hint="eastAsia" w:eastAsia="黑体"/>
          <w:color w:val="auto"/>
          <w:highlight w:val="none"/>
        </w:rPr>
        <w:t xml:space="preserve"> </w:t>
      </w:r>
      <w:r>
        <w:rPr>
          <w:rFonts w:eastAsia="黑体"/>
          <w:color w:val="auto"/>
          <w:highlight w:val="none"/>
        </w:rPr>
        <w:t>污染物核算断面和完全混合断面预测结果（枯水期）</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871"/>
        <w:gridCol w:w="1674"/>
        <w:gridCol w:w="1534"/>
        <w:gridCol w:w="1367"/>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610"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预测因子</w:t>
            </w:r>
          </w:p>
        </w:tc>
        <w:tc>
          <w:tcPr>
            <w:tcW w:w="94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断面名称</w:t>
            </w:r>
          </w:p>
        </w:tc>
        <w:tc>
          <w:tcPr>
            <w:tcW w:w="849"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排口下游</w:t>
            </w:r>
          </w:p>
          <w:p>
            <w:pPr>
              <w:pageBreakBefore w:val="0"/>
              <w:kinsoku/>
              <w:wordWrap/>
              <w:topLinePunct w:val="0"/>
              <w:bidi w:val="0"/>
              <w:ind w:left="0" w:leftChars="0" w:right="0" w:rightChars="0"/>
              <w:jc w:val="center"/>
              <w:rPr>
                <w:b/>
                <w:bCs/>
                <w:color w:val="auto"/>
                <w:highlight w:val="none"/>
              </w:rPr>
            </w:pPr>
            <w:r>
              <w:rPr>
                <w:b/>
                <w:bCs/>
                <w:color w:val="auto"/>
                <w:highlight w:val="none"/>
              </w:rPr>
              <w:t>距离（</w:t>
            </w:r>
            <w:r>
              <w:rPr>
                <w:color w:val="auto"/>
                <w:highlight w:val="none"/>
              </w:rPr>
              <w:t>m</w:t>
            </w:r>
            <w:r>
              <w:rPr>
                <w:b/>
                <w:bCs/>
                <w:color w:val="auto"/>
                <w:highlight w:val="none"/>
              </w:rPr>
              <w:t>）</w:t>
            </w:r>
          </w:p>
        </w:tc>
        <w:tc>
          <w:tcPr>
            <w:tcW w:w="778"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预测值（mg/L）</w:t>
            </w:r>
          </w:p>
        </w:tc>
        <w:tc>
          <w:tcPr>
            <w:tcW w:w="693"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标准限值</w:t>
            </w:r>
          </w:p>
          <w:p>
            <w:pPr>
              <w:pageBreakBefore w:val="0"/>
              <w:kinsoku/>
              <w:wordWrap/>
              <w:topLinePunct w:val="0"/>
              <w:bidi w:val="0"/>
              <w:ind w:left="0" w:leftChars="0" w:right="0" w:rightChars="0"/>
              <w:jc w:val="center"/>
              <w:rPr>
                <w:b/>
                <w:bCs/>
                <w:color w:val="auto"/>
                <w:highlight w:val="none"/>
              </w:rPr>
            </w:pPr>
            <w:r>
              <w:rPr>
                <w:b/>
                <w:bCs/>
                <w:color w:val="auto"/>
                <w:highlight w:val="none"/>
              </w:rPr>
              <w:t>（mg/L）</w:t>
            </w:r>
          </w:p>
        </w:tc>
        <w:tc>
          <w:tcPr>
            <w:tcW w:w="1118" w:type="pct"/>
            <w:shd w:val="clear" w:color="auto" w:fill="auto"/>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污染物核算断面要求</w:t>
            </w:r>
          </w:p>
          <w:p>
            <w:pPr>
              <w:pageBreakBefore w:val="0"/>
              <w:kinsoku/>
              <w:wordWrap/>
              <w:topLinePunct w:val="0"/>
              <w:bidi w:val="0"/>
              <w:ind w:left="0" w:leftChars="0" w:right="0" w:rightChars="0"/>
              <w:jc w:val="center"/>
              <w:rPr>
                <w:b/>
                <w:bCs/>
                <w:color w:val="auto"/>
                <w:highlight w:val="none"/>
              </w:rPr>
            </w:pPr>
            <w:r>
              <w:rPr>
                <w:b/>
                <w:bCs/>
                <w:color w:val="auto"/>
                <w:highlight w:val="none"/>
              </w:rPr>
              <w:t>的10%安全余量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COD</w:t>
            </w:r>
            <w:r>
              <w:rPr>
                <w:color w:val="auto"/>
                <w:highlight w:val="none"/>
                <w:vertAlign w:val="subscript"/>
              </w:rPr>
              <w:t>cr</w:t>
            </w:r>
          </w:p>
        </w:tc>
        <w:tc>
          <w:tcPr>
            <w:tcW w:w="94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污染物核算断面</w:t>
            </w:r>
          </w:p>
        </w:tc>
        <w:tc>
          <w:tcPr>
            <w:tcW w:w="84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2000</w:t>
            </w:r>
          </w:p>
        </w:tc>
        <w:tc>
          <w:tcPr>
            <w:tcW w:w="778" w:type="pct"/>
            <w:shd w:val="clear" w:color="auto" w:fill="auto"/>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8.22</w:t>
            </w:r>
          </w:p>
        </w:tc>
        <w:tc>
          <w:tcPr>
            <w:tcW w:w="693"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20</w:t>
            </w:r>
          </w:p>
        </w:tc>
        <w:tc>
          <w:tcPr>
            <w:tcW w:w="1118"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氨氮</w:t>
            </w:r>
          </w:p>
        </w:tc>
        <w:tc>
          <w:tcPr>
            <w:tcW w:w="94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污染物核算断面</w:t>
            </w:r>
          </w:p>
        </w:tc>
        <w:tc>
          <w:tcPr>
            <w:tcW w:w="84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2000</w:t>
            </w:r>
          </w:p>
        </w:tc>
        <w:tc>
          <w:tcPr>
            <w:tcW w:w="778" w:type="pct"/>
            <w:shd w:val="clear" w:color="auto" w:fill="auto"/>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0.41</w:t>
            </w:r>
          </w:p>
        </w:tc>
        <w:tc>
          <w:tcPr>
            <w:tcW w:w="693"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1.0</w:t>
            </w:r>
          </w:p>
        </w:tc>
        <w:tc>
          <w:tcPr>
            <w:tcW w:w="1118"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0"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TP</w:t>
            </w:r>
          </w:p>
        </w:tc>
        <w:tc>
          <w:tcPr>
            <w:tcW w:w="94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污染物核算断面</w:t>
            </w:r>
          </w:p>
        </w:tc>
        <w:tc>
          <w:tcPr>
            <w:tcW w:w="849"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2000</w:t>
            </w:r>
          </w:p>
        </w:tc>
        <w:tc>
          <w:tcPr>
            <w:tcW w:w="778" w:type="pct"/>
            <w:shd w:val="clear" w:color="auto" w:fill="auto"/>
            <w:vAlign w:val="center"/>
          </w:tcPr>
          <w:p>
            <w:pPr>
              <w:pageBreakBefore w:val="0"/>
              <w:kinsoku/>
              <w:wordWrap/>
              <w:topLinePunct w:val="0"/>
              <w:bidi w:val="0"/>
              <w:ind w:left="0" w:leftChars="0" w:right="0" w:rightChars="0"/>
              <w:jc w:val="center"/>
              <w:rPr>
                <w:bCs/>
                <w:color w:val="auto"/>
                <w:highlight w:val="none"/>
              </w:rPr>
            </w:pPr>
            <w:r>
              <w:rPr>
                <w:bCs/>
                <w:color w:val="auto"/>
                <w:highlight w:val="none"/>
              </w:rPr>
              <w:t>0.06</w:t>
            </w:r>
          </w:p>
        </w:tc>
        <w:tc>
          <w:tcPr>
            <w:tcW w:w="693"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0.2</w:t>
            </w:r>
          </w:p>
        </w:tc>
        <w:tc>
          <w:tcPr>
            <w:tcW w:w="1118" w:type="pct"/>
            <w:shd w:val="clear" w:color="auto" w:fill="auto"/>
            <w:vAlign w:val="center"/>
          </w:tcPr>
          <w:p>
            <w:pPr>
              <w:pageBreakBefore w:val="0"/>
              <w:kinsoku/>
              <w:wordWrap/>
              <w:topLinePunct w:val="0"/>
              <w:bidi w:val="0"/>
              <w:ind w:left="0" w:leftChars="0" w:right="0" w:rightChars="0"/>
              <w:jc w:val="center"/>
              <w:rPr>
                <w:color w:val="auto"/>
                <w:highlight w:val="none"/>
              </w:rPr>
            </w:pPr>
            <w:r>
              <w:rPr>
                <w:color w:val="auto"/>
                <w:highlight w:val="none"/>
              </w:rPr>
              <w:t>0.02mg/L</w:t>
            </w:r>
          </w:p>
        </w:tc>
      </w:tr>
    </w:tbl>
    <w:p>
      <w:pPr>
        <w:pStyle w:val="66"/>
        <w:pageBreakBefore w:val="0"/>
        <w:kinsoku/>
        <w:wordWrap/>
        <w:topLinePunct w:val="0"/>
        <w:bidi w:val="0"/>
        <w:ind w:left="0" w:leftChars="0" w:right="0" w:rightChars="0" w:firstLine="480"/>
        <w:rPr>
          <w:rFonts w:ascii="Times New Roman" w:hAnsi="Times New Roman"/>
          <w:bCs/>
          <w:color w:val="auto"/>
          <w:szCs w:val="24"/>
          <w:highlight w:val="none"/>
        </w:rPr>
      </w:pPr>
      <w:r>
        <w:rPr>
          <w:rFonts w:ascii="Times New Roman" w:hAnsi="Times New Roman"/>
          <w:bCs/>
          <w:color w:val="auto"/>
          <w:szCs w:val="24"/>
          <w:highlight w:val="none"/>
        </w:rPr>
        <w:t>根据《环境影响评价技术导则地表水环境》（HJ2.3-2018）中“8.3污染源排放量核算”的要求进行污染源排放量核算。因为外环境水体前河为Ⅲ类水体，所以污染源排放量核算过程中，排放口下游2km的核算断面，需要预留10%的安全余量。也就是说模型的预测结果和环境标准相比，CODcr如果能预留出标准值要求的10%的安全余量值2mg/L，就可接受；氨氮如果能预留出标准值要求的10%的安全余量值0.1mg/L，就可接受；TP如果能预留出标准值要求的10%的安全余量值0.02mg/L，就可接受。</w:t>
      </w:r>
    </w:p>
    <w:p>
      <w:pPr>
        <w:pageBreakBefore w:val="0"/>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由上表可知：CODcr的2km预测结果为8.22mg/L＜18mg/L，满足安全余量要求，所以CODcr污染源即为核算的污染源排放量；氨氮的2km预测结果为0.41mg/L＜0.9mg/L，满足安全余量要求，所以氨氮污染源即为核算的污染源排放量；总磷的2km预测结果为0.06mg/L＜0.18mg/L，满足安全余量要求，所以总磷污染源即为核算的污染源排放量。</w:t>
      </w:r>
    </w:p>
    <w:p>
      <w:pPr>
        <w:pStyle w:val="66"/>
        <w:pageBreakBefore w:val="0"/>
        <w:kinsoku/>
        <w:wordWrap/>
        <w:topLinePunct w:val="0"/>
        <w:bidi w:val="0"/>
        <w:ind w:left="0" w:leftChars="0" w:right="0" w:rightChars="0" w:firstLine="480"/>
        <w:rPr>
          <w:rFonts w:ascii="Times New Roman" w:hAnsi="Times New Roman"/>
          <w:bCs/>
          <w:color w:val="auto"/>
          <w:szCs w:val="24"/>
          <w:highlight w:val="none"/>
        </w:rPr>
      </w:pPr>
      <w:r>
        <w:rPr>
          <w:rFonts w:ascii="Times New Roman" w:hAnsi="Times New Roman"/>
          <w:bCs/>
          <w:color w:val="auto"/>
          <w:szCs w:val="24"/>
          <w:highlight w:val="none"/>
        </w:rPr>
        <w:t>由上表的计算结果可知，预测因子CODcr、氨氮和TP经混合后浓度均低于《地表水环境质量标准》（GB3838-2002）中的Ⅲ类水域标准限值，可知本项目地表水环境影响可接受。</w:t>
      </w:r>
    </w:p>
    <w:p>
      <w:pPr>
        <w:pStyle w:val="66"/>
        <w:pageBreakBefore w:val="0"/>
        <w:kinsoku/>
        <w:wordWrap/>
        <w:topLinePunct w:val="0"/>
        <w:bidi w:val="0"/>
        <w:ind w:left="0" w:leftChars="0" w:right="0" w:rightChars="0" w:firstLine="480"/>
        <w:rPr>
          <w:rFonts w:ascii="Times New Roman" w:hAnsi="Times New Roman"/>
          <w:bCs/>
          <w:color w:val="auto"/>
          <w:szCs w:val="24"/>
          <w:highlight w:val="none"/>
        </w:rPr>
      </w:pPr>
      <w:r>
        <w:rPr>
          <w:rFonts w:ascii="Times New Roman" w:hAnsi="Times New Roman"/>
          <w:bCs/>
          <w:color w:val="auto"/>
          <w:szCs w:val="24"/>
          <w:highlight w:val="none"/>
        </w:rPr>
        <w:t>经现场调查及核查资料，本项目污水处理厂排口下游10km无地表水集中式饮用水源取水点，故项目尾水排放不会威胁当地饮用水安全。</w:t>
      </w:r>
    </w:p>
    <w:p>
      <w:pPr>
        <w:pStyle w:val="66"/>
        <w:pageBreakBefore w:val="0"/>
        <w:kinsoku/>
        <w:wordWrap/>
        <w:topLinePunct w:val="0"/>
        <w:bidi w:val="0"/>
        <w:ind w:left="0" w:leftChars="0" w:right="0" w:rightChars="0" w:firstLine="480"/>
        <w:rPr>
          <w:rFonts w:ascii="Times New Roman" w:hAnsi="Times New Roman"/>
          <w:b/>
          <w:bCs w:val="0"/>
          <w:color w:val="auto"/>
          <w:szCs w:val="24"/>
          <w:highlight w:val="none"/>
        </w:rPr>
      </w:pPr>
      <w:r>
        <w:rPr>
          <w:rFonts w:ascii="Times New Roman" w:hAnsi="Times New Roman"/>
          <w:b/>
          <w:bCs w:val="0"/>
          <w:color w:val="auto"/>
          <w:szCs w:val="24"/>
          <w:highlight w:val="none"/>
        </w:rPr>
        <w:t>2）情景二状态下后果分析（本项目事故性排放）</w:t>
      </w:r>
    </w:p>
    <w:p>
      <w:pPr>
        <w:pStyle w:val="66"/>
        <w:pageBreakBefore w:val="0"/>
        <w:kinsoku/>
        <w:wordWrap/>
        <w:topLinePunct w:val="0"/>
        <w:bidi w:val="0"/>
        <w:ind w:left="0" w:leftChars="0" w:right="0" w:rightChars="0" w:firstLine="480"/>
        <w:rPr>
          <w:rFonts w:ascii="Times New Roman" w:hAnsi="Times New Roman"/>
          <w:bCs/>
          <w:color w:val="auto"/>
          <w:szCs w:val="24"/>
          <w:highlight w:val="none"/>
        </w:rPr>
      </w:pPr>
      <w:r>
        <w:rPr>
          <w:rFonts w:ascii="Times New Roman" w:hAnsi="Times New Roman"/>
          <w:bCs/>
          <w:color w:val="auto"/>
          <w:szCs w:val="24"/>
          <w:highlight w:val="none"/>
        </w:rPr>
        <w:t>预测情景二是考虑本项目事故性排放，预测枯水期项目事故排放对前河水质的污染程度。</w:t>
      </w:r>
    </w:p>
    <w:p>
      <w:pPr>
        <w:pStyle w:val="66"/>
        <w:pageBreakBefore w:val="0"/>
        <w:kinsoku/>
        <w:wordWrap/>
        <w:topLinePunct w:val="0"/>
        <w:bidi w:val="0"/>
        <w:ind w:left="0" w:leftChars="0" w:right="0" w:rightChars="0" w:firstLine="0" w:firstLineChars="0"/>
        <w:jc w:val="center"/>
        <w:rPr>
          <w:rFonts w:ascii="Times New Roman" w:hAnsi="Times New Roman" w:eastAsia="黑体"/>
          <w:color w:val="auto"/>
          <w:sz w:val="21"/>
          <w:szCs w:val="21"/>
          <w:highlight w:val="none"/>
        </w:rPr>
      </w:pPr>
      <w:r>
        <w:rPr>
          <w:rFonts w:ascii="Times New Roman" w:hAnsi="Times New Roman" w:eastAsia="黑体"/>
          <w:color w:val="auto"/>
          <w:sz w:val="21"/>
          <w:szCs w:val="21"/>
          <w:highlight w:val="none"/>
        </w:rPr>
        <w:t>表</w:t>
      </w:r>
      <w:r>
        <w:rPr>
          <w:rFonts w:hint="eastAsia" w:ascii="Times New Roman" w:hAnsi="Times New Roman" w:eastAsia="黑体"/>
          <w:color w:val="auto"/>
          <w:sz w:val="21"/>
          <w:szCs w:val="21"/>
          <w:highlight w:val="none"/>
          <w:lang w:val="en-US" w:eastAsia="zh-CN"/>
        </w:rPr>
        <w:t>5-9</w:t>
      </w:r>
      <w:r>
        <w:rPr>
          <w:rFonts w:hint="eastAsia" w:ascii="Times New Roman" w:hAnsi="Times New Roman" w:eastAsia="黑体"/>
          <w:color w:val="auto"/>
          <w:sz w:val="21"/>
          <w:szCs w:val="21"/>
          <w:highlight w:val="none"/>
        </w:rPr>
        <w:t xml:space="preserve"> </w:t>
      </w:r>
      <w:r>
        <w:rPr>
          <w:rFonts w:ascii="Times New Roman" w:hAnsi="Times New Roman" w:eastAsia="黑体"/>
          <w:color w:val="auto"/>
          <w:sz w:val="21"/>
          <w:szCs w:val="21"/>
          <w:highlight w:val="none"/>
        </w:rPr>
        <w:t>尾水事故排放排入前河后COD</w:t>
      </w:r>
      <w:r>
        <w:rPr>
          <w:rFonts w:ascii="Times New Roman" w:hAnsi="Times New Roman" w:eastAsia="黑体"/>
          <w:color w:val="auto"/>
          <w:sz w:val="21"/>
          <w:szCs w:val="21"/>
          <w:highlight w:val="none"/>
          <w:vertAlign w:val="subscript"/>
        </w:rPr>
        <w:t>Cr</w:t>
      </w:r>
      <w:r>
        <w:rPr>
          <w:rFonts w:ascii="Times New Roman" w:hAnsi="Times New Roman"/>
          <w:bCs/>
          <w:color w:val="auto"/>
          <w:szCs w:val="24"/>
          <w:highlight w:val="none"/>
        </w:rPr>
        <w:t>、</w:t>
      </w:r>
      <w:r>
        <w:rPr>
          <w:rFonts w:ascii="Times New Roman" w:hAnsi="Times New Roman" w:eastAsia="黑体"/>
          <w:color w:val="auto"/>
          <w:sz w:val="21"/>
          <w:szCs w:val="21"/>
          <w:highlight w:val="none"/>
        </w:rPr>
        <w:t>NH</w:t>
      </w:r>
      <w:r>
        <w:rPr>
          <w:rFonts w:ascii="Times New Roman" w:hAnsi="Times New Roman" w:eastAsia="黑体"/>
          <w:color w:val="auto"/>
          <w:sz w:val="21"/>
          <w:szCs w:val="21"/>
          <w:highlight w:val="none"/>
          <w:vertAlign w:val="subscript"/>
        </w:rPr>
        <w:t>3</w:t>
      </w:r>
      <w:r>
        <w:rPr>
          <w:rFonts w:ascii="Times New Roman" w:hAnsi="Times New Roman" w:eastAsia="黑体"/>
          <w:color w:val="auto"/>
          <w:sz w:val="21"/>
          <w:szCs w:val="21"/>
          <w:highlight w:val="none"/>
        </w:rPr>
        <w:t>-N、TP浓度预测</w:t>
      </w:r>
      <w:r>
        <w:rPr>
          <w:rFonts w:hint="eastAsia" w:ascii="Times New Roman" w:hAnsi="Times New Roman" w:eastAsia="黑体"/>
          <w:color w:val="auto"/>
          <w:sz w:val="21"/>
          <w:szCs w:val="21"/>
          <w:highlight w:val="none"/>
          <w:lang w:val="en-US" w:eastAsia="zh-CN"/>
        </w:rPr>
        <w:t xml:space="preserve">  </w:t>
      </w:r>
      <w:r>
        <w:rPr>
          <w:rFonts w:ascii="Times New Roman" w:hAnsi="Times New Roman" w:eastAsia="黑体"/>
          <w:color w:val="auto"/>
          <w:sz w:val="21"/>
          <w:szCs w:val="21"/>
          <w:highlight w:val="none"/>
        </w:rPr>
        <w:t>单位：mg/L</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2557"/>
        <w:gridCol w:w="2557"/>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rPr>
                <w:b/>
                <w:color w:val="auto"/>
                <w:kern w:val="0"/>
                <w:highlight w:val="none"/>
              </w:rPr>
            </w:pPr>
            <w:r>
              <w:rPr>
                <w:b/>
                <w:color w:val="auto"/>
                <w:kern w:val="0"/>
                <w:highlight w:val="none"/>
              </w:rPr>
              <w:t>X（m）</w:t>
            </w:r>
          </w:p>
        </w:tc>
        <w:tc>
          <w:tcPr>
            <w:tcW w:w="1325" w:type="pct"/>
            <w:shd w:val="clear" w:color="auto" w:fill="auto"/>
            <w:tcMar>
              <w:left w:w="0" w:type="dxa"/>
              <w:right w:w="0" w:type="dxa"/>
            </w:tcMar>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w:t>
            </w:r>
            <w:r>
              <w:rPr>
                <w:rFonts w:eastAsia="黑体"/>
                <w:b/>
                <w:bCs/>
                <w:color w:val="auto"/>
                <w:highlight w:val="none"/>
              </w:rPr>
              <w:t>COD</w:t>
            </w:r>
            <w:r>
              <w:rPr>
                <w:rFonts w:eastAsia="黑体"/>
                <w:b/>
                <w:bCs/>
                <w:color w:val="auto"/>
                <w:highlight w:val="none"/>
                <w:vertAlign w:val="subscript"/>
              </w:rPr>
              <w:t>Cr</w:t>
            </w:r>
            <w:r>
              <w:rPr>
                <w:b/>
                <w:bCs/>
                <w:color w:val="auto"/>
                <w:highlight w:val="none"/>
              </w:rPr>
              <w:t>）</w:t>
            </w:r>
          </w:p>
        </w:tc>
        <w:tc>
          <w:tcPr>
            <w:tcW w:w="1325" w:type="pct"/>
            <w:shd w:val="clear" w:color="auto" w:fill="auto"/>
            <w:tcMar>
              <w:left w:w="0" w:type="dxa"/>
              <w:right w:w="0" w:type="dxa"/>
            </w:tcMar>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w:t>
            </w:r>
            <w:r>
              <w:rPr>
                <w:rFonts w:eastAsia="黑体"/>
                <w:b/>
                <w:bCs/>
                <w:color w:val="auto"/>
                <w:highlight w:val="none"/>
              </w:rPr>
              <w:t>NH</w:t>
            </w:r>
            <w:r>
              <w:rPr>
                <w:rFonts w:eastAsia="黑体"/>
                <w:b/>
                <w:bCs/>
                <w:color w:val="auto"/>
                <w:highlight w:val="none"/>
                <w:vertAlign w:val="subscript"/>
              </w:rPr>
              <w:t>3</w:t>
            </w:r>
            <w:r>
              <w:rPr>
                <w:rFonts w:eastAsia="黑体"/>
                <w:b/>
                <w:bCs/>
                <w:color w:val="auto"/>
                <w:highlight w:val="none"/>
              </w:rPr>
              <w:t>-N</w:t>
            </w:r>
            <w:r>
              <w:rPr>
                <w:b/>
                <w:bCs/>
                <w:color w:val="auto"/>
                <w:highlight w:val="none"/>
              </w:rPr>
              <w:t>）</w:t>
            </w:r>
          </w:p>
        </w:tc>
        <w:tc>
          <w:tcPr>
            <w:tcW w:w="1326" w:type="pct"/>
            <w:shd w:val="clear" w:color="auto" w:fill="auto"/>
            <w:tcMar>
              <w:left w:w="0" w:type="dxa"/>
              <w:right w:w="0" w:type="dxa"/>
            </w:tcMar>
            <w:vAlign w:val="center"/>
          </w:tcPr>
          <w:p>
            <w:pPr>
              <w:pageBreakBefore w:val="0"/>
              <w:kinsoku/>
              <w:wordWrap/>
              <w:topLinePunct w:val="0"/>
              <w:bidi w:val="0"/>
              <w:ind w:left="0" w:leftChars="0" w:right="0" w:rightChars="0"/>
              <w:jc w:val="center"/>
              <w:rPr>
                <w:b/>
                <w:bCs/>
                <w:color w:val="auto"/>
                <w:highlight w:val="none"/>
              </w:rPr>
            </w:pPr>
            <w:r>
              <w:rPr>
                <w:b/>
                <w:bCs/>
                <w:color w:val="auto"/>
                <w:highlight w:val="none"/>
              </w:rPr>
              <w:t>C（</w:t>
            </w:r>
            <w:r>
              <w:rPr>
                <w:rFonts w:eastAsia="黑体"/>
                <w:b/>
                <w:bCs/>
                <w:color w:val="auto"/>
                <w:highlight w:val="none"/>
              </w:rPr>
              <w:t>TP</w:t>
            </w:r>
            <w:r>
              <w:rPr>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16.37</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1.46</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16.34</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1.46</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16.32</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1.45</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300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16.29</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1.45</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500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16.24</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1.45</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16.12</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15.87</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3000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 xml:space="preserve">15.63 </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1.38</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color w:val="auto"/>
                <w:kern w:val="0"/>
                <w:sz w:val="22"/>
                <w:szCs w:val="22"/>
                <w:highlight w:val="none"/>
                <w:lang w:bidi="ar"/>
              </w:rPr>
              <w:t>5000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color w:val="auto"/>
                <w:kern w:val="0"/>
                <w:sz w:val="22"/>
                <w:szCs w:val="22"/>
                <w:highlight w:val="none"/>
                <w:lang w:bidi="ar"/>
              </w:rPr>
              <w:t>15.15</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color w:val="auto"/>
                <w:kern w:val="0"/>
                <w:sz w:val="22"/>
                <w:szCs w:val="22"/>
                <w:highlight w:val="none"/>
                <w:lang w:bidi="ar"/>
              </w:rPr>
              <w:t>1.33</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color w:val="auto"/>
                <w:kern w:val="0"/>
                <w:sz w:val="22"/>
                <w:szCs w:val="22"/>
                <w:highlight w:val="none"/>
                <w:lang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14.03</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1.20</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15000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12.99</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1.09</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20000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12.02</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 xml:space="preserve">0.99 </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27000</w:t>
            </w:r>
          </w:p>
        </w:tc>
        <w:tc>
          <w:tcPr>
            <w:tcW w:w="1325" w:type="pct"/>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10.79</w:t>
            </w:r>
          </w:p>
        </w:tc>
        <w:tc>
          <w:tcPr>
            <w:tcW w:w="2552"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 xml:space="preserve">0.87 </w:t>
            </w:r>
          </w:p>
        </w:tc>
        <w:tc>
          <w:tcPr>
            <w:tcW w:w="2553" w:type="dxa"/>
            <w:shd w:val="clear" w:color="auto" w:fill="auto"/>
            <w:tcMar>
              <w:left w:w="0" w:type="dxa"/>
              <w:right w:w="0"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sz w:val="22"/>
                <w:szCs w:val="22"/>
                <w:highlight w:val="none"/>
                <w:lang w:bidi="ar"/>
              </w:rPr>
              <w:t>0.15</w:t>
            </w:r>
          </w:p>
        </w:tc>
      </w:tr>
    </w:tbl>
    <w:p>
      <w:pPr>
        <w:pageBreakBefore w:val="0"/>
        <w:kinsoku/>
        <w:wordWrap/>
        <w:topLinePunct w:val="0"/>
        <w:bidi w:val="0"/>
        <w:spacing w:line="360" w:lineRule="auto"/>
        <w:ind w:left="0" w:leftChars="0" w:right="0" w:rightChars="0" w:firstLine="480" w:firstLineChars="200"/>
        <w:rPr>
          <w:b/>
          <w:color w:val="auto"/>
          <w:sz w:val="24"/>
          <w:szCs w:val="24"/>
          <w:highlight w:val="none"/>
        </w:rPr>
      </w:pPr>
      <w:r>
        <w:rPr>
          <w:bCs/>
          <w:color w:val="auto"/>
          <w:sz w:val="24"/>
          <w:szCs w:val="24"/>
          <w:highlight w:val="none"/>
        </w:rPr>
        <w:t>前河枯水期最不利水文条件，</w:t>
      </w:r>
      <w:r>
        <w:rPr>
          <w:color w:val="auto"/>
          <w:sz w:val="24"/>
          <w:highlight w:val="none"/>
        </w:rPr>
        <w:t>由上述计算结果可以看出，枯水期尾水非正常排放情况下，排污口附近COD浓度值为16.37mg/L，氨氮浓度值为1.46mg/L，总磷浓度值为0.19mg/L，COD、总磷水质能够满足《地表水环境质量标准》（GB3838-2002）Ⅲ类标准，氨氮超标1.46倍，形成污染带长度约19400m。</w:t>
      </w:r>
      <w:r>
        <w:rPr>
          <w:b/>
          <w:color w:val="auto"/>
          <w:sz w:val="24"/>
          <w:szCs w:val="24"/>
          <w:highlight w:val="none"/>
        </w:rPr>
        <w:t>由此可看出，前河最枯月平均流量时，非正常排放情况下，对前河水体环境将造成显著污染影响。</w:t>
      </w: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bidi w:val="0"/>
        <w:spacing w:line="360" w:lineRule="auto"/>
        <w:ind w:left="0" w:leftChars="0" w:right="0"/>
        <w:outlineLvl w:val="0"/>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lang w:val="en-US" w:eastAsia="zh-CN"/>
        </w:rPr>
        <w:t>6</w:t>
      </w:r>
      <w:r>
        <w:rPr>
          <w:rFonts w:hint="default" w:ascii="Times New Roman" w:hAnsi="Times New Roman" w:cs="Times New Roman"/>
          <w:b/>
          <w:bCs/>
          <w:color w:val="auto"/>
          <w:sz w:val="30"/>
          <w:szCs w:val="30"/>
          <w:highlight w:val="none"/>
        </w:rPr>
        <w:t xml:space="preserve"> </w:t>
      </w:r>
      <w:r>
        <w:rPr>
          <w:rFonts w:hint="default" w:ascii="Times New Roman" w:hAnsi="Times New Roman" w:eastAsia="宋体" w:cs="Times New Roman"/>
          <w:b/>
          <w:bCs/>
          <w:color w:val="auto"/>
          <w:sz w:val="30"/>
          <w:szCs w:val="30"/>
          <w:highlight w:val="none"/>
          <w:lang w:val="en-US" w:eastAsia="zh-CN"/>
        </w:rPr>
        <w:t>地表水环境影响评价</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6</w:t>
      </w:r>
      <w:r>
        <w:rPr>
          <w:rFonts w:hint="default" w:ascii="Times New Roman" w:hAnsi="Times New Roman" w:cs="Times New Roman"/>
          <w:b/>
          <w:bCs/>
          <w:color w:val="auto"/>
          <w:sz w:val="28"/>
          <w:szCs w:val="28"/>
          <w:highlight w:val="none"/>
        </w:rPr>
        <w:t xml:space="preserve">.1 </w:t>
      </w:r>
      <w:r>
        <w:rPr>
          <w:rFonts w:hint="default" w:ascii="Times New Roman" w:hAnsi="Times New Roman" w:cs="Times New Roman"/>
          <w:b/>
          <w:bCs/>
          <w:color w:val="auto"/>
          <w:sz w:val="28"/>
          <w:szCs w:val="28"/>
          <w:highlight w:val="none"/>
          <w:lang w:val="en-US" w:eastAsia="zh-CN"/>
        </w:rPr>
        <w:t>措施有效性评价</w:t>
      </w:r>
    </w:p>
    <w:p>
      <w:pPr>
        <w:pStyle w:val="34"/>
        <w:pageBreakBefore w:val="0"/>
        <w:kinsoku/>
        <w:wordWrap/>
        <w:topLinePunct w:val="0"/>
        <w:bidi w:val="0"/>
        <w:spacing w:line="360" w:lineRule="auto"/>
        <w:ind w:left="0" w:leftChars="0" w:right="0" w:rightChars="0" w:firstLine="480" w:firstLineChars="200"/>
        <w:jc w:val="both"/>
        <w:outlineLvl w:val="9"/>
        <w:rPr>
          <w:rFonts w:hint="default" w:cs="Times New Roman"/>
          <w:b w:val="0"/>
          <w:color w:val="auto"/>
          <w:kern w:val="2"/>
          <w:sz w:val="24"/>
          <w:szCs w:val="24"/>
          <w:highlight w:val="none"/>
          <w:lang w:val="en-US" w:eastAsia="zh-CN" w:bidi="ar"/>
        </w:rPr>
      </w:pPr>
      <w:r>
        <w:rPr>
          <w:rFonts w:hint="eastAsia" w:cs="Times New Roman"/>
          <w:b w:val="0"/>
          <w:color w:val="auto"/>
          <w:kern w:val="2"/>
          <w:sz w:val="24"/>
          <w:szCs w:val="24"/>
          <w:highlight w:val="none"/>
          <w:lang w:val="en-US" w:eastAsia="zh-CN" w:bidi="ar"/>
        </w:rPr>
        <w:t>项目废污水经“粗格栅及提升泵房+细格栅及旋流沉砂池+厌氧池+氧化沟+二沉池+絮凝池+转鼓滤池+紫外线消毒渠”或“粗格栅及提升泵房+细格栅及旋流沉砂池+MBBR+二沉池+絮凝池+转鼓滤池+紫外线消毒渠”，处理工艺处理后，各处理单元预期处理效果见下表。</w:t>
      </w:r>
    </w:p>
    <w:p>
      <w:pPr>
        <w:pageBreakBefore w:val="0"/>
        <w:kinsoku/>
        <w:wordWrap/>
        <w:bidi w:val="0"/>
        <w:adjustRightInd w:val="0"/>
        <w:snapToGrid w:val="0"/>
        <w:spacing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eastAsia="黑体" w:cs="Times New Roman"/>
          <w:color w:val="auto"/>
          <w:highlight w:val="none"/>
        </w:rPr>
        <w:t>表</w:t>
      </w:r>
      <w:r>
        <w:rPr>
          <w:rFonts w:hint="eastAsia" w:ascii="Times New Roman" w:hAnsi="Times New Roman" w:eastAsia="黑体" w:cs="Times New Roman"/>
          <w:color w:val="auto"/>
          <w:highlight w:val="none"/>
          <w:lang w:val="en-US" w:eastAsia="zh-CN"/>
        </w:rPr>
        <w:t>6-1</w:t>
      </w:r>
      <w:r>
        <w:rPr>
          <w:rFonts w:hint="default" w:ascii="Times New Roman" w:hAnsi="Times New Roman" w:eastAsia="黑体" w:cs="Times New Roman"/>
          <w:color w:val="auto"/>
          <w:highlight w:val="none"/>
        </w:rPr>
        <w:t xml:space="preserve"> 各处理单元预期处理效果一览表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5"/>
        <w:gridCol w:w="1035"/>
        <w:gridCol w:w="1212"/>
        <w:gridCol w:w="1212"/>
        <w:gridCol w:w="1212"/>
        <w:gridCol w:w="1212"/>
        <w:gridCol w:w="1212"/>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6" w:type="pct"/>
            <w:gridSpan w:val="2"/>
            <w:vMerge w:val="restart"/>
            <w:tcBorders>
              <w:tl2br w:val="single" w:color="auto" w:sz="4" w:space="0"/>
            </w:tcBorders>
            <w:tcMar>
              <w:top w:w="15" w:type="dxa"/>
              <w:left w:w="15" w:type="dxa"/>
              <w:right w:w="15" w:type="dxa"/>
            </w:tcMar>
            <w:vAlign w:val="center"/>
          </w:tcPr>
          <w:p>
            <w:pPr>
              <w:pageBreakBefore w:val="0"/>
              <w:widowControl/>
              <w:kinsoku/>
              <w:wordWrap/>
              <w:bidi w:val="0"/>
              <w:ind w:left="0" w:leftChars="0" w:right="0"/>
              <w:jc w:val="right"/>
              <w:textAlignment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水质指标及水质</w:t>
            </w:r>
          </w:p>
          <w:p>
            <w:pPr>
              <w:pageBreakBefore w:val="0"/>
              <w:widowControl/>
              <w:kinsoku/>
              <w:wordWrap/>
              <w:bidi w:val="0"/>
              <w:ind w:left="0" w:leftChars="0" w:right="0"/>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b/>
                <w:bCs/>
                <w:color w:val="auto"/>
                <w:szCs w:val="21"/>
                <w:highlight w:val="none"/>
              </w:rPr>
              <w:t>主要工艺单元</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COD</w:t>
            </w:r>
            <w:r>
              <w:rPr>
                <w:rFonts w:hint="default" w:ascii="Times New Roman" w:hAnsi="Times New Roman" w:cs="Times New Roman"/>
                <w:b/>
                <w:color w:val="auto"/>
                <w:kern w:val="0"/>
                <w:szCs w:val="21"/>
                <w:highlight w:val="none"/>
                <w:vertAlign w:val="subscript"/>
              </w:rPr>
              <w:t>Cr</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BOD</w:t>
            </w:r>
            <w:r>
              <w:rPr>
                <w:rFonts w:hint="default" w:ascii="Times New Roman" w:hAnsi="Times New Roman" w:cs="Times New Roman"/>
                <w:b/>
                <w:color w:val="auto"/>
                <w:kern w:val="0"/>
                <w:szCs w:val="21"/>
                <w:highlight w:val="none"/>
                <w:vertAlign w:val="subscript"/>
              </w:rPr>
              <w:t>5</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SS</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NH</w:t>
            </w:r>
            <w:r>
              <w:rPr>
                <w:rFonts w:hint="default" w:ascii="Times New Roman" w:hAnsi="Times New Roman" w:cs="Times New Roman"/>
                <w:b/>
                <w:color w:val="auto"/>
                <w:kern w:val="0"/>
                <w:szCs w:val="21"/>
                <w:highlight w:val="none"/>
                <w:vertAlign w:val="subscript"/>
              </w:rPr>
              <w:t>3</w:t>
            </w:r>
            <w:r>
              <w:rPr>
                <w:rFonts w:hint="default" w:ascii="Times New Roman" w:hAnsi="Times New Roman" w:cs="Times New Roman"/>
                <w:b/>
                <w:color w:val="auto"/>
                <w:kern w:val="0"/>
                <w:szCs w:val="21"/>
                <w:highlight w:val="none"/>
              </w:rPr>
              <w:t>-N</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TN</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6" w:type="pct"/>
            <w:gridSpan w:val="2"/>
            <w:vMerge w:val="continue"/>
            <w:tcBorders>
              <w:tl2br w:val="single" w:color="auto" w:sz="4" w:space="0"/>
            </w:tcBorders>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bidi="ar"/>
              </w:rPr>
              <w:t>280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bidi="ar"/>
              </w:rPr>
              <w:t>140~150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bidi="ar"/>
              </w:rPr>
              <w:t>200~220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bidi="ar"/>
              </w:rPr>
              <w:t>30~35</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bidi="ar"/>
              </w:rPr>
              <w:t>35</w:t>
            </w:r>
            <w:r>
              <w:rPr>
                <w:rFonts w:hint="eastAsia" w:ascii="Times New Roman" w:hAnsi="Times New Roman" w:cs="Times New Roman"/>
                <w:color w:val="auto"/>
                <w:kern w:val="0"/>
                <w:szCs w:val="21"/>
                <w:highlight w:val="none"/>
                <w:lang w:val="en-US" w:eastAsia="zh-CN" w:bidi="ar"/>
              </w:rPr>
              <w:t>~40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bidi="ar"/>
              </w:rPr>
              <w:t>3.5~</w:t>
            </w:r>
            <w:r>
              <w:rPr>
                <w:rFonts w:hint="default" w:ascii="Times New Roman" w:hAnsi="Times New Roman" w:cs="Times New Roman"/>
                <w:color w:val="auto"/>
                <w:kern w:val="0"/>
                <w:szCs w:val="21"/>
                <w:highlight w:val="none"/>
                <w:lang w:bidi="ar"/>
              </w:rPr>
              <w:t>4</w:t>
            </w:r>
            <w:r>
              <w:rPr>
                <w:rFonts w:hint="eastAsia" w:ascii="Times New Roman" w:hAnsi="Times New Roman" w:cs="Times New Roman"/>
                <w:color w:val="auto"/>
                <w:kern w:val="0"/>
                <w:szCs w:val="21"/>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vMerge w:val="restar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预处理单元</w:t>
            </w:r>
          </w:p>
        </w:tc>
        <w:tc>
          <w:tcPr>
            <w:tcW w:w="535"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去除率</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等线" w:cs="Times New Roman"/>
                <w:color w:val="auto"/>
                <w:szCs w:val="21"/>
                <w:highlight w:val="none"/>
              </w:rPr>
            </w:pPr>
            <w:r>
              <w:rPr>
                <w:rFonts w:hint="default" w:ascii="Times New Roman" w:hAnsi="Times New Roman" w:eastAsia="等线" w:cs="Times New Roman"/>
                <w:color w:val="auto"/>
                <w:szCs w:val="21"/>
                <w:highlight w:val="none"/>
              </w:rPr>
              <w:t>≥10%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等线" w:cs="Times New Roman"/>
                <w:color w:val="auto"/>
                <w:szCs w:val="21"/>
                <w:highlight w:val="none"/>
              </w:rPr>
            </w:pPr>
            <w:r>
              <w:rPr>
                <w:rFonts w:hint="default" w:ascii="Times New Roman" w:hAnsi="Times New Roman" w:eastAsia="等线" w:cs="Times New Roman"/>
                <w:color w:val="auto"/>
                <w:szCs w:val="21"/>
                <w:highlight w:val="none"/>
              </w:rPr>
              <w:t>≥10%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等线" w:cs="Times New Roman"/>
                <w:color w:val="auto"/>
                <w:szCs w:val="21"/>
                <w:highlight w:val="none"/>
              </w:rPr>
            </w:pPr>
            <w:r>
              <w:rPr>
                <w:rFonts w:hint="default" w:ascii="Times New Roman" w:hAnsi="Times New Roman" w:eastAsia="等线" w:cs="Times New Roman"/>
                <w:color w:val="auto"/>
                <w:szCs w:val="21"/>
                <w:highlight w:val="none"/>
              </w:rPr>
              <w:t>≥35%</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等线" w:cs="Times New Roman"/>
                <w:color w:val="auto"/>
                <w:szCs w:val="21"/>
                <w:highlight w:val="none"/>
              </w:rPr>
            </w:pPr>
            <w:r>
              <w:rPr>
                <w:rFonts w:hint="default" w:ascii="Times New Roman" w:hAnsi="Times New Roman" w:eastAsia="等线" w:cs="Times New Roman"/>
                <w:color w:val="auto"/>
                <w:szCs w:val="21"/>
                <w:highlight w:val="none"/>
              </w:rPr>
              <w:t>/</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等线" w:cs="Times New Roman"/>
                <w:color w:val="auto"/>
                <w:szCs w:val="21"/>
                <w:highlight w:val="none"/>
              </w:rPr>
            </w:pPr>
            <w:r>
              <w:rPr>
                <w:rFonts w:hint="default" w:ascii="Times New Roman" w:hAnsi="Times New Roman" w:eastAsia="等线" w:cs="Times New Roman"/>
                <w:color w:val="auto"/>
                <w:szCs w:val="21"/>
                <w:highlight w:val="none"/>
              </w:rPr>
              <w:t>/</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等线" w:cs="Times New Roman"/>
                <w:color w:val="auto"/>
                <w:szCs w:val="21"/>
                <w:highlight w:val="none"/>
              </w:rPr>
            </w:pPr>
            <w:r>
              <w:rPr>
                <w:rFonts w:hint="default" w:ascii="Times New Roman" w:hAnsi="Times New Roman" w:eastAsia="等线"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vMerge w:val="continue"/>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p>
        </w:tc>
        <w:tc>
          <w:tcPr>
            <w:tcW w:w="535"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出水</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126~135</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130~143</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30~35</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35~40</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vMerge w:val="restar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生化处理单元</w:t>
            </w:r>
          </w:p>
        </w:tc>
        <w:tc>
          <w:tcPr>
            <w:tcW w:w="535"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去除率</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≥85%</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≥95%</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≥80%</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≥85%</w:t>
            </w:r>
          </w:p>
        </w:tc>
        <w:tc>
          <w:tcPr>
            <w:tcW w:w="627"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vMerge w:val="continue"/>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p>
        </w:tc>
        <w:tc>
          <w:tcPr>
            <w:tcW w:w="535" w:type="pct"/>
            <w:tcMar>
              <w:top w:w="15" w:type="dxa"/>
              <w:left w:w="15" w:type="dxa"/>
              <w:right w:w="15" w:type="dxa"/>
            </w:tcMar>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出水</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37.8</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6.3~6.75</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26~28.6</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6~7</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5.25~6</w:t>
            </w:r>
            <w:r>
              <w:rPr>
                <w:rFonts w:hint="eastAsia" w:ascii="Times New Roman" w:hAnsi="Times New Roman" w:eastAsia="宋体" w:cs="Times New Roman"/>
                <w:i w:val="0"/>
                <w:iCs w:val="0"/>
                <w:color w:val="auto"/>
                <w:kern w:val="0"/>
                <w:sz w:val="22"/>
                <w:szCs w:val="22"/>
                <w:highlight w:val="none"/>
                <w:u w:val="none"/>
                <w:lang w:val="en-US" w:eastAsia="zh-CN" w:bidi="ar"/>
              </w:rPr>
              <w:t>.0</w:t>
            </w:r>
          </w:p>
        </w:tc>
        <w:tc>
          <w:tcPr>
            <w:tcW w:w="627" w:type="pct"/>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0.42~0.54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vMerge w:val="restart"/>
            <w:vAlign w:val="center"/>
          </w:tcPr>
          <w:p>
            <w:pPr>
              <w:pageBreakBefore w:val="0"/>
              <w:widowControl/>
              <w:kinsoku/>
              <w:wordWrap/>
              <w:bidi w:val="0"/>
              <w:ind w:left="0" w:leftChars="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深度处理单元</w:t>
            </w:r>
          </w:p>
        </w:tc>
        <w:tc>
          <w:tcPr>
            <w:tcW w:w="535"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去除率</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≥5%</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≥5%</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≥80%</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eastAsia="等线" w:cs="Times New Roman"/>
                <w:color w:val="auto"/>
                <w:szCs w:val="21"/>
                <w:highlight w:val="none"/>
              </w:rPr>
              <w:t>≥80%</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1" w:type="pct"/>
            <w:vMerge w:val="continue"/>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p>
        </w:tc>
        <w:tc>
          <w:tcPr>
            <w:tcW w:w="535"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出水</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35.9</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6.0~6.4</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5.2~5.7</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1.2~1.4</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eastAsia" w:ascii="Times New Roman" w:hAnsi="Times New Roman" w:eastAsia="宋体" w:cs="Times New Roman"/>
                <w:i w:val="0"/>
                <w:iCs w:val="0"/>
                <w:color w:val="auto"/>
                <w:kern w:val="0"/>
                <w:sz w:val="22"/>
                <w:szCs w:val="22"/>
                <w:highlight w:val="none"/>
                <w:u w:val="none"/>
                <w:lang w:val="en-US" w:eastAsia="zh-CN" w:bidi="ar"/>
              </w:rPr>
              <w:t>4.7</w:t>
            </w:r>
            <w:r>
              <w:rPr>
                <w:rFonts w:hint="default" w:ascii="Times New Roman" w:hAnsi="Times New Roman" w:eastAsia="宋体" w:cs="Times New Roman"/>
                <w:i w:val="0"/>
                <w:iCs w:val="0"/>
                <w:color w:val="auto"/>
                <w:kern w:val="0"/>
                <w:sz w:val="22"/>
                <w:szCs w:val="22"/>
                <w:highlight w:val="none"/>
                <w:u w:val="none"/>
                <w:lang w:val="en-US" w:eastAsia="zh-CN" w:bidi="ar"/>
              </w:rPr>
              <w:t>~5.</w:t>
            </w:r>
            <w:r>
              <w:rPr>
                <w:rFonts w:hint="eastAsia" w:ascii="Times New Roman" w:hAnsi="Times New Roman" w:eastAsia="宋体" w:cs="Times New Roman"/>
                <w:i w:val="0"/>
                <w:iCs w:val="0"/>
                <w:color w:val="auto"/>
                <w:kern w:val="0"/>
                <w:sz w:val="22"/>
                <w:szCs w:val="22"/>
                <w:highlight w:val="none"/>
                <w:u w:val="none"/>
                <w:lang w:val="en-US" w:eastAsia="zh-CN" w:bidi="ar"/>
              </w:rPr>
              <w:t>4</w:t>
            </w:r>
          </w:p>
        </w:tc>
        <w:tc>
          <w:tcPr>
            <w:tcW w:w="627" w:type="pct"/>
            <w:vAlign w:val="center"/>
          </w:tcPr>
          <w:p>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rPr>
              <w:t>≤</w:t>
            </w:r>
            <w:r>
              <w:rPr>
                <w:rFonts w:hint="default" w:ascii="Times New Roman" w:hAnsi="Times New Roman" w:eastAsia="宋体" w:cs="Times New Roman"/>
                <w:i w:val="0"/>
                <w:iCs w:val="0"/>
                <w:color w:val="auto"/>
                <w:kern w:val="0"/>
                <w:sz w:val="22"/>
                <w:szCs w:val="22"/>
                <w:highlight w:val="none"/>
                <w:u w:val="none"/>
                <w:lang w:val="en-US" w:eastAsia="zh-CN" w:bidi="ar"/>
              </w:rPr>
              <w:t>0.</w:t>
            </w:r>
            <w:r>
              <w:rPr>
                <w:rFonts w:hint="eastAsia" w:ascii="Times New Roman" w:hAnsi="Times New Roman" w:eastAsia="宋体" w:cs="Times New Roman"/>
                <w:i w:val="0"/>
                <w:iCs w:val="0"/>
                <w:color w:val="auto"/>
                <w:kern w:val="0"/>
                <w:sz w:val="22"/>
                <w:szCs w:val="22"/>
                <w:highlight w:val="none"/>
                <w:u w:val="none"/>
                <w:lang w:val="en-US" w:eastAsia="zh-CN" w:bidi="ar"/>
              </w:rPr>
              <w:t>38~0.49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36" w:type="pct"/>
            <w:gridSpan w:val="2"/>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排放限值要求</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5（8）</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w:t>
            </w:r>
          </w:p>
        </w:tc>
        <w:tc>
          <w:tcPr>
            <w:tcW w:w="627" w:type="pct"/>
            <w:vAlign w:val="center"/>
          </w:tcPr>
          <w:p>
            <w:pPr>
              <w:pageBreakBefore w:val="0"/>
              <w:widowControl/>
              <w:kinsoku/>
              <w:wordWrap/>
              <w:bidi w:val="0"/>
              <w:ind w:left="0" w:leftChars="0" w:right="0"/>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0.5</w:t>
            </w:r>
          </w:p>
        </w:tc>
      </w:tr>
    </w:tbl>
    <w:p>
      <w:pPr>
        <w:pageBreakBefore w:val="0"/>
        <w:kinsoku/>
        <w:wordWrap/>
        <w:bidi w:val="0"/>
        <w:adjustRightInd w:val="0"/>
        <w:snapToGrid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综上，在设计工艺及参数条件满足要求的情况下，项目</w:t>
      </w:r>
      <w:r>
        <w:rPr>
          <w:rFonts w:hint="eastAsia" w:ascii="Times New Roman" w:hAnsi="Times New Roman" w:cs="Times New Roman"/>
          <w:b/>
          <w:bCs/>
          <w:color w:val="auto"/>
          <w:sz w:val="24"/>
          <w:szCs w:val="24"/>
          <w:highlight w:val="none"/>
          <w:lang w:val="en-US" w:eastAsia="zh-CN"/>
        </w:rPr>
        <w:t>一期、二期</w:t>
      </w:r>
      <w:r>
        <w:rPr>
          <w:rFonts w:hint="default" w:ascii="Times New Roman" w:hAnsi="Times New Roman" w:cs="Times New Roman"/>
          <w:b/>
          <w:bCs/>
          <w:color w:val="auto"/>
          <w:sz w:val="24"/>
          <w:szCs w:val="24"/>
          <w:highlight w:val="none"/>
        </w:rPr>
        <w:t>尾水</w:t>
      </w:r>
      <w:r>
        <w:rPr>
          <w:rFonts w:hint="default" w:ascii="Times New Roman" w:hAnsi="Times New Roman" w:cs="Times New Roman"/>
          <w:b/>
          <w:bCs/>
          <w:color w:val="auto"/>
          <w:sz w:val="24"/>
          <w:szCs w:val="28"/>
          <w:highlight w:val="none"/>
        </w:rPr>
        <w:t>达《城镇污水处理厂污染物排放标准》（GB18918-2002）一级A标准可行。</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6</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2</w:t>
      </w:r>
      <w:r>
        <w:rPr>
          <w:rFonts w:hint="default" w:ascii="Times New Roman" w:hAnsi="Times New Roman" w:cs="Times New Roman"/>
          <w:b/>
          <w:bCs/>
          <w:color w:val="auto"/>
          <w:sz w:val="28"/>
          <w:szCs w:val="28"/>
          <w:highlight w:val="none"/>
        </w:rPr>
        <w:t xml:space="preserve"> </w:t>
      </w:r>
      <w:r>
        <w:rPr>
          <w:rFonts w:hint="default" w:ascii="Times New Roman" w:hAnsi="Times New Roman" w:cs="Times New Roman"/>
          <w:b/>
          <w:bCs/>
          <w:color w:val="auto"/>
          <w:sz w:val="28"/>
          <w:szCs w:val="28"/>
          <w:highlight w:val="none"/>
          <w:lang w:val="en-US" w:eastAsia="zh-CN"/>
        </w:rPr>
        <w:t>环境正效益分析</w:t>
      </w:r>
    </w:p>
    <w:p>
      <w:pPr>
        <w:pageBreakBefore w:val="0"/>
        <w:kinsoku/>
        <w:wordWrap/>
        <w:topLinePunct w:val="0"/>
        <w:bidi w:val="0"/>
        <w:spacing w:line="360" w:lineRule="auto"/>
        <w:ind w:left="0" w:leftChars="0" w:right="0" w:rightChars="0" w:firstLine="482" w:firstLineChars="200"/>
        <w:rPr>
          <w:b/>
          <w:color w:val="auto"/>
          <w:sz w:val="24"/>
          <w:highlight w:val="none"/>
        </w:rPr>
      </w:pPr>
      <w:r>
        <w:rPr>
          <w:b/>
          <w:color w:val="auto"/>
          <w:sz w:val="24"/>
          <w:highlight w:val="none"/>
        </w:rPr>
        <w:t>（1）环境正效益</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①本项目外排废水削减量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本项目（二期工程）处理规模为1.0万m</w:t>
      </w:r>
      <w:r>
        <w:rPr>
          <w:color w:val="auto"/>
          <w:sz w:val="24"/>
          <w:szCs w:val="32"/>
          <w:highlight w:val="none"/>
          <w:vertAlign w:val="superscript"/>
          <w:lang w:bidi="ar"/>
        </w:rPr>
        <w:t>3</w:t>
      </w:r>
      <w:r>
        <w:rPr>
          <w:color w:val="auto"/>
          <w:sz w:val="24"/>
          <w:szCs w:val="32"/>
          <w:highlight w:val="none"/>
          <w:lang w:bidi="ar"/>
        </w:rPr>
        <w:t>/d，尾水达《城镇污水处理厂污染物排放标准》（GB18918-2002）一级A标准排放。根据项目进、出水水质，可计算出污水厂废水排入地表水体的主要污染物排放量，见下表：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6-2</w:t>
      </w:r>
      <w:r>
        <w:rPr>
          <w:rFonts w:hint="eastAsia" w:eastAsia="黑体"/>
          <w:color w:val="auto"/>
          <w:szCs w:val="22"/>
          <w:highlight w:val="none"/>
        </w:rPr>
        <w:t xml:space="preserve"> </w:t>
      </w:r>
      <w:r>
        <w:rPr>
          <w:rFonts w:eastAsia="黑体"/>
          <w:color w:val="auto"/>
          <w:highlight w:val="none"/>
        </w:rPr>
        <w:t>污水处理厂进出水水中主要污染物量及污染物削减量</w:t>
      </w:r>
      <w:r>
        <w:rPr>
          <w:rFonts w:hint="eastAsia" w:eastAsia="黑体"/>
          <w:color w:val="auto"/>
          <w:highlight w:val="none"/>
        </w:rPr>
        <w:t xml:space="preserve"> </w:t>
      </w:r>
      <w:r>
        <w:rPr>
          <w:rFonts w:hint="eastAsia" w:eastAsia="黑体"/>
          <w:color w:val="auto"/>
          <w:highlight w:val="none"/>
          <w:lang w:val="en-US" w:eastAsia="zh-CN"/>
        </w:rPr>
        <w:t xml:space="preserve"> </w:t>
      </w:r>
      <w:r>
        <w:rPr>
          <w:rFonts w:eastAsia="黑体"/>
          <w:color w:val="auto"/>
          <w:highlight w:val="none"/>
        </w:rPr>
        <w:t>单位：t/a</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4"/>
        <w:gridCol w:w="2463"/>
        <w:gridCol w:w="1093"/>
        <w:gridCol w:w="981"/>
        <w:gridCol w:w="981"/>
        <w:gridCol w:w="981"/>
        <w:gridCol w:w="980"/>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95" w:type="pct"/>
            <w:gridSpan w:val="2"/>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水质指标</w:t>
            </w:r>
          </w:p>
        </w:tc>
        <w:tc>
          <w:tcPr>
            <w:tcW w:w="56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COD</w:t>
            </w:r>
            <w:r>
              <w:rPr>
                <w:b/>
                <w:color w:val="auto"/>
                <w:kern w:val="0"/>
                <w:highlight w:val="none"/>
                <w:vertAlign w:val="subscript"/>
              </w:rPr>
              <w:t>Cr</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BOD</w:t>
            </w:r>
            <w:r>
              <w:rPr>
                <w:b/>
                <w:color w:val="auto"/>
                <w:kern w:val="0"/>
                <w:highlight w:val="none"/>
                <w:vertAlign w:val="subscript"/>
              </w:rPr>
              <w:t>5</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SS</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NH</w:t>
            </w:r>
            <w:r>
              <w:rPr>
                <w:b/>
                <w:color w:val="auto"/>
                <w:kern w:val="0"/>
                <w:highlight w:val="none"/>
                <w:vertAlign w:val="subscript"/>
              </w:rPr>
              <w:t>3</w:t>
            </w:r>
            <w:r>
              <w:rPr>
                <w:b/>
                <w:color w:val="auto"/>
                <w:kern w:val="0"/>
                <w:highlight w:val="none"/>
              </w:rPr>
              <w:t>-N</w:t>
            </w:r>
          </w:p>
        </w:tc>
        <w:tc>
          <w:tcPr>
            <w:tcW w:w="507"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TN</w:t>
            </w:r>
          </w:p>
        </w:tc>
        <w:tc>
          <w:tcPr>
            <w:tcW w:w="508"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rPr>
              <w:t>二期工程</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处理前</w:t>
            </w: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设计进水水质（mg/L）</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280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进水中污染物量（t/a）</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1022.00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511.00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127.75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146.00</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rPr>
              <w:t>二期工程</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处理后</w:t>
            </w: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设计出水水质（mg/L）</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15</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污染物排放量（t/a）</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18.25</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54.75</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2"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rPr>
              <w:t>二期工程</w:t>
            </w:r>
          </w:p>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处理前后</w:t>
            </w:r>
          </w:p>
        </w:tc>
        <w:tc>
          <w:tcPr>
            <w:tcW w:w="1273"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rPr>
              <w:t>污染物削减量（t/a）</w:t>
            </w:r>
          </w:p>
        </w:tc>
        <w:tc>
          <w:tcPr>
            <w:tcW w:w="1036"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839.50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474.50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693.50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109.50</w:t>
            </w:r>
          </w:p>
        </w:tc>
        <w:tc>
          <w:tcPr>
            <w:tcW w:w="930"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91.25</w:t>
            </w:r>
          </w:p>
        </w:tc>
        <w:tc>
          <w:tcPr>
            <w:tcW w:w="932"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14.60</w:t>
            </w:r>
          </w:p>
        </w:tc>
      </w:tr>
    </w:tbl>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lang w:bidi="en-US"/>
        </w:rPr>
      </w:pPr>
      <w:r>
        <w:rPr>
          <w:color w:val="auto"/>
          <w:sz w:val="24"/>
          <w:szCs w:val="28"/>
          <w:highlight w:val="none"/>
          <w:lang w:bidi="en-US"/>
        </w:rPr>
        <w:t>从上表4-13可以看出，本项目建成后将使服务范围内废（污）水得到有效收集和处理，污染物减排效果明显。当本项目污水处理厂正常运行时CODcr削减839.50t/a，BOD</w:t>
      </w:r>
      <w:r>
        <w:rPr>
          <w:color w:val="auto"/>
          <w:sz w:val="24"/>
          <w:szCs w:val="28"/>
          <w:highlight w:val="none"/>
          <w:vertAlign w:val="subscript"/>
          <w:lang w:bidi="en-US"/>
        </w:rPr>
        <w:t>5</w:t>
      </w:r>
      <w:r>
        <w:rPr>
          <w:color w:val="auto"/>
          <w:sz w:val="24"/>
          <w:szCs w:val="28"/>
          <w:highlight w:val="none"/>
          <w:lang w:bidi="en-US"/>
        </w:rPr>
        <w:t>削减474.50t/a，SS削减693.50t/a，NH</w:t>
      </w:r>
      <w:r>
        <w:rPr>
          <w:color w:val="auto"/>
          <w:sz w:val="24"/>
          <w:szCs w:val="28"/>
          <w:highlight w:val="none"/>
          <w:vertAlign w:val="subscript"/>
          <w:lang w:bidi="en-US"/>
        </w:rPr>
        <w:t>3</w:t>
      </w:r>
      <w:r>
        <w:rPr>
          <w:color w:val="auto"/>
          <w:sz w:val="24"/>
          <w:szCs w:val="28"/>
          <w:highlight w:val="none"/>
          <w:lang w:bidi="en-US"/>
        </w:rPr>
        <w:t>-N削减109.50t/a，TN削减91.25t/a，TP削减14.60t/a。</w:t>
      </w:r>
    </w:p>
    <w:p>
      <w:pPr>
        <w:pageBreakBefore w:val="0"/>
        <w:kinsoku/>
        <w:wordWrap/>
        <w:topLinePunct w:val="0"/>
        <w:bidi w:val="0"/>
        <w:spacing w:line="360" w:lineRule="auto"/>
        <w:ind w:left="0" w:leftChars="0" w:right="0" w:rightChars="0" w:firstLine="482" w:firstLineChars="200"/>
        <w:rPr>
          <w:b/>
          <w:bCs/>
          <w:color w:val="auto"/>
          <w:sz w:val="24"/>
          <w:szCs w:val="32"/>
          <w:highlight w:val="none"/>
          <w:lang w:bidi="ar"/>
        </w:rPr>
      </w:pPr>
      <w:r>
        <w:rPr>
          <w:b/>
          <w:bCs/>
          <w:color w:val="auto"/>
          <w:sz w:val="24"/>
          <w:szCs w:val="32"/>
          <w:highlight w:val="none"/>
          <w:lang w:bidi="ar"/>
        </w:rPr>
        <w:t>②全厂外排废水削减量</w:t>
      </w:r>
    </w:p>
    <w:p>
      <w:pPr>
        <w:pageBreakBefore w:val="0"/>
        <w:kinsoku/>
        <w:wordWrap/>
        <w:topLinePunct w:val="0"/>
        <w:bidi w:val="0"/>
        <w:spacing w:line="360" w:lineRule="auto"/>
        <w:ind w:left="0" w:leftChars="0" w:right="0" w:rightChars="0" w:firstLine="480" w:firstLineChars="200"/>
        <w:rPr>
          <w:color w:val="auto"/>
          <w:sz w:val="24"/>
          <w:szCs w:val="32"/>
          <w:highlight w:val="none"/>
          <w:lang w:bidi="ar"/>
        </w:rPr>
      </w:pPr>
      <w:r>
        <w:rPr>
          <w:color w:val="auto"/>
          <w:sz w:val="24"/>
          <w:szCs w:val="32"/>
          <w:highlight w:val="none"/>
          <w:lang w:bidi="ar"/>
        </w:rPr>
        <w:t>改扩建后污水处理厂全厂处理规模为2.0万m</w:t>
      </w:r>
      <w:r>
        <w:rPr>
          <w:color w:val="auto"/>
          <w:sz w:val="24"/>
          <w:szCs w:val="32"/>
          <w:highlight w:val="none"/>
          <w:vertAlign w:val="superscript"/>
          <w:lang w:bidi="ar"/>
        </w:rPr>
        <w:t>3</w:t>
      </w:r>
      <w:r>
        <w:rPr>
          <w:color w:val="auto"/>
          <w:sz w:val="24"/>
          <w:szCs w:val="32"/>
          <w:highlight w:val="none"/>
          <w:lang w:bidi="ar"/>
        </w:rPr>
        <w:t>/d，尾水达《城镇污水处理厂污染物排放标准》（GB18918-2002）一级A标准排放。污水厂废水排入地表水体的主要污染物排放量，见下表。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6-3</w:t>
      </w:r>
      <w:r>
        <w:rPr>
          <w:rFonts w:hint="eastAsia" w:eastAsia="黑体"/>
          <w:color w:val="auto"/>
          <w:highlight w:val="none"/>
        </w:rPr>
        <w:t xml:space="preserve"> </w:t>
      </w:r>
      <w:r>
        <w:rPr>
          <w:rFonts w:eastAsia="黑体"/>
          <w:color w:val="auto"/>
          <w:highlight w:val="none"/>
        </w:rPr>
        <w:t>改扩建后全厂水污染物产生、排放及污染物削减量</w:t>
      </w:r>
      <w:r>
        <w:rPr>
          <w:rFonts w:hint="eastAsia" w:eastAsia="黑体"/>
          <w:color w:val="auto"/>
          <w:highlight w:val="none"/>
        </w:rPr>
        <w:t xml:space="preserve"> </w:t>
      </w:r>
      <w:r>
        <w:rPr>
          <w:rFonts w:hint="eastAsia" w:eastAsia="黑体"/>
          <w:color w:val="auto"/>
          <w:highlight w:val="none"/>
          <w:lang w:val="en-US" w:eastAsia="zh-CN"/>
        </w:rPr>
        <w:t xml:space="preserve"> </w:t>
      </w:r>
      <w:r>
        <w:rPr>
          <w:rFonts w:eastAsia="黑体"/>
          <w:color w:val="auto"/>
          <w:highlight w:val="none"/>
        </w:rPr>
        <w:t>单位：t/a</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0"/>
        <w:gridCol w:w="2478"/>
        <w:gridCol w:w="996"/>
        <w:gridCol w:w="996"/>
        <w:gridCol w:w="995"/>
        <w:gridCol w:w="995"/>
        <w:gridCol w:w="99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06" w:type="pct"/>
            <w:gridSpan w:val="2"/>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水质指标</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COD</w:t>
            </w:r>
            <w:r>
              <w:rPr>
                <w:b/>
                <w:color w:val="auto"/>
                <w:kern w:val="0"/>
                <w:highlight w:val="none"/>
                <w:vertAlign w:val="subscript"/>
              </w:rPr>
              <w:t>Cr</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BOD</w:t>
            </w:r>
            <w:r>
              <w:rPr>
                <w:b/>
                <w:color w:val="auto"/>
                <w:kern w:val="0"/>
                <w:highlight w:val="none"/>
                <w:vertAlign w:val="subscript"/>
              </w:rPr>
              <w:t>5</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SS</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NH</w:t>
            </w:r>
            <w:r>
              <w:rPr>
                <w:b/>
                <w:color w:val="auto"/>
                <w:kern w:val="0"/>
                <w:highlight w:val="none"/>
                <w:vertAlign w:val="subscript"/>
              </w:rPr>
              <w:t>3</w:t>
            </w:r>
            <w:r>
              <w:rPr>
                <w:b/>
                <w:color w:val="auto"/>
                <w:kern w:val="0"/>
                <w:highlight w:val="none"/>
              </w:rPr>
              <w:t>-N</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TN</w:t>
            </w:r>
          </w:p>
        </w:tc>
        <w:tc>
          <w:tcPr>
            <w:tcW w:w="51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highlight w:val="none"/>
              </w:rPr>
            </w:pPr>
            <w:r>
              <w:rPr>
                <w:b/>
                <w:color w:val="auto"/>
                <w:kern w:val="0"/>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b/>
                <w:color w:val="auto"/>
                <w:kern w:val="0"/>
                <w:highlight w:val="none"/>
              </w:rPr>
              <w:t>一期工程处理前</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szCs w:val="24"/>
                <w:highlight w:val="none"/>
              </w:rPr>
            </w:pPr>
            <w:r>
              <w:rPr>
                <w:color w:val="auto"/>
                <w:kern w:val="0"/>
                <w:highlight w:val="none"/>
              </w:rPr>
              <w:t>设计进水水质（mg/L）</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280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220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30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35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szCs w:val="24"/>
                <w:highlight w:val="none"/>
              </w:rPr>
            </w:pPr>
            <w:r>
              <w:rPr>
                <w:color w:val="auto"/>
                <w:kern w:val="0"/>
                <w:highlight w:val="none"/>
              </w:rPr>
              <w:t>进水中污染物量（t/a）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1022.00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547.50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803.00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109.50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127.75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color w:val="auto"/>
                <w:kern w:val="0"/>
                <w:highlight w:val="none"/>
              </w:rPr>
            </w:pPr>
            <w:r>
              <w:rPr>
                <w:color w:val="auto"/>
                <w:kern w:val="0"/>
                <w:highlight w:val="none"/>
                <w:lang w:bidi="ar"/>
              </w:rPr>
              <w:t>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b/>
                <w:bCs/>
                <w:color w:val="auto"/>
                <w:kern w:val="0"/>
                <w:highlight w:val="none"/>
              </w:rPr>
              <w:t>二期工程处理前</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设计进水水质（mg/L）</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280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200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进水中污染物量（t/a）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1022.00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511.00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127.75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146.00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处理后</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设计出水水质（mg/L）</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rPr>
              <w:t>污染物排放量（t/a）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kern w:val="0"/>
                <w:highlight w:val="none"/>
              </w:rPr>
            </w:pPr>
            <w:r>
              <w:rPr>
                <w:color w:val="auto"/>
                <w:kern w:val="0"/>
                <w:highlight w:val="none"/>
                <w:lang w:bidi="ar"/>
              </w:rPr>
              <w:t>365.00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73.00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109.50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color w:val="auto"/>
                <w:highlight w:val="none"/>
              </w:rPr>
            </w:pPr>
            <w:r>
              <w:rPr>
                <w:color w:val="auto"/>
                <w:kern w:val="0"/>
                <w:highlight w:val="none"/>
                <w:lang w:bidi="ar"/>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rPr>
              <w:t>处理前后削减量</w:t>
            </w:r>
          </w:p>
        </w:tc>
        <w:tc>
          <w:tcPr>
            <w:tcW w:w="1281" w:type="pct"/>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rPr>
              <w:t>污染物削减量（t/a）</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1679.00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985.50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1460.00</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200.75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164.25</w:t>
            </w:r>
          </w:p>
        </w:tc>
        <w:tc>
          <w:tcPr>
            <w:tcW w:w="944" w:type="dxa"/>
            <w:tcMar>
              <w:top w:w="15" w:type="dxa"/>
              <w:left w:w="15" w:type="dxa"/>
              <w:right w:w="15" w:type="dxa"/>
            </w:tcMar>
            <w:vAlign w:val="center"/>
          </w:tcPr>
          <w:p>
            <w:pPr>
              <w:pageBreakBefore w:val="0"/>
              <w:widowControl/>
              <w:kinsoku/>
              <w:wordWrap/>
              <w:topLinePunct w:val="0"/>
              <w:bidi w:val="0"/>
              <w:ind w:left="0" w:leftChars="0" w:right="0" w:rightChars="0"/>
              <w:jc w:val="center"/>
              <w:textAlignment w:val="center"/>
              <w:rPr>
                <w:b/>
                <w:bCs/>
                <w:color w:val="auto"/>
                <w:highlight w:val="none"/>
              </w:rPr>
            </w:pPr>
            <w:r>
              <w:rPr>
                <w:b/>
                <w:bCs/>
                <w:color w:val="auto"/>
                <w:kern w:val="0"/>
                <w:highlight w:val="none"/>
                <w:lang w:bidi="ar"/>
              </w:rPr>
              <w:t>25.55</w:t>
            </w:r>
          </w:p>
        </w:tc>
      </w:tr>
    </w:tbl>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lang w:bidi="en-US"/>
        </w:rPr>
      </w:pPr>
      <w:r>
        <w:rPr>
          <w:color w:val="auto"/>
          <w:sz w:val="24"/>
          <w:szCs w:val="28"/>
          <w:highlight w:val="none"/>
          <w:lang w:bidi="en-US"/>
        </w:rPr>
        <w:t>从上表</w:t>
      </w:r>
      <w:r>
        <w:rPr>
          <w:rFonts w:hint="eastAsia"/>
          <w:color w:val="auto"/>
          <w:sz w:val="24"/>
          <w:szCs w:val="28"/>
          <w:highlight w:val="none"/>
          <w:lang w:val="en-US" w:eastAsia="zh-CN" w:bidi="en-US"/>
        </w:rPr>
        <w:t>6-3</w:t>
      </w:r>
      <w:r>
        <w:rPr>
          <w:color w:val="auto"/>
          <w:sz w:val="24"/>
          <w:szCs w:val="28"/>
          <w:highlight w:val="none"/>
          <w:lang w:bidi="en-US"/>
        </w:rPr>
        <w:t>可以看出，全厂污水处理设施正常运行时内废（污）水得到有效收集和处理，污染物减排效果明显。全厂污水处理设施正常运行时CODcr削减1679.00t/a，BOD</w:t>
      </w:r>
      <w:r>
        <w:rPr>
          <w:color w:val="auto"/>
          <w:sz w:val="24"/>
          <w:szCs w:val="28"/>
          <w:highlight w:val="none"/>
          <w:vertAlign w:val="subscript"/>
          <w:lang w:bidi="en-US"/>
        </w:rPr>
        <w:t>5</w:t>
      </w:r>
      <w:r>
        <w:rPr>
          <w:color w:val="auto"/>
          <w:sz w:val="24"/>
          <w:szCs w:val="28"/>
          <w:highlight w:val="none"/>
          <w:lang w:bidi="en-US"/>
        </w:rPr>
        <w:t>削减985.50t/a，SS削减1460.00t/a，NH</w:t>
      </w:r>
      <w:r>
        <w:rPr>
          <w:color w:val="auto"/>
          <w:sz w:val="24"/>
          <w:szCs w:val="28"/>
          <w:highlight w:val="none"/>
          <w:vertAlign w:val="subscript"/>
          <w:lang w:bidi="en-US"/>
        </w:rPr>
        <w:t>3</w:t>
      </w:r>
      <w:r>
        <w:rPr>
          <w:color w:val="auto"/>
          <w:sz w:val="24"/>
          <w:szCs w:val="28"/>
          <w:highlight w:val="none"/>
          <w:lang w:bidi="en-US"/>
        </w:rPr>
        <w:t>-N削减200.75t/a，TN削减164.25t/a，TP削减25.55t/a。</w:t>
      </w:r>
    </w:p>
    <w:p>
      <w:pPr>
        <w:pageBreakBefore w:val="0"/>
        <w:kinsoku/>
        <w:wordWrap/>
        <w:topLinePunct w:val="0"/>
        <w:bidi w:val="0"/>
        <w:adjustRightInd w:val="0"/>
        <w:snapToGrid w:val="0"/>
        <w:spacing w:line="360" w:lineRule="auto"/>
        <w:ind w:left="0" w:leftChars="0" w:right="0" w:rightChars="0" w:firstLine="480" w:firstLineChars="200"/>
        <w:rPr>
          <w:color w:val="auto"/>
          <w:sz w:val="24"/>
          <w:szCs w:val="28"/>
          <w:highlight w:val="none"/>
          <w:lang w:bidi="en-US"/>
        </w:rPr>
      </w:pPr>
      <w:r>
        <w:rPr>
          <w:color w:val="auto"/>
          <w:sz w:val="24"/>
          <w:szCs w:val="28"/>
          <w:highlight w:val="none"/>
          <w:lang w:bidi="en-US"/>
        </w:rPr>
        <w:t>本项目实施后，大幅度削减</w:t>
      </w:r>
      <w:r>
        <w:rPr>
          <w:color w:val="auto"/>
          <w:sz w:val="24"/>
          <w:szCs w:val="24"/>
          <w:highlight w:val="none"/>
          <w:lang w:bidi="ar"/>
        </w:rPr>
        <w:t>南坝镇</w:t>
      </w:r>
      <w:r>
        <w:rPr>
          <w:color w:val="auto"/>
          <w:sz w:val="24"/>
          <w:szCs w:val="32"/>
          <w:highlight w:val="none"/>
          <w:lang w:bidi="ar"/>
        </w:rPr>
        <w:t>南、北两大排水区域生活污水与</w:t>
      </w:r>
      <w:r>
        <w:rPr>
          <w:color w:val="auto"/>
          <w:sz w:val="24"/>
          <w:szCs w:val="24"/>
          <w:highlight w:val="none"/>
          <w:lang w:bidi="ar"/>
        </w:rPr>
        <w:t>南坝工业园区工业废水</w:t>
      </w:r>
      <w:r>
        <w:rPr>
          <w:color w:val="auto"/>
          <w:sz w:val="24"/>
          <w:szCs w:val="28"/>
          <w:highlight w:val="none"/>
          <w:lang w:bidi="en-US"/>
        </w:rPr>
        <w:t>直排前河总量，对河流水质改善起着有力的作用，对整个河流域的水环境质量有很大的改善，项目的建设对环境是有利的，对保护前河及改善当地水环境方面将发挥重要作用，环境正效益明显。</w:t>
      </w:r>
    </w:p>
    <w:p>
      <w:pPr>
        <w:pageBreakBefore w:val="0"/>
        <w:kinsoku/>
        <w:wordWrap/>
        <w:topLinePunct w:val="0"/>
        <w:bidi w:val="0"/>
        <w:spacing w:line="360" w:lineRule="auto"/>
        <w:ind w:left="0" w:leftChars="0" w:right="0" w:rightChars="0" w:firstLine="482" w:firstLineChars="200"/>
        <w:rPr>
          <w:b/>
          <w:color w:val="auto"/>
          <w:sz w:val="24"/>
          <w:szCs w:val="24"/>
          <w:highlight w:val="none"/>
        </w:rPr>
      </w:pPr>
      <w:r>
        <w:rPr>
          <w:b/>
          <w:color w:val="auto"/>
          <w:sz w:val="24"/>
          <w:szCs w:val="24"/>
          <w:highlight w:val="none"/>
        </w:rPr>
        <w:t>（2）经济正效益</w:t>
      </w:r>
    </w:p>
    <w:p>
      <w:pPr>
        <w:pageBreakBefore w:val="0"/>
        <w:kinsoku/>
        <w:wordWrap/>
        <w:topLinePunct w:val="0"/>
        <w:bidi w:val="0"/>
        <w:spacing w:line="360" w:lineRule="auto"/>
        <w:ind w:left="0" w:leftChars="0" w:right="0" w:rightChars="0" w:firstLine="480" w:firstLineChars="200"/>
        <w:rPr>
          <w:color w:val="auto"/>
          <w:sz w:val="24"/>
          <w:szCs w:val="24"/>
          <w:highlight w:val="none"/>
        </w:rPr>
      </w:pPr>
      <w:r>
        <w:rPr>
          <w:color w:val="auto"/>
          <w:sz w:val="24"/>
          <w:szCs w:val="24"/>
          <w:highlight w:val="none"/>
        </w:rPr>
        <w:t>污水处理厂属于减排类项目，项目建成后，</w:t>
      </w:r>
      <w:r>
        <w:rPr>
          <w:color w:val="auto"/>
          <w:sz w:val="24"/>
          <w:szCs w:val="24"/>
          <w:highlight w:val="none"/>
          <w:lang w:bidi="ar"/>
        </w:rPr>
        <w:t>南坝镇</w:t>
      </w:r>
      <w:r>
        <w:rPr>
          <w:color w:val="auto"/>
          <w:sz w:val="24"/>
          <w:szCs w:val="32"/>
          <w:highlight w:val="none"/>
          <w:lang w:bidi="ar"/>
        </w:rPr>
        <w:t>南、北两大排水区域生活污水与</w:t>
      </w:r>
      <w:r>
        <w:rPr>
          <w:color w:val="auto"/>
          <w:sz w:val="24"/>
          <w:szCs w:val="24"/>
          <w:highlight w:val="none"/>
          <w:lang w:bidi="ar"/>
        </w:rPr>
        <w:t>南坝工业园区工业废水</w:t>
      </w:r>
      <w:r>
        <w:rPr>
          <w:color w:val="auto"/>
          <w:sz w:val="24"/>
          <w:szCs w:val="24"/>
          <w:highlight w:val="none"/>
        </w:rPr>
        <w:t>将通过污水管道引至项目污水处理厂，不会直接排入地表水体，将减少对地表水体的污染整治，同时，工程的实施确保工程区域内河段不受污水直排的污染，对维护南坝镇的生态平衡、促进人与自然和谐共处起着重要作用，具有长远的经济效益。</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lang w:eastAsia="zh-CN"/>
        </w:rPr>
      </w:pPr>
      <w:r>
        <w:rPr>
          <w:rFonts w:hint="default" w:ascii="Times New Roman" w:hAnsi="Times New Roman" w:cs="Times New Roman"/>
          <w:b/>
          <w:bCs/>
          <w:color w:val="auto"/>
          <w:sz w:val="28"/>
          <w:szCs w:val="28"/>
          <w:highlight w:val="none"/>
          <w:lang w:val="en-US" w:eastAsia="zh-CN"/>
        </w:rPr>
        <w:t>6</w:t>
      </w:r>
      <w:r>
        <w:rPr>
          <w:rFonts w:hint="default" w:ascii="Times New Roman" w:hAnsi="Times New Roman" w:cs="Times New Roman"/>
          <w:b/>
          <w:bCs/>
          <w:color w:val="auto"/>
          <w:sz w:val="28"/>
          <w:szCs w:val="28"/>
          <w:highlight w:val="none"/>
        </w:rPr>
        <w:t>.</w:t>
      </w:r>
      <w:r>
        <w:rPr>
          <w:rFonts w:hint="default" w:ascii="Times New Roman" w:hAnsi="Times New Roman" w:cs="Times New Roman"/>
          <w:b/>
          <w:bCs/>
          <w:color w:val="auto"/>
          <w:sz w:val="28"/>
          <w:szCs w:val="28"/>
          <w:highlight w:val="none"/>
          <w:lang w:val="en-US" w:eastAsia="zh-CN"/>
        </w:rPr>
        <w:t>3</w:t>
      </w:r>
      <w:r>
        <w:rPr>
          <w:rFonts w:hint="default" w:ascii="Times New Roman" w:hAnsi="Times New Roman" w:cs="Times New Roman"/>
          <w:b/>
          <w:bCs/>
          <w:color w:val="auto"/>
          <w:sz w:val="28"/>
          <w:szCs w:val="28"/>
          <w:highlight w:val="none"/>
        </w:rPr>
        <w:t xml:space="preserve"> </w:t>
      </w:r>
      <w:r>
        <w:rPr>
          <w:rFonts w:hint="default" w:ascii="Times New Roman" w:hAnsi="Times New Roman" w:cs="Times New Roman"/>
          <w:b/>
          <w:bCs/>
          <w:color w:val="auto"/>
          <w:sz w:val="28"/>
          <w:szCs w:val="28"/>
          <w:highlight w:val="none"/>
          <w:lang w:val="en-US" w:eastAsia="zh-CN"/>
        </w:rPr>
        <w:t>污染源排放量核算</w:t>
      </w:r>
    </w:p>
    <w:p>
      <w:pPr>
        <w:spacing w:line="360" w:lineRule="auto"/>
        <w:ind w:firstLine="482" w:firstLineChars="200"/>
        <w:rPr>
          <w:b/>
          <w:bCs/>
          <w:color w:val="auto"/>
          <w:sz w:val="24"/>
          <w:szCs w:val="32"/>
          <w:highlight w:val="none"/>
          <w:lang w:bidi="ar"/>
        </w:rPr>
      </w:pPr>
      <w:r>
        <w:rPr>
          <w:rFonts w:hint="eastAsia"/>
          <w:b/>
          <w:bCs/>
          <w:color w:val="auto"/>
          <w:sz w:val="24"/>
          <w:szCs w:val="32"/>
          <w:highlight w:val="none"/>
          <w:lang w:eastAsia="zh-CN" w:bidi="ar"/>
        </w:rPr>
        <w:t>（</w:t>
      </w:r>
      <w:r>
        <w:rPr>
          <w:rFonts w:hint="eastAsia"/>
          <w:b/>
          <w:bCs/>
          <w:color w:val="auto"/>
          <w:sz w:val="24"/>
          <w:szCs w:val="32"/>
          <w:highlight w:val="none"/>
          <w:lang w:val="en-US" w:eastAsia="zh-CN" w:bidi="ar"/>
        </w:rPr>
        <w:t>1</w:t>
      </w:r>
      <w:r>
        <w:rPr>
          <w:rFonts w:hint="eastAsia"/>
          <w:b/>
          <w:bCs/>
          <w:color w:val="auto"/>
          <w:sz w:val="24"/>
          <w:szCs w:val="32"/>
          <w:highlight w:val="none"/>
          <w:lang w:eastAsia="zh-CN" w:bidi="ar"/>
        </w:rPr>
        <w:t>）</w:t>
      </w:r>
      <w:r>
        <w:rPr>
          <w:b/>
          <w:bCs/>
          <w:color w:val="auto"/>
          <w:sz w:val="24"/>
          <w:szCs w:val="32"/>
          <w:highlight w:val="none"/>
          <w:lang w:bidi="ar"/>
        </w:rPr>
        <w:t>现有污染物排放总量</w:t>
      </w:r>
    </w:p>
    <w:p>
      <w:pPr>
        <w:spacing w:line="360" w:lineRule="auto"/>
        <w:ind w:firstLine="480" w:firstLineChars="200"/>
        <w:rPr>
          <w:color w:val="auto"/>
          <w:sz w:val="24"/>
          <w:szCs w:val="32"/>
          <w:highlight w:val="none"/>
          <w:lang w:bidi="ar"/>
        </w:rPr>
      </w:pPr>
      <w:r>
        <w:rPr>
          <w:color w:val="auto"/>
          <w:sz w:val="24"/>
          <w:szCs w:val="32"/>
          <w:highlight w:val="none"/>
          <w:lang w:bidi="ar"/>
        </w:rPr>
        <w:t>本项目一期工程污水处理量为1.0万m</w:t>
      </w:r>
      <w:r>
        <w:rPr>
          <w:color w:val="auto"/>
          <w:sz w:val="24"/>
          <w:szCs w:val="32"/>
          <w:highlight w:val="none"/>
          <w:vertAlign w:val="superscript"/>
          <w:lang w:bidi="ar"/>
        </w:rPr>
        <w:t>3</w:t>
      </w:r>
      <w:r>
        <w:rPr>
          <w:color w:val="auto"/>
          <w:sz w:val="24"/>
          <w:szCs w:val="32"/>
          <w:highlight w:val="none"/>
          <w:lang w:bidi="ar"/>
        </w:rPr>
        <w:t>/d，外排废水达《城镇污水处理厂污染物排放标准》（GB18918-2002）一级B标准（COD60mg/L、NH</w:t>
      </w:r>
      <w:r>
        <w:rPr>
          <w:color w:val="auto"/>
          <w:sz w:val="24"/>
          <w:szCs w:val="32"/>
          <w:highlight w:val="none"/>
          <w:vertAlign w:val="subscript"/>
          <w:lang w:bidi="ar"/>
        </w:rPr>
        <w:t>3</w:t>
      </w:r>
      <w:r>
        <w:rPr>
          <w:color w:val="auto"/>
          <w:sz w:val="24"/>
          <w:szCs w:val="32"/>
          <w:highlight w:val="none"/>
          <w:lang w:bidi="ar"/>
        </w:rPr>
        <w:t>-N8mg/L、TP1mg/L、TN20mg/L）。根据川环审批〔2011〕324号，项目总量指标如下：</w:t>
      </w:r>
    </w:p>
    <w:p>
      <w:pPr>
        <w:spacing w:line="360" w:lineRule="auto"/>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6</w:t>
      </w:r>
      <w:r>
        <w:rPr>
          <w:rFonts w:eastAsia="黑体"/>
          <w:color w:val="auto"/>
          <w:highlight w:val="none"/>
        </w:rPr>
        <w:t>-</w:t>
      </w:r>
      <w:r>
        <w:rPr>
          <w:rFonts w:hint="eastAsia" w:eastAsia="黑体"/>
          <w:color w:val="auto"/>
          <w:highlight w:val="none"/>
          <w:lang w:val="en-US" w:eastAsia="zh-CN"/>
        </w:rPr>
        <w:t>4</w:t>
      </w:r>
      <w:r>
        <w:rPr>
          <w:rFonts w:hint="eastAsia" w:eastAsia="黑体"/>
          <w:color w:val="auto"/>
          <w:highlight w:val="none"/>
        </w:rPr>
        <w:t xml:space="preserve"> </w:t>
      </w:r>
      <w:r>
        <w:rPr>
          <w:rFonts w:eastAsia="黑体"/>
          <w:color w:val="auto"/>
          <w:highlight w:val="none"/>
        </w:rPr>
        <w:t>现有项目水污染物总量指标</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63"/>
        <w:gridCol w:w="2464"/>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shd w:val="clear" w:color="auto" w:fill="auto"/>
            <w:vAlign w:val="center"/>
          </w:tcPr>
          <w:p>
            <w:pPr>
              <w:jc w:val="center"/>
              <w:rPr>
                <w:b/>
                <w:bCs/>
                <w:color w:val="auto"/>
                <w:highlight w:val="none"/>
                <w:lang w:bidi="ar"/>
              </w:rPr>
            </w:pPr>
            <w:r>
              <w:rPr>
                <w:b/>
                <w:bCs/>
                <w:color w:val="auto"/>
                <w:kern w:val="0"/>
                <w:highlight w:val="none"/>
              </w:rPr>
              <w:t>污水处理厂排口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0" w:type="pct"/>
            <w:shd w:val="clear" w:color="auto" w:fill="auto"/>
            <w:vAlign w:val="center"/>
          </w:tcPr>
          <w:p>
            <w:pPr>
              <w:widowControl/>
              <w:jc w:val="center"/>
              <w:textAlignment w:val="center"/>
              <w:rPr>
                <w:color w:val="auto"/>
                <w:highlight w:val="none"/>
                <w:lang w:bidi="ar"/>
              </w:rPr>
            </w:pPr>
            <w:r>
              <w:rPr>
                <w:color w:val="auto"/>
                <w:kern w:val="0"/>
                <w:highlight w:val="none"/>
              </w:rPr>
              <w:t>COD</w:t>
            </w:r>
          </w:p>
        </w:tc>
        <w:tc>
          <w:tcPr>
            <w:tcW w:w="1250" w:type="pct"/>
            <w:shd w:val="clear" w:color="auto" w:fill="auto"/>
            <w:vAlign w:val="center"/>
          </w:tcPr>
          <w:p>
            <w:pPr>
              <w:widowControl/>
              <w:jc w:val="center"/>
              <w:textAlignment w:val="center"/>
              <w:rPr>
                <w:color w:val="auto"/>
                <w:highlight w:val="none"/>
                <w:lang w:bidi="ar"/>
              </w:rPr>
            </w:pPr>
            <w:r>
              <w:rPr>
                <w:color w:val="auto"/>
                <w:kern w:val="0"/>
                <w:highlight w:val="none"/>
              </w:rPr>
              <w:t>NH</w:t>
            </w:r>
            <w:r>
              <w:rPr>
                <w:color w:val="auto"/>
                <w:kern w:val="0"/>
                <w:highlight w:val="none"/>
                <w:vertAlign w:val="subscript"/>
              </w:rPr>
              <w:t>3</w:t>
            </w:r>
            <w:r>
              <w:rPr>
                <w:color w:val="auto"/>
                <w:kern w:val="0"/>
                <w:highlight w:val="none"/>
              </w:rPr>
              <w:t>-N</w:t>
            </w:r>
          </w:p>
        </w:tc>
        <w:tc>
          <w:tcPr>
            <w:tcW w:w="1250" w:type="pct"/>
            <w:shd w:val="clear" w:color="auto" w:fill="auto"/>
            <w:vAlign w:val="center"/>
          </w:tcPr>
          <w:p>
            <w:pPr>
              <w:widowControl/>
              <w:jc w:val="center"/>
              <w:textAlignment w:val="center"/>
              <w:rPr>
                <w:color w:val="auto"/>
                <w:highlight w:val="none"/>
                <w:lang w:bidi="ar"/>
              </w:rPr>
            </w:pPr>
            <w:r>
              <w:rPr>
                <w:color w:val="auto"/>
                <w:highlight w:val="none"/>
                <w:lang w:bidi="ar"/>
              </w:rPr>
              <w:t>TP</w:t>
            </w:r>
          </w:p>
        </w:tc>
        <w:tc>
          <w:tcPr>
            <w:tcW w:w="1250" w:type="pct"/>
            <w:shd w:val="clear" w:color="auto" w:fill="auto"/>
            <w:vAlign w:val="center"/>
          </w:tcPr>
          <w:p>
            <w:pPr>
              <w:widowControl/>
              <w:jc w:val="center"/>
              <w:textAlignment w:val="center"/>
              <w:rPr>
                <w:color w:val="auto"/>
                <w:highlight w:val="none"/>
                <w:lang w:bidi="ar"/>
              </w:rPr>
            </w:pPr>
            <w:r>
              <w:rPr>
                <w:color w:val="auto"/>
                <w:highlight w:val="none"/>
                <w:lang w:bidi="ar"/>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0" w:type="pct"/>
            <w:shd w:val="clear" w:color="auto" w:fill="auto"/>
            <w:vAlign w:val="center"/>
          </w:tcPr>
          <w:p>
            <w:pPr>
              <w:widowControl/>
              <w:jc w:val="center"/>
              <w:textAlignment w:val="center"/>
              <w:rPr>
                <w:color w:val="auto"/>
                <w:highlight w:val="none"/>
                <w:lang w:bidi="ar"/>
              </w:rPr>
            </w:pPr>
            <w:r>
              <w:rPr>
                <w:color w:val="auto"/>
                <w:highlight w:val="none"/>
                <w:lang w:bidi="ar"/>
              </w:rPr>
              <w:t>219.00</w:t>
            </w:r>
          </w:p>
        </w:tc>
        <w:tc>
          <w:tcPr>
            <w:tcW w:w="1250" w:type="pct"/>
            <w:shd w:val="clear" w:color="auto" w:fill="auto"/>
            <w:vAlign w:val="center"/>
          </w:tcPr>
          <w:p>
            <w:pPr>
              <w:widowControl/>
              <w:jc w:val="center"/>
              <w:textAlignment w:val="center"/>
              <w:rPr>
                <w:color w:val="auto"/>
                <w:highlight w:val="none"/>
                <w:lang w:bidi="ar"/>
              </w:rPr>
            </w:pPr>
            <w:r>
              <w:rPr>
                <w:color w:val="auto"/>
                <w:highlight w:val="none"/>
                <w:lang w:bidi="ar"/>
              </w:rPr>
              <w:t>29.20</w:t>
            </w:r>
          </w:p>
        </w:tc>
        <w:tc>
          <w:tcPr>
            <w:tcW w:w="1250" w:type="pct"/>
            <w:shd w:val="clear" w:color="auto" w:fill="auto"/>
            <w:vAlign w:val="center"/>
          </w:tcPr>
          <w:p>
            <w:pPr>
              <w:widowControl/>
              <w:jc w:val="center"/>
              <w:textAlignment w:val="center"/>
              <w:rPr>
                <w:color w:val="auto"/>
                <w:highlight w:val="none"/>
                <w:lang w:bidi="ar"/>
              </w:rPr>
            </w:pPr>
            <w:r>
              <w:rPr>
                <w:color w:val="auto"/>
                <w:highlight w:val="none"/>
                <w:lang w:bidi="ar"/>
              </w:rPr>
              <w:t>3.650</w:t>
            </w:r>
          </w:p>
        </w:tc>
        <w:tc>
          <w:tcPr>
            <w:tcW w:w="1250" w:type="pct"/>
            <w:shd w:val="clear" w:color="auto" w:fill="auto"/>
            <w:vAlign w:val="center"/>
          </w:tcPr>
          <w:p>
            <w:pPr>
              <w:widowControl/>
              <w:jc w:val="center"/>
              <w:textAlignment w:val="center"/>
              <w:rPr>
                <w:color w:val="auto"/>
                <w:highlight w:val="none"/>
                <w:lang w:bidi="ar"/>
              </w:rPr>
            </w:pPr>
            <w:r>
              <w:rPr>
                <w:color w:val="auto"/>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shd w:val="clear" w:color="auto" w:fill="auto"/>
            <w:vAlign w:val="center"/>
          </w:tcPr>
          <w:p>
            <w:pPr>
              <w:widowControl/>
              <w:textAlignment w:val="center"/>
              <w:rPr>
                <w:color w:val="auto"/>
                <w:kern w:val="0"/>
                <w:highlight w:val="none"/>
              </w:rPr>
            </w:pPr>
            <w:r>
              <w:rPr>
                <w:color w:val="auto"/>
                <w:kern w:val="0"/>
                <w:highlight w:val="none"/>
              </w:rPr>
              <w:t>注：TP、TN总量指标按一级B标排放浓度自动补全。</w:t>
            </w:r>
          </w:p>
        </w:tc>
      </w:tr>
    </w:tbl>
    <w:p>
      <w:pPr>
        <w:spacing w:line="360" w:lineRule="auto"/>
        <w:ind w:firstLine="482" w:firstLineChars="200"/>
        <w:rPr>
          <w:b/>
          <w:bCs/>
          <w:color w:val="auto"/>
          <w:sz w:val="24"/>
          <w:szCs w:val="32"/>
          <w:highlight w:val="none"/>
          <w:lang w:bidi="ar"/>
        </w:rPr>
      </w:pPr>
      <w:r>
        <w:rPr>
          <w:rFonts w:hint="eastAsia"/>
          <w:b/>
          <w:bCs/>
          <w:color w:val="auto"/>
          <w:sz w:val="24"/>
          <w:szCs w:val="32"/>
          <w:highlight w:val="none"/>
          <w:lang w:eastAsia="zh-CN" w:bidi="ar"/>
        </w:rPr>
        <w:t>（</w:t>
      </w:r>
      <w:r>
        <w:rPr>
          <w:rFonts w:hint="eastAsia"/>
          <w:b/>
          <w:bCs/>
          <w:color w:val="auto"/>
          <w:sz w:val="24"/>
          <w:szCs w:val="32"/>
          <w:highlight w:val="none"/>
          <w:lang w:val="en-US" w:eastAsia="zh-CN" w:bidi="ar"/>
        </w:rPr>
        <w:t>2</w:t>
      </w:r>
      <w:r>
        <w:rPr>
          <w:rFonts w:hint="eastAsia"/>
          <w:b/>
          <w:bCs/>
          <w:color w:val="auto"/>
          <w:sz w:val="24"/>
          <w:szCs w:val="32"/>
          <w:highlight w:val="none"/>
          <w:lang w:eastAsia="zh-CN" w:bidi="ar"/>
        </w:rPr>
        <w:t>）</w:t>
      </w:r>
      <w:r>
        <w:rPr>
          <w:b/>
          <w:bCs/>
          <w:color w:val="auto"/>
          <w:sz w:val="24"/>
          <w:szCs w:val="32"/>
          <w:highlight w:val="none"/>
          <w:lang w:bidi="ar"/>
        </w:rPr>
        <w:t>现有项目总量执行情况</w:t>
      </w:r>
    </w:p>
    <w:p>
      <w:pPr>
        <w:spacing w:line="360" w:lineRule="auto"/>
        <w:ind w:firstLine="480" w:firstLineChars="200"/>
        <w:rPr>
          <w:color w:val="auto"/>
          <w:sz w:val="24"/>
          <w:szCs w:val="32"/>
          <w:highlight w:val="none"/>
          <w:lang w:bidi="ar"/>
        </w:rPr>
      </w:pPr>
      <w:r>
        <w:rPr>
          <w:color w:val="auto"/>
          <w:sz w:val="24"/>
          <w:szCs w:val="32"/>
          <w:highlight w:val="none"/>
          <w:lang w:bidi="ar"/>
        </w:rPr>
        <w:t>根据中蓉达（2023）第WT063号，</w:t>
      </w:r>
      <w:r>
        <w:rPr>
          <w:color w:val="auto"/>
          <w:sz w:val="24"/>
          <w:szCs w:val="24"/>
          <w:highlight w:val="none"/>
          <w:lang w:bidi="ar"/>
        </w:rPr>
        <w:t>一期项目水污染物总量控制指标执行情况如下表所示：</w:t>
      </w:r>
    </w:p>
    <w:p>
      <w:pPr>
        <w:spacing w:line="360" w:lineRule="auto"/>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6</w:t>
      </w:r>
      <w:r>
        <w:rPr>
          <w:rFonts w:eastAsia="黑体"/>
          <w:color w:val="auto"/>
          <w:highlight w:val="none"/>
        </w:rPr>
        <w:t>-</w:t>
      </w:r>
      <w:r>
        <w:rPr>
          <w:rFonts w:hint="eastAsia" w:eastAsia="黑体"/>
          <w:color w:val="auto"/>
          <w:highlight w:val="none"/>
          <w:lang w:val="en-US" w:eastAsia="zh-CN"/>
        </w:rPr>
        <w:t>5</w:t>
      </w:r>
      <w:r>
        <w:rPr>
          <w:rFonts w:hint="eastAsia" w:eastAsia="黑体"/>
          <w:color w:val="auto"/>
          <w:highlight w:val="none"/>
        </w:rPr>
        <w:t xml:space="preserve"> </w:t>
      </w:r>
      <w:r>
        <w:rPr>
          <w:rFonts w:eastAsia="黑体"/>
          <w:color w:val="auto"/>
          <w:highlight w:val="none"/>
        </w:rPr>
        <w:t>现有项目水污染物总量指标</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072"/>
        <w:gridCol w:w="1076"/>
        <w:gridCol w:w="1072"/>
        <w:gridCol w:w="1076"/>
        <w:gridCol w:w="1072"/>
        <w:gridCol w:w="1072"/>
        <w:gridCol w:w="4"/>
        <w:gridCol w:w="1068"/>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kern w:val="0"/>
                <w:highlight w:val="none"/>
              </w:rPr>
            </w:pPr>
            <w:r>
              <w:rPr>
                <w:b/>
                <w:bCs/>
                <w:color w:val="auto"/>
                <w:kern w:val="0"/>
                <w:highlight w:val="none"/>
              </w:rPr>
              <w:t>水污染物（t/a）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年份</w:t>
            </w:r>
          </w:p>
        </w:tc>
        <w:tc>
          <w:tcPr>
            <w:tcW w:w="1108"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COD</w:t>
            </w:r>
          </w:p>
        </w:tc>
        <w:tc>
          <w:tcPr>
            <w:tcW w:w="1108"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NH</w:t>
            </w:r>
            <w:r>
              <w:rPr>
                <w:b/>
                <w:bCs/>
                <w:color w:val="auto"/>
                <w:highlight w:val="none"/>
                <w:vertAlign w:val="subscript"/>
                <w:lang w:bidi="ar"/>
              </w:rPr>
              <w:t>3</w:t>
            </w:r>
            <w:r>
              <w:rPr>
                <w:b/>
                <w:bCs/>
                <w:color w:val="auto"/>
                <w:highlight w:val="none"/>
                <w:lang w:bidi="ar"/>
              </w:rPr>
              <w:t>-N</w:t>
            </w:r>
          </w:p>
        </w:tc>
        <w:tc>
          <w:tcPr>
            <w:tcW w:w="1108" w:type="pct"/>
            <w:gridSpan w:val="3"/>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TP</w:t>
            </w:r>
          </w:p>
        </w:tc>
        <w:tc>
          <w:tcPr>
            <w:tcW w:w="1108"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vMerge w:val="continue"/>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许可排放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实际排放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许可排放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实际排放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许可排放</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实际排放</w:t>
            </w:r>
          </w:p>
        </w:tc>
        <w:tc>
          <w:tcPr>
            <w:tcW w:w="553"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许可排放</w:t>
            </w:r>
          </w:p>
        </w:tc>
        <w:tc>
          <w:tcPr>
            <w:tcW w:w="556"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b/>
                <w:bCs/>
                <w:color w:val="auto"/>
                <w:highlight w:val="none"/>
                <w:lang w:bidi="ar"/>
              </w:rPr>
            </w:pPr>
            <w:r>
              <w:rPr>
                <w:b/>
                <w:bCs/>
                <w:color w:val="auto"/>
                <w:highlight w:val="none"/>
                <w:lang w:bidi="ar"/>
              </w:rPr>
              <w:t>实际排放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6"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2023年</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219.0</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83.95</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29.2</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0.72</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3.160</w:t>
            </w:r>
          </w:p>
        </w:tc>
        <w:tc>
          <w:tcPr>
            <w:tcW w:w="553"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0.949</w:t>
            </w:r>
          </w:p>
        </w:tc>
        <w:tc>
          <w:tcPr>
            <w:tcW w:w="553" w:type="pct"/>
            <w:gridSpan w:val="2"/>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73.00</w:t>
            </w:r>
          </w:p>
        </w:tc>
        <w:tc>
          <w:tcPr>
            <w:tcW w:w="556" w:type="pc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pPr>
              <w:widowControl/>
              <w:jc w:val="center"/>
              <w:textAlignment w:val="center"/>
              <w:rPr>
                <w:color w:val="auto"/>
                <w:highlight w:val="none"/>
                <w:lang w:bidi="ar"/>
              </w:rPr>
            </w:pPr>
            <w:r>
              <w:rPr>
                <w:color w:val="auto"/>
                <w:highlight w:val="none"/>
                <w:lang w:bidi="ar"/>
              </w:rPr>
              <w:t>30.37</w:t>
            </w:r>
          </w:p>
        </w:tc>
      </w:tr>
    </w:tbl>
    <w:p>
      <w:pPr>
        <w:spacing w:line="360" w:lineRule="auto"/>
        <w:ind w:firstLine="482" w:firstLineChars="200"/>
        <w:rPr>
          <w:b/>
          <w:bCs/>
          <w:color w:val="auto"/>
          <w:sz w:val="24"/>
          <w:szCs w:val="32"/>
          <w:highlight w:val="none"/>
          <w:lang w:bidi="ar"/>
        </w:rPr>
      </w:pPr>
      <w:r>
        <w:rPr>
          <w:rFonts w:hint="eastAsia"/>
          <w:b/>
          <w:bCs/>
          <w:color w:val="auto"/>
          <w:sz w:val="24"/>
          <w:szCs w:val="32"/>
          <w:highlight w:val="none"/>
          <w:lang w:eastAsia="zh-CN" w:bidi="ar"/>
        </w:rPr>
        <w:t>（</w:t>
      </w:r>
      <w:r>
        <w:rPr>
          <w:rFonts w:hint="eastAsia"/>
          <w:b/>
          <w:bCs/>
          <w:color w:val="auto"/>
          <w:sz w:val="24"/>
          <w:szCs w:val="32"/>
          <w:highlight w:val="none"/>
          <w:lang w:val="en-US" w:eastAsia="zh-CN" w:bidi="ar"/>
        </w:rPr>
        <w:t>3</w:t>
      </w:r>
      <w:r>
        <w:rPr>
          <w:rFonts w:hint="eastAsia"/>
          <w:b/>
          <w:bCs/>
          <w:color w:val="auto"/>
          <w:sz w:val="24"/>
          <w:szCs w:val="32"/>
          <w:highlight w:val="none"/>
          <w:lang w:eastAsia="zh-CN" w:bidi="ar"/>
        </w:rPr>
        <w:t>）</w:t>
      </w:r>
      <w:r>
        <w:rPr>
          <w:b/>
          <w:bCs/>
          <w:color w:val="auto"/>
          <w:sz w:val="24"/>
          <w:szCs w:val="32"/>
          <w:highlight w:val="none"/>
          <w:lang w:bidi="ar"/>
        </w:rPr>
        <w:t>本项目污染物排放总量</w:t>
      </w:r>
    </w:p>
    <w:p>
      <w:pPr>
        <w:spacing w:line="360" w:lineRule="auto"/>
        <w:ind w:firstLine="482" w:firstLineChars="200"/>
        <w:rPr>
          <w:b/>
          <w:bCs/>
          <w:color w:val="auto"/>
          <w:sz w:val="24"/>
          <w:szCs w:val="32"/>
          <w:highlight w:val="none"/>
          <w:lang w:bidi="ar"/>
        </w:rPr>
      </w:pPr>
      <w:r>
        <w:rPr>
          <w:rFonts w:hint="eastAsia"/>
          <w:b/>
          <w:bCs/>
          <w:color w:val="auto"/>
          <w:sz w:val="24"/>
          <w:szCs w:val="32"/>
          <w:highlight w:val="none"/>
          <w:lang w:val="en-US" w:eastAsia="zh-CN" w:bidi="ar"/>
        </w:rPr>
        <w:t>①</w:t>
      </w:r>
      <w:r>
        <w:rPr>
          <w:b/>
          <w:bCs/>
          <w:color w:val="auto"/>
          <w:sz w:val="24"/>
          <w:szCs w:val="32"/>
          <w:highlight w:val="none"/>
          <w:lang w:bidi="ar"/>
        </w:rPr>
        <w:t>一期工程</w:t>
      </w:r>
    </w:p>
    <w:p>
      <w:pPr>
        <w:spacing w:line="360" w:lineRule="auto"/>
        <w:ind w:firstLine="480" w:firstLineChars="200"/>
        <w:rPr>
          <w:color w:val="auto"/>
          <w:sz w:val="24"/>
          <w:szCs w:val="32"/>
          <w:highlight w:val="none"/>
          <w:lang w:bidi="ar"/>
        </w:rPr>
      </w:pPr>
      <w:r>
        <w:rPr>
          <w:color w:val="auto"/>
          <w:sz w:val="24"/>
          <w:szCs w:val="32"/>
          <w:highlight w:val="none"/>
          <w:lang w:bidi="ar"/>
        </w:rPr>
        <w:t>本项目现有一期工程污水处理量为1.0万m</w:t>
      </w:r>
      <w:r>
        <w:rPr>
          <w:color w:val="auto"/>
          <w:sz w:val="24"/>
          <w:szCs w:val="32"/>
          <w:highlight w:val="none"/>
          <w:vertAlign w:val="superscript"/>
          <w:lang w:bidi="ar"/>
        </w:rPr>
        <w:t>3</w:t>
      </w:r>
      <w:r>
        <w:rPr>
          <w:color w:val="auto"/>
          <w:sz w:val="24"/>
          <w:szCs w:val="32"/>
          <w:highlight w:val="none"/>
          <w:lang w:bidi="ar"/>
        </w:rPr>
        <w:t>/d，外排废水由一级B标提升至一级A标。</w:t>
      </w:r>
    </w:p>
    <w:p>
      <w:pPr>
        <w:spacing w:line="360" w:lineRule="auto"/>
        <w:ind w:firstLine="480" w:firstLineChars="200"/>
        <w:rPr>
          <w:color w:val="auto"/>
          <w:sz w:val="24"/>
          <w:szCs w:val="32"/>
          <w:highlight w:val="none"/>
          <w:lang w:bidi="ar"/>
        </w:rPr>
      </w:pPr>
      <w:r>
        <w:rPr>
          <w:color w:val="auto"/>
          <w:sz w:val="24"/>
          <w:szCs w:val="32"/>
          <w:highlight w:val="none"/>
          <w:lang w:bidi="ar"/>
        </w:rPr>
        <w:t>化学需氧量（COD）=10000m</w:t>
      </w:r>
      <w:r>
        <w:rPr>
          <w:color w:val="auto"/>
          <w:sz w:val="24"/>
          <w:szCs w:val="32"/>
          <w:highlight w:val="none"/>
          <w:vertAlign w:val="superscript"/>
          <w:lang w:bidi="ar"/>
        </w:rPr>
        <w:t>3</w:t>
      </w:r>
      <w:r>
        <w:rPr>
          <w:color w:val="auto"/>
          <w:sz w:val="24"/>
          <w:szCs w:val="32"/>
          <w:highlight w:val="none"/>
          <w:lang w:bidi="ar"/>
        </w:rPr>
        <w:t>/d×50mg/L×365d/a×10</w:t>
      </w:r>
      <w:r>
        <w:rPr>
          <w:color w:val="auto"/>
          <w:sz w:val="24"/>
          <w:szCs w:val="32"/>
          <w:highlight w:val="none"/>
          <w:vertAlign w:val="superscript"/>
          <w:lang w:bidi="ar"/>
        </w:rPr>
        <w:t>-6</w:t>
      </w:r>
      <w:r>
        <w:rPr>
          <w:color w:val="auto"/>
          <w:sz w:val="24"/>
          <w:szCs w:val="32"/>
          <w:highlight w:val="none"/>
          <w:lang w:bidi="ar"/>
        </w:rPr>
        <w:t>=182.50t/a</w:t>
      </w:r>
    </w:p>
    <w:p>
      <w:pPr>
        <w:spacing w:line="360" w:lineRule="auto"/>
        <w:ind w:firstLine="480" w:firstLineChars="200"/>
        <w:rPr>
          <w:color w:val="auto"/>
          <w:sz w:val="24"/>
          <w:szCs w:val="32"/>
          <w:highlight w:val="none"/>
          <w:lang w:bidi="ar"/>
        </w:rPr>
      </w:pPr>
      <w:r>
        <w:rPr>
          <w:color w:val="auto"/>
          <w:sz w:val="24"/>
          <w:szCs w:val="32"/>
          <w:highlight w:val="none"/>
          <w:lang w:bidi="ar"/>
        </w:rPr>
        <w:t>氨氮（NH</w:t>
      </w:r>
      <w:r>
        <w:rPr>
          <w:color w:val="auto"/>
          <w:sz w:val="24"/>
          <w:szCs w:val="32"/>
          <w:highlight w:val="none"/>
          <w:vertAlign w:val="subscript"/>
          <w:lang w:bidi="ar"/>
        </w:rPr>
        <w:t>3</w:t>
      </w:r>
      <w:r>
        <w:rPr>
          <w:color w:val="auto"/>
          <w:sz w:val="24"/>
          <w:szCs w:val="32"/>
          <w:highlight w:val="none"/>
          <w:lang w:bidi="ar"/>
        </w:rPr>
        <w:t>-N）=10000m</w:t>
      </w:r>
      <w:r>
        <w:rPr>
          <w:color w:val="auto"/>
          <w:sz w:val="24"/>
          <w:szCs w:val="32"/>
          <w:highlight w:val="none"/>
          <w:vertAlign w:val="superscript"/>
          <w:lang w:bidi="ar"/>
        </w:rPr>
        <w:t>3</w:t>
      </w:r>
      <w:r>
        <w:rPr>
          <w:color w:val="auto"/>
          <w:sz w:val="24"/>
          <w:szCs w:val="32"/>
          <w:highlight w:val="none"/>
          <w:lang w:bidi="ar"/>
        </w:rPr>
        <w:t>/d×5mg/L×365d/a×10</w:t>
      </w:r>
      <w:r>
        <w:rPr>
          <w:color w:val="auto"/>
          <w:sz w:val="24"/>
          <w:szCs w:val="32"/>
          <w:highlight w:val="none"/>
          <w:vertAlign w:val="superscript"/>
          <w:lang w:bidi="ar"/>
        </w:rPr>
        <w:t>-6</w:t>
      </w:r>
      <w:r>
        <w:rPr>
          <w:color w:val="auto"/>
          <w:sz w:val="24"/>
          <w:szCs w:val="32"/>
          <w:highlight w:val="none"/>
          <w:lang w:bidi="ar"/>
        </w:rPr>
        <w:t>=18.25t/a</w:t>
      </w:r>
    </w:p>
    <w:p>
      <w:pPr>
        <w:spacing w:line="360" w:lineRule="auto"/>
        <w:ind w:firstLine="480" w:firstLineChars="200"/>
        <w:rPr>
          <w:color w:val="auto"/>
          <w:sz w:val="24"/>
          <w:szCs w:val="32"/>
          <w:highlight w:val="none"/>
          <w:lang w:bidi="ar"/>
        </w:rPr>
      </w:pPr>
      <w:r>
        <w:rPr>
          <w:color w:val="auto"/>
          <w:sz w:val="24"/>
          <w:szCs w:val="32"/>
          <w:highlight w:val="none"/>
          <w:lang w:bidi="ar"/>
        </w:rPr>
        <w:t>总磷（TP）=10000m</w:t>
      </w:r>
      <w:r>
        <w:rPr>
          <w:color w:val="auto"/>
          <w:sz w:val="24"/>
          <w:szCs w:val="32"/>
          <w:highlight w:val="none"/>
          <w:vertAlign w:val="superscript"/>
          <w:lang w:bidi="ar"/>
        </w:rPr>
        <w:t>3</w:t>
      </w:r>
      <w:r>
        <w:rPr>
          <w:color w:val="auto"/>
          <w:sz w:val="24"/>
          <w:szCs w:val="32"/>
          <w:highlight w:val="none"/>
          <w:lang w:bidi="ar"/>
        </w:rPr>
        <w:t>/d×0.5mg/L×365d/a×10</w:t>
      </w:r>
      <w:r>
        <w:rPr>
          <w:color w:val="auto"/>
          <w:sz w:val="24"/>
          <w:szCs w:val="32"/>
          <w:highlight w:val="none"/>
          <w:vertAlign w:val="superscript"/>
          <w:lang w:bidi="ar"/>
        </w:rPr>
        <w:t>-6</w:t>
      </w:r>
      <w:r>
        <w:rPr>
          <w:color w:val="auto"/>
          <w:sz w:val="24"/>
          <w:szCs w:val="32"/>
          <w:highlight w:val="none"/>
          <w:lang w:bidi="ar"/>
        </w:rPr>
        <w:t>=1.825t/a</w:t>
      </w:r>
    </w:p>
    <w:p>
      <w:pPr>
        <w:spacing w:line="360" w:lineRule="auto"/>
        <w:ind w:firstLine="480" w:firstLineChars="200"/>
        <w:rPr>
          <w:color w:val="auto"/>
          <w:sz w:val="24"/>
          <w:szCs w:val="32"/>
          <w:highlight w:val="none"/>
          <w:lang w:bidi="ar"/>
        </w:rPr>
      </w:pPr>
      <w:r>
        <w:rPr>
          <w:color w:val="auto"/>
          <w:sz w:val="24"/>
          <w:szCs w:val="32"/>
          <w:highlight w:val="none"/>
          <w:lang w:bidi="ar"/>
        </w:rPr>
        <w:t>总氮（TN）=10000m</w:t>
      </w:r>
      <w:r>
        <w:rPr>
          <w:color w:val="auto"/>
          <w:sz w:val="24"/>
          <w:szCs w:val="32"/>
          <w:highlight w:val="none"/>
          <w:vertAlign w:val="superscript"/>
          <w:lang w:bidi="ar"/>
        </w:rPr>
        <w:t>3</w:t>
      </w:r>
      <w:r>
        <w:rPr>
          <w:color w:val="auto"/>
          <w:sz w:val="24"/>
          <w:szCs w:val="32"/>
          <w:highlight w:val="none"/>
          <w:lang w:bidi="ar"/>
        </w:rPr>
        <w:t>/d×15mg/L×365d/a×10</w:t>
      </w:r>
      <w:r>
        <w:rPr>
          <w:color w:val="auto"/>
          <w:sz w:val="24"/>
          <w:szCs w:val="32"/>
          <w:highlight w:val="none"/>
          <w:vertAlign w:val="superscript"/>
          <w:lang w:bidi="ar"/>
        </w:rPr>
        <w:t>-6</w:t>
      </w:r>
      <w:r>
        <w:rPr>
          <w:color w:val="auto"/>
          <w:sz w:val="24"/>
          <w:szCs w:val="32"/>
          <w:highlight w:val="none"/>
          <w:lang w:bidi="ar"/>
        </w:rPr>
        <w:t>=54.75t/a</w:t>
      </w:r>
    </w:p>
    <w:p>
      <w:pPr>
        <w:spacing w:line="360" w:lineRule="auto"/>
        <w:ind w:firstLine="480" w:firstLineChars="200"/>
        <w:rPr>
          <w:color w:val="auto"/>
          <w:sz w:val="24"/>
          <w:szCs w:val="32"/>
          <w:highlight w:val="none"/>
          <w:lang w:bidi="ar"/>
        </w:rPr>
      </w:pPr>
      <w:r>
        <w:rPr>
          <w:color w:val="auto"/>
          <w:sz w:val="24"/>
          <w:szCs w:val="32"/>
          <w:highlight w:val="none"/>
          <w:lang w:bidi="ar"/>
        </w:rPr>
        <w:t>现有一期工程由一级B标提升至一级A标，COD削减量36.50t/a、NH</w:t>
      </w:r>
      <w:r>
        <w:rPr>
          <w:color w:val="auto"/>
          <w:sz w:val="24"/>
          <w:szCs w:val="32"/>
          <w:highlight w:val="none"/>
          <w:vertAlign w:val="subscript"/>
          <w:lang w:bidi="ar"/>
        </w:rPr>
        <w:t>3</w:t>
      </w:r>
      <w:r>
        <w:rPr>
          <w:color w:val="auto"/>
          <w:sz w:val="24"/>
          <w:szCs w:val="32"/>
          <w:highlight w:val="none"/>
          <w:lang w:bidi="ar"/>
        </w:rPr>
        <w:t>-N削减量10.95t/a、TP削减量1.825t/a、TN削减量18.25t/a。</w:t>
      </w:r>
    </w:p>
    <w:p>
      <w:pPr>
        <w:spacing w:line="360" w:lineRule="auto"/>
        <w:ind w:firstLine="482" w:firstLineChars="200"/>
        <w:rPr>
          <w:color w:val="auto"/>
          <w:sz w:val="24"/>
          <w:szCs w:val="32"/>
          <w:highlight w:val="none"/>
          <w:lang w:bidi="ar"/>
        </w:rPr>
      </w:pPr>
      <w:r>
        <w:rPr>
          <w:rFonts w:hint="eastAsia"/>
          <w:b/>
          <w:bCs/>
          <w:color w:val="auto"/>
          <w:sz w:val="24"/>
          <w:szCs w:val="32"/>
          <w:highlight w:val="none"/>
          <w:lang w:val="en-US" w:eastAsia="zh-CN" w:bidi="ar"/>
        </w:rPr>
        <w:t>②</w:t>
      </w:r>
      <w:r>
        <w:rPr>
          <w:b/>
          <w:bCs/>
          <w:color w:val="auto"/>
          <w:sz w:val="24"/>
          <w:szCs w:val="32"/>
          <w:highlight w:val="none"/>
          <w:lang w:bidi="ar"/>
        </w:rPr>
        <w:t>二期工程</w:t>
      </w:r>
    </w:p>
    <w:p>
      <w:pPr>
        <w:spacing w:line="360" w:lineRule="auto"/>
        <w:ind w:firstLine="480" w:firstLineChars="200"/>
        <w:rPr>
          <w:color w:val="auto"/>
          <w:sz w:val="24"/>
          <w:szCs w:val="32"/>
          <w:highlight w:val="none"/>
          <w:lang w:bidi="ar"/>
        </w:rPr>
      </w:pPr>
      <w:r>
        <w:rPr>
          <w:color w:val="auto"/>
          <w:sz w:val="24"/>
          <w:szCs w:val="32"/>
          <w:highlight w:val="none"/>
          <w:lang w:bidi="ar"/>
        </w:rPr>
        <w:t>本项目（二期工程）污水处理量为1.0万m</w:t>
      </w:r>
      <w:r>
        <w:rPr>
          <w:color w:val="auto"/>
          <w:sz w:val="24"/>
          <w:szCs w:val="32"/>
          <w:highlight w:val="none"/>
          <w:vertAlign w:val="superscript"/>
          <w:lang w:bidi="ar"/>
        </w:rPr>
        <w:t>3</w:t>
      </w:r>
      <w:r>
        <w:rPr>
          <w:color w:val="auto"/>
          <w:sz w:val="24"/>
          <w:szCs w:val="32"/>
          <w:highlight w:val="none"/>
          <w:lang w:bidi="ar"/>
        </w:rPr>
        <w:t>/d，外排废水达《城镇污水处理厂污染物排放标准》（GB18918-2002）一级A标准（COD50mg/L、NH</w:t>
      </w:r>
      <w:r>
        <w:rPr>
          <w:color w:val="auto"/>
          <w:sz w:val="24"/>
          <w:szCs w:val="32"/>
          <w:highlight w:val="none"/>
          <w:vertAlign w:val="subscript"/>
          <w:lang w:bidi="ar"/>
        </w:rPr>
        <w:t>3</w:t>
      </w:r>
      <w:r>
        <w:rPr>
          <w:color w:val="auto"/>
          <w:sz w:val="24"/>
          <w:szCs w:val="32"/>
          <w:highlight w:val="none"/>
          <w:lang w:bidi="ar"/>
        </w:rPr>
        <w:t>-N5mg/L、TP0.5mg/L、TN15mg/L）。</w:t>
      </w:r>
    </w:p>
    <w:p>
      <w:pPr>
        <w:spacing w:line="360" w:lineRule="auto"/>
        <w:ind w:firstLine="480" w:firstLineChars="200"/>
        <w:rPr>
          <w:color w:val="auto"/>
          <w:sz w:val="24"/>
          <w:szCs w:val="32"/>
          <w:highlight w:val="none"/>
          <w:lang w:bidi="ar"/>
        </w:rPr>
      </w:pPr>
      <w:r>
        <w:rPr>
          <w:color w:val="auto"/>
          <w:sz w:val="24"/>
          <w:szCs w:val="32"/>
          <w:highlight w:val="none"/>
          <w:lang w:bidi="ar"/>
        </w:rPr>
        <w:t>化学需氧量（COD）=10000m</w:t>
      </w:r>
      <w:r>
        <w:rPr>
          <w:color w:val="auto"/>
          <w:sz w:val="24"/>
          <w:szCs w:val="32"/>
          <w:highlight w:val="none"/>
          <w:vertAlign w:val="superscript"/>
          <w:lang w:bidi="ar"/>
        </w:rPr>
        <w:t>3</w:t>
      </w:r>
      <w:r>
        <w:rPr>
          <w:color w:val="auto"/>
          <w:sz w:val="24"/>
          <w:szCs w:val="32"/>
          <w:highlight w:val="none"/>
          <w:lang w:bidi="ar"/>
        </w:rPr>
        <w:t>/d×50mg/L×365d/a×10</w:t>
      </w:r>
      <w:r>
        <w:rPr>
          <w:color w:val="auto"/>
          <w:sz w:val="24"/>
          <w:szCs w:val="32"/>
          <w:highlight w:val="none"/>
          <w:vertAlign w:val="superscript"/>
          <w:lang w:bidi="ar"/>
        </w:rPr>
        <w:t>-6</w:t>
      </w:r>
      <w:r>
        <w:rPr>
          <w:color w:val="auto"/>
          <w:sz w:val="24"/>
          <w:szCs w:val="32"/>
          <w:highlight w:val="none"/>
          <w:lang w:bidi="ar"/>
        </w:rPr>
        <w:t>=182.50t/a</w:t>
      </w:r>
    </w:p>
    <w:p>
      <w:pPr>
        <w:spacing w:line="360" w:lineRule="auto"/>
        <w:ind w:firstLine="480" w:firstLineChars="200"/>
        <w:rPr>
          <w:color w:val="auto"/>
          <w:sz w:val="24"/>
          <w:szCs w:val="32"/>
          <w:highlight w:val="none"/>
          <w:lang w:bidi="ar"/>
        </w:rPr>
      </w:pPr>
      <w:r>
        <w:rPr>
          <w:color w:val="auto"/>
          <w:sz w:val="24"/>
          <w:szCs w:val="32"/>
          <w:highlight w:val="none"/>
          <w:lang w:bidi="ar"/>
        </w:rPr>
        <w:t>氨氮（NH</w:t>
      </w:r>
      <w:r>
        <w:rPr>
          <w:color w:val="auto"/>
          <w:sz w:val="24"/>
          <w:szCs w:val="32"/>
          <w:highlight w:val="none"/>
          <w:vertAlign w:val="subscript"/>
          <w:lang w:bidi="ar"/>
        </w:rPr>
        <w:t>3</w:t>
      </w:r>
      <w:r>
        <w:rPr>
          <w:color w:val="auto"/>
          <w:sz w:val="24"/>
          <w:szCs w:val="32"/>
          <w:highlight w:val="none"/>
          <w:lang w:bidi="ar"/>
        </w:rPr>
        <w:t>-N）=10000m</w:t>
      </w:r>
      <w:r>
        <w:rPr>
          <w:color w:val="auto"/>
          <w:sz w:val="24"/>
          <w:szCs w:val="32"/>
          <w:highlight w:val="none"/>
          <w:vertAlign w:val="superscript"/>
          <w:lang w:bidi="ar"/>
        </w:rPr>
        <w:t>3</w:t>
      </w:r>
      <w:r>
        <w:rPr>
          <w:color w:val="auto"/>
          <w:sz w:val="24"/>
          <w:szCs w:val="32"/>
          <w:highlight w:val="none"/>
          <w:lang w:bidi="ar"/>
        </w:rPr>
        <w:t>/d×5mg/L×365d/a×10</w:t>
      </w:r>
      <w:r>
        <w:rPr>
          <w:color w:val="auto"/>
          <w:sz w:val="24"/>
          <w:szCs w:val="32"/>
          <w:highlight w:val="none"/>
          <w:vertAlign w:val="superscript"/>
          <w:lang w:bidi="ar"/>
        </w:rPr>
        <w:t>-6</w:t>
      </w:r>
      <w:r>
        <w:rPr>
          <w:color w:val="auto"/>
          <w:sz w:val="24"/>
          <w:szCs w:val="32"/>
          <w:highlight w:val="none"/>
          <w:lang w:bidi="ar"/>
        </w:rPr>
        <w:t>=18.25t/a</w:t>
      </w:r>
    </w:p>
    <w:p>
      <w:pPr>
        <w:spacing w:line="360" w:lineRule="auto"/>
        <w:ind w:firstLine="480" w:firstLineChars="200"/>
        <w:rPr>
          <w:color w:val="auto"/>
          <w:sz w:val="24"/>
          <w:szCs w:val="32"/>
          <w:highlight w:val="none"/>
          <w:lang w:bidi="ar"/>
        </w:rPr>
      </w:pPr>
      <w:r>
        <w:rPr>
          <w:color w:val="auto"/>
          <w:sz w:val="24"/>
          <w:szCs w:val="32"/>
          <w:highlight w:val="none"/>
          <w:lang w:bidi="ar"/>
        </w:rPr>
        <w:t>总磷（TP）=10000m</w:t>
      </w:r>
      <w:r>
        <w:rPr>
          <w:color w:val="auto"/>
          <w:sz w:val="24"/>
          <w:szCs w:val="32"/>
          <w:highlight w:val="none"/>
          <w:vertAlign w:val="superscript"/>
          <w:lang w:bidi="ar"/>
        </w:rPr>
        <w:t>3</w:t>
      </w:r>
      <w:r>
        <w:rPr>
          <w:color w:val="auto"/>
          <w:sz w:val="24"/>
          <w:szCs w:val="32"/>
          <w:highlight w:val="none"/>
          <w:lang w:bidi="ar"/>
        </w:rPr>
        <w:t>/d×0.5mg/L×365d/a×10</w:t>
      </w:r>
      <w:r>
        <w:rPr>
          <w:color w:val="auto"/>
          <w:sz w:val="24"/>
          <w:szCs w:val="32"/>
          <w:highlight w:val="none"/>
          <w:vertAlign w:val="superscript"/>
          <w:lang w:bidi="ar"/>
        </w:rPr>
        <w:t>-6</w:t>
      </w:r>
      <w:r>
        <w:rPr>
          <w:color w:val="auto"/>
          <w:sz w:val="24"/>
          <w:szCs w:val="32"/>
          <w:highlight w:val="none"/>
          <w:lang w:bidi="ar"/>
        </w:rPr>
        <w:t>=1.825t/a</w:t>
      </w:r>
    </w:p>
    <w:p>
      <w:pPr>
        <w:spacing w:line="360" w:lineRule="auto"/>
        <w:ind w:firstLine="480" w:firstLineChars="200"/>
        <w:rPr>
          <w:color w:val="auto"/>
          <w:sz w:val="24"/>
          <w:szCs w:val="32"/>
          <w:highlight w:val="none"/>
          <w:lang w:bidi="ar"/>
        </w:rPr>
      </w:pPr>
      <w:r>
        <w:rPr>
          <w:color w:val="auto"/>
          <w:sz w:val="24"/>
          <w:szCs w:val="32"/>
          <w:highlight w:val="none"/>
          <w:lang w:bidi="ar"/>
        </w:rPr>
        <w:t>总氮（TN）=10000m</w:t>
      </w:r>
      <w:r>
        <w:rPr>
          <w:color w:val="auto"/>
          <w:sz w:val="24"/>
          <w:szCs w:val="32"/>
          <w:highlight w:val="none"/>
          <w:vertAlign w:val="superscript"/>
          <w:lang w:bidi="ar"/>
        </w:rPr>
        <w:t>3</w:t>
      </w:r>
      <w:r>
        <w:rPr>
          <w:color w:val="auto"/>
          <w:sz w:val="24"/>
          <w:szCs w:val="32"/>
          <w:highlight w:val="none"/>
          <w:lang w:bidi="ar"/>
        </w:rPr>
        <w:t>/d×15mg/L×365d/a×10</w:t>
      </w:r>
      <w:r>
        <w:rPr>
          <w:color w:val="auto"/>
          <w:sz w:val="24"/>
          <w:szCs w:val="32"/>
          <w:highlight w:val="none"/>
          <w:vertAlign w:val="superscript"/>
          <w:lang w:bidi="ar"/>
        </w:rPr>
        <w:t>-6</w:t>
      </w:r>
      <w:r>
        <w:rPr>
          <w:color w:val="auto"/>
          <w:sz w:val="24"/>
          <w:szCs w:val="32"/>
          <w:highlight w:val="none"/>
          <w:lang w:bidi="ar"/>
        </w:rPr>
        <w:t>=54.75t/a</w:t>
      </w:r>
    </w:p>
    <w:p>
      <w:pPr>
        <w:spacing w:line="360" w:lineRule="auto"/>
        <w:ind w:firstLine="482" w:firstLineChars="200"/>
        <w:rPr>
          <w:b/>
          <w:bCs/>
          <w:color w:val="auto"/>
          <w:sz w:val="24"/>
          <w:szCs w:val="32"/>
          <w:highlight w:val="none"/>
          <w:lang w:bidi="ar"/>
        </w:rPr>
      </w:pPr>
      <w:r>
        <w:rPr>
          <w:rFonts w:hint="eastAsia"/>
          <w:b/>
          <w:bCs/>
          <w:color w:val="auto"/>
          <w:sz w:val="24"/>
          <w:szCs w:val="32"/>
          <w:highlight w:val="none"/>
          <w:lang w:val="en-US" w:eastAsia="zh-CN" w:bidi="ar"/>
        </w:rPr>
        <w:t>③</w:t>
      </w:r>
      <w:r>
        <w:rPr>
          <w:b/>
          <w:bCs/>
          <w:color w:val="auto"/>
          <w:sz w:val="24"/>
          <w:szCs w:val="32"/>
          <w:highlight w:val="none"/>
          <w:lang w:bidi="ar"/>
        </w:rPr>
        <w:t>扩建后污染物排放总量</w:t>
      </w:r>
    </w:p>
    <w:p>
      <w:pPr>
        <w:spacing w:line="360" w:lineRule="auto"/>
        <w:ind w:firstLine="480" w:firstLineChars="200"/>
        <w:rPr>
          <w:color w:val="auto"/>
          <w:sz w:val="24"/>
          <w:szCs w:val="32"/>
          <w:highlight w:val="none"/>
          <w:lang w:bidi="ar"/>
        </w:rPr>
      </w:pPr>
      <w:r>
        <w:rPr>
          <w:color w:val="auto"/>
          <w:sz w:val="24"/>
          <w:szCs w:val="32"/>
          <w:highlight w:val="none"/>
          <w:lang w:bidi="ar"/>
        </w:rPr>
        <w:t>项目扩建后污水设计处理能力为2.0万m</w:t>
      </w:r>
      <w:r>
        <w:rPr>
          <w:color w:val="auto"/>
          <w:sz w:val="24"/>
          <w:szCs w:val="32"/>
          <w:highlight w:val="none"/>
          <w:vertAlign w:val="superscript"/>
          <w:lang w:bidi="ar"/>
        </w:rPr>
        <w:t>3</w:t>
      </w:r>
      <w:r>
        <w:rPr>
          <w:color w:val="auto"/>
          <w:sz w:val="24"/>
          <w:szCs w:val="32"/>
          <w:highlight w:val="none"/>
          <w:lang w:bidi="ar"/>
        </w:rPr>
        <w:t>/d，项目尾水执行《城镇污水处理厂污染物排放标准》（GB18918-2002）一级A标准。排放标准如下：</w:t>
      </w:r>
    </w:p>
    <w:p>
      <w:pPr>
        <w:spacing w:line="360" w:lineRule="auto"/>
        <w:ind w:firstLine="480" w:firstLineChars="200"/>
        <w:rPr>
          <w:color w:val="auto"/>
          <w:sz w:val="24"/>
          <w:szCs w:val="32"/>
          <w:highlight w:val="none"/>
          <w:lang w:bidi="ar"/>
        </w:rPr>
      </w:pPr>
      <w:r>
        <w:rPr>
          <w:color w:val="auto"/>
          <w:sz w:val="24"/>
          <w:szCs w:val="32"/>
          <w:highlight w:val="none"/>
          <w:lang w:bidi="ar"/>
        </w:rPr>
        <w:t>化学需氧量=20000m</w:t>
      </w:r>
      <w:r>
        <w:rPr>
          <w:color w:val="auto"/>
          <w:sz w:val="24"/>
          <w:szCs w:val="32"/>
          <w:highlight w:val="none"/>
          <w:vertAlign w:val="superscript"/>
          <w:lang w:bidi="ar"/>
        </w:rPr>
        <w:t>3</w:t>
      </w:r>
      <w:r>
        <w:rPr>
          <w:color w:val="auto"/>
          <w:sz w:val="24"/>
          <w:szCs w:val="32"/>
          <w:highlight w:val="none"/>
          <w:lang w:bidi="ar"/>
        </w:rPr>
        <w:t>/d×50mg/L×365d/a×10</w:t>
      </w:r>
      <w:r>
        <w:rPr>
          <w:color w:val="auto"/>
          <w:sz w:val="24"/>
          <w:szCs w:val="32"/>
          <w:highlight w:val="none"/>
          <w:vertAlign w:val="superscript"/>
          <w:lang w:bidi="ar"/>
        </w:rPr>
        <w:t>-6</w:t>
      </w:r>
      <w:r>
        <w:rPr>
          <w:color w:val="auto"/>
          <w:sz w:val="24"/>
          <w:szCs w:val="32"/>
          <w:highlight w:val="none"/>
          <w:lang w:bidi="ar"/>
        </w:rPr>
        <w:t>=365.0t/a</w:t>
      </w:r>
    </w:p>
    <w:p>
      <w:pPr>
        <w:spacing w:line="360" w:lineRule="auto"/>
        <w:ind w:firstLine="480" w:firstLineChars="200"/>
        <w:rPr>
          <w:color w:val="auto"/>
          <w:sz w:val="24"/>
          <w:szCs w:val="32"/>
          <w:highlight w:val="none"/>
          <w:lang w:bidi="ar"/>
        </w:rPr>
      </w:pPr>
      <w:r>
        <w:rPr>
          <w:color w:val="auto"/>
          <w:sz w:val="24"/>
          <w:szCs w:val="32"/>
          <w:highlight w:val="none"/>
          <w:lang w:bidi="ar"/>
        </w:rPr>
        <w:t>氨氮=20000m</w:t>
      </w:r>
      <w:r>
        <w:rPr>
          <w:color w:val="auto"/>
          <w:sz w:val="24"/>
          <w:szCs w:val="32"/>
          <w:highlight w:val="none"/>
          <w:vertAlign w:val="superscript"/>
          <w:lang w:bidi="ar"/>
        </w:rPr>
        <w:t>3</w:t>
      </w:r>
      <w:r>
        <w:rPr>
          <w:color w:val="auto"/>
          <w:sz w:val="24"/>
          <w:szCs w:val="32"/>
          <w:highlight w:val="none"/>
          <w:lang w:bidi="ar"/>
        </w:rPr>
        <w:t>/d×5mg/L×365d/a×10</w:t>
      </w:r>
      <w:r>
        <w:rPr>
          <w:color w:val="auto"/>
          <w:sz w:val="24"/>
          <w:szCs w:val="32"/>
          <w:highlight w:val="none"/>
          <w:vertAlign w:val="superscript"/>
          <w:lang w:bidi="ar"/>
        </w:rPr>
        <w:t>-6</w:t>
      </w:r>
      <w:r>
        <w:rPr>
          <w:color w:val="auto"/>
          <w:sz w:val="24"/>
          <w:szCs w:val="32"/>
          <w:highlight w:val="none"/>
          <w:lang w:bidi="ar"/>
        </w:rPr>
        <w:t>=36.50t/a</w:t>
      </w:r>
    </w:p>
    <w:p>
      <w:pPr>
        <w:spacing w:line="360" w:lineRule="auto"/>
        <w:ind w:firstLine="480" w:firstLineChars="200"/>
        <w:rPr>
          <w:color w:val="auto"/>
          <w:sz w:val="24"/>
          <w:szCs w:val="32"/>
          <w:highlight w:val="none"/>
          <w:lang w:bidi="ar"/>
        </w:rPr>
      </w:pPr>
      <w:r>
        <w:rPr>
          <w:color w:val="auto"/>
          <w:sz w:val="24"/>
          <w:szCs w:val="32"/>
          <w:highlight w:val="none"/>
          <w:lang w:bidi="ar"/>
        </w:rPr>
        <w:t>总磷=20000m</w:t>
      </w:r>
      <w:r>
        <w:rPr>
          <w:color w:val="auto"/>
          <w:sz w:val="24"/>
          <w:szCs w:val="32"/>
          <w:highlight w:val="none"/>
          <w:vertAlign w:val="superscript"/>
          <w:lang w:bidi="ar"/>
        </w:rPr>
        <w:t>3</w:t>
      </w:r>
      <w:r>
        <w:rPr>
          <w:color w:val="auto"/>
          <w:sz w:val="24"/>
          <w:szCs w:val="32"/>
          <w:highlight w:val="none"/>
          <w:lang w:bidi="ar"/>
        </w:rPr>
        <w:t>/d×0.5mg/L×365d/a×10</w:t>
      </w:r>
      <w:r>
        <w:rPr>
          <w:color w:val="auto"/>
          <w:sz w:val="24"/>
          <w:szCs w:val="32"/>
          <w:highlight w:val="none"/>
          <w:vertAlign w:val="superscript"/>
          <w:lang w:bidi="ar"/>
        </w:rPr>
        <w:t>-6</w:t>
      </w:r>
      <w:r>
        <w:rPr>
          <w:color w:val="auto"/>
          <w:sz w:val="24"/>
          <w:szCs w:val="32"/>
          <w:highlight w:val="none"/>
          <w:lang w:bidi="ar"/>
        </w:rPr>
        <w:t>=3.650t/a</w:t>
      </w:r>
    </w:p>
    <w:p>
      <w:pPr>
        <w:spacing w:line="360" w:lineRule="auto"/>
        <w:ind w:firstLine="480" w:firstLineChars="200"/>
        <w:rPr>
          <w:color w:val="auto"/>
          <w:sz w:val="24"/>
          <w:szCs w:val="24"/>
          <w:highlight w:val="none"/>
          <w:lang w:bidi="ar"/>
        </w:rPr>
      </w:pPr>
      <w:r>
        <w:rPr>
          <w:color w:val="auto"/>
          <w:sz w:val="24"/>
          <w:szCs w:val="32"/>
          <w:highlight w:val="none"/>
          <w:lang w:bidi="ar"/>
        </w:rPr>
        <w:t>总氮=20000m</w:t>
      </w:r>
      <w:r>
        <w:rPr>
          <w:color w:val="auto"/>
          <w:sz w:val="24"/>
          <w:szCs w:val="32"/>
          <w:highlight w:val="none"/>
          <w:vertAlign w:val="superscript"/>
          <w:lang w:bidi="ar"/>
        </w:rPr>
        <w:t>3</w:t>
      </w:r>
      <w:r>
        <w:rPr>
          <w:color w:val="auto"/>
          <w:sz w:val="24"/>
          <w:szCs w:val="32"/>
          <w:highlight w:val="none"/>
          <w:lang w:bidi="ar"/>
        </w:rPr>
        <w:t>/d×15mg/L×365d/a×10</w:t>
      </w:r>
      <w:r>
        <w:rPr>
          <w:color w:val="auto"/>
          <w:sz w:val="24"/>
          <w:szCs w:val="32"/>
          <w:highlight w:val="none"/>
          <w:vertAlign w:val="superscript"/>
          <w:lang w:bidi="ar"/>
        </w:rPr>
        <w:t>-6</w:t>
      </w:r>
      <w:r>
        <w:rPr>
          <w:color w:val="auto"/>
          <w:sz w:val="24"/>
          <w:szCs w:val="32"/>
          <w:highlight w:val="none"/>
          <w:lang w:bidi="ar"/>
        </w:rPr>
        <w:t>=109.50t/a</w:t>
      </w:r>
    </w:p>
    <w:p>
      <w:pPr>
        <w:spacing w:line="360" w:lineRule="auto"/>
        <w:ind w:firstLine="480" w:firstLineChars="200"/>
        <w:rPr>
          <w:color w:val="auto"/>
          <w:sz w:val="24"/>
          <w:szCs w:val="24"/>
          <w:highlight w:val="none"/>
        </w:rPr>
      </w:pPr>
      <w:r>
        <w:rPr>
          <w:color w:val="auto"/>
          <w:sz w:val="24"/>
          <w:szCs w:val="24"/>
          <w:highlight w:val="none"/>
          <w:lang w:bidi="ar"/>
        </w:rPr>
        <w:t>综上所述，本项目扩建完成后全厂总量控制指标见下表：</w:t>
      </w:r>
    </w:p>
    <w:p>
      <w:pPr>
        <w:spacing w:line="360" w:lineRule="auto"/>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6</w:t>
      </w:r>
      <w:r>
        <w:rPr>
          <w:rFonts w:eastAsia="黑体"/>
          <w:color w:val="auto"/>
          <w:highlight w:val="none"/>
        </w:rPr>
        <w:t>-</w:t>
      </w:r>
      <w:r>
        <w:rPr>
          <w:rFonts w:hint="eastAsia" w:eastAsia="黑体"/>
          <w:color w:val="auto"/>
          <w:highlight w:val="none"/>
          <w:lang w:val="en-US" w:eastAsia="zh-CN"/>
        </w:rPr>
        <w:t>6</w:t>
      </w:r>
      <w:r>
        <w:rPr>
          <w:rFonts w:hint="eastAsia" w:eastAsia="黑体"/>
          <w:color w:val="auto"/>
          <w:highlight w:val="none"/>
        </w:rPr>
        <w:t xml:space="preserve"> </w:t>
      </w:r>
      <w:r>
        <w:rPr>
          <w:rFonts w:eastAsia="黑体"/>
          <w:color w:val="auto"/>
          <w:highlight w:val="none"/>
        </w:rPr>
        <w:t>全厂总量控制指标</w:t>
      </w:r>
      <w:r>
        <w:rPr>
          <w:rFonts w:hint="eastAsia" w:eastAsia="黑体"/>
          <w:color w:val="auto"/>
          <w:highlight w:val="none"/>
          <w:lang w:val="en-US" w:eastAsia="zh-CN"/>
        </w:rPr>
        <w:t xml:space="preserve">  </w:t>
      </w:r>
      <w:r>
        <w:rPr>
          <w:rFonts w:eastAsia="黑体"/>
          <w:color w:val="auto"/>
          <w:highlight w:val="none"/>
        </w:rPr>
        <w:t>单位：t/a</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795"/>
        <w:gridCol w:w="982"/>
        <w:gridCol w:w="1225"/>
        <w:gridCol w:w="1587"/>
        <w:gridCol w:w="1984"/>
        <w:gridCol w:w="1288"/>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类型</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污染物</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现有项目</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本项目排放</w:t>
            </w:r>
          </w:p>
        </w:tc>
        <w:tc>
          <w:tcPr>
            <w:tcW w:w="10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提标改造削减量</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合计</w:t>
            </w:r>
          </w:p>
        </w:tc>
        <w:tc>
          <w:tcPr>
            <w:tcW w:w="6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b/>
                <w:bCs/>
                <w:color w:val="auto"/>
                <w:highlight w:val="none"/>
                <w:lang w:bidi="ar"/>
              </w:rPr>
            </w:pPr>
            <w:r>
              <w:rPr>
                <w:b/>
                <w:bCs/>
                <w:color w:val="auto"/>
                <w:highlight w:val="none"/>
                <w:lang w:bidi="ar"/>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废水</w:t>
            </w:r>
          </w:p>
        </w:tc>
        <w:tc>
          <w:tcPr>
            <w:tcW w:w="402" w:type="pct"/>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污水处理厂排口</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COD</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219.00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182.50</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36.50</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365.00</w:t>
            </w:r>
          </w:p>
        </w:tc>
        <w:tc>
          <w:tcPr>
            <w:tcW w:w="634" w:type="pct"/>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前河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402"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NH</w:t>
            </w:r>
            <w:r>
              <w:rPr>
                <w:color w:val="auto"/>
                <w:highlight w:val="none"/>
                <w:vertAlign w:val="subscript"/>
                <w:lang w:bidi="ar"/>
              </w:rPr>
              <w:t>3</w:t>
            </w:r>
            <w:r>
              <w:rPr>
                <w:color w:val="auto"/>
                <w:highlight w:val="none"/>
                <w:lang w:bidi="ar"/>
              </w:rPr>
              <w:t>-N</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29.20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18.25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10.95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36.50</w:t>
            </w:r>
          </w:p>
        </w:tc>
        <w:tc>
          <w:tcPr>
            <w:tcW w:w="634"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402"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TP</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3.650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1.825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1.825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3.650</w:t>
            </w:r>
          </w:p>
        </w:tc>
        <w:tc>
          <w:tcPr>
            <w:tcW w:w="634" w:type="pct"/>
            <w:vMerge w:val="continue"/>
            <w:tcBorders>
              <w:left w:val="single" w:color="auto" w:sz="4" w:space="0"/>
              <w:right w:val="single" w:color="auto" w:sz="4" w:space="0"/>
            </w:tcBorders>
            <w:shd w:val="clear" w:color="auto" w:fill="auto"/>
            <w:vAlign w:val="center"/>
          </w:tcPr>
          <w:p>
            <w:pPr>
              <w:jc w:val="center"/>
              <w:rPr>
                <w:color w:val="auto"/>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p>
        </w:tc>
        <w:tc>
          <w:tcPr>
            <w:tcW w:w="402"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highlight w:val="none"/>
                <w:lang w:bidi="ar"/>
              </w:rPr>
              <w:t>TN</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73.00</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54.75</w:t>
            </w:r>
          </w:p>
        </w:tc>
        <w:tc>
          <w:tcPr>
            <w:tcW w:w="1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18.25</w:t>
            </w:r>
          </w:p>
        </w:tc>
        <w:tc>
          <w:tcPr>
            <w:tcW w:w="11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color w:val="auto"/>
                <w:highlight w:val="none"/>
                <w:lang w:bidi="ar"/>
              </w:rPr>
            </w:pPr>
            <w:r>
              <w:rPr>
                <w:color w:val="auto"/>
                <w:kern w:val="0"/>
                <w:highlight w:val="none"/>
                <w:lang w:bidi="ar"/>
              </w:rPr>
              <w:t>109.50</w:t>
            </w:r>
          </w:p>
        </w:tc>
        <w:tc>
          <w:tcPr>
            <w:tcW w:w="634" w:type="pct"/>
            <w:vMerge w:val="continue"/>
            <w:tcBorders>
              <w:left w:val="single" w:color="auto" w:sz="4" w:space="0"/>
              <w:bottom w:val="single" w:color="auto" w:sz="4" w:space="0"/>
              <w:right w:val="single" w:color="auto" w:sz="4" w:space="0"/>
            </w:tcBorders>
            <w:shd w:val="clear" w:color="auto" w:fill="auto"/>
            <w:vAlign w:val="center"/>
          </w:tcPr>
          <w:p>
            <w:pPr>
              <w:jc w:val="center"/>
              <w:rPr>
                <w:color w:val="auto"/>
                <w:highlight w:val="none"/>
                <w:lang w:bidi="ar"/>
              </w:rPr>
            </w:pPr>
          </w:p>
        </w:tc>
      </w:tr>
    </w:tbl>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bidi w:val="0"/>
        <w:spacing w:line="360" w:lineRule="auto"/>
        <w:ind w:left="0" w:leftChars="0" w:right="0"/>
        <w:outlineLvl w:val="0"/>
        <w:rPr>
          <w:rFonts w:hint="default" w:ascii="Times New Roman" w:hAnsi="Times New Roman" w:eastAsia="黑体" w:cs="Times New Roman"/>
          <w:b/>
          <w:bCs/>
          <w:color w:val="auto"/>
          <w:highlight w:val="none"/>
        </w:rPr>
      </w:pPr>
      <w:r>
        <w:rPr>
          <w:rFonts w:hint="default" w:ascii="Times New Roman" w:hAnsi="Times New Roman" w:cs="Times New Roman"/>
          <w:b/>
          <w:bCs/>
          <w:color w:val="auto"/>
          <w:sz w:val="30"/>
          <w:szCs w:val="30"/>
          <w:highlight w:val="none"/>
          <w:lang w:val="en-US" w:eastAsia="zh-CN"/>
        </w:rPr>
        <w:t>7</w:t>
      </w:r>
      <w:r>
        <w:rPr>
          <w:rFonts w:hint="default" w:ascii="Times New Roman" w:hAnsi="Times New Roman" w:cs="Times New Roman"/>
          <w:b/>
          <w:bCs/>
          <w:color w:val="auto"/>
          <w:sz w:val="30"/>
          <w:szCs w:val="30"/>
          <w:highlight w:val="none"/>
        </w:rPr>
        <w:t xml:space="preserve"> 水环境保护措施与监测计划</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7</w:t>
      </w:r>
      <w:r>
        <w:rPr>
          <w:rFonts w:hint="default" w:ascii="Times New Roman" w:hAnsi="Times New Roman" w:cs="Times New Roman"/>
          <w:b/>
          <w:bCs/>
          <w:color w:val="auto"/>
          <w:sz w:val="28"/>
          <w:szCs w:val="28"/>
          <w:highlight w:val="none"/>
        </w:rPr>
        <w:t>.1 水环境保护措施</w:t>
      </w:r>
    </w:p>
    <w:p>
      <w:pPr>
        <w:pStyle w:val="35"/>
        <w:pageBreakBefore w:val="0"/>
        <w:tabs>
          <w:tab w:val="left" w:pos="425"/>
        </w:tabs>
        <w:kinsoku/>
        <w:wordWrap/>
        <w:bidi w:val="0"/>
        <w:spacing w:line="360"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项目属环保工程，为扩建项目。原项目处理规模由1</w:t>
      </w:r>
      <w:r>
        <w:rPr>
          <w:rFonts w:hint="eastAsia" w:ascii="Times New Roman" w:hAnsi="Times New Roman" w:cs="Times New Roman"/>
          <w:color w:val="auto"/>
          <w:highlight w:val="none"/>
          <w:lang w:val="en-US" w:eastAsia="zh-CN"/>
        </w:rPr>
        <w:t>00</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/d，扩建后调整为</w:t>
      </w:r>
      <w:r>
        <w:rPr>
          <w:rFonts w:hint="eastAsia" w:ascii="Times New Roman" w:hAnsi="Times New Roman" w:cs="Times New Roman"/>
          <w:color w:val="auto"/>
          <w:highlight w:val="none"/>
          <w:lang w:val="en-US" w:eastAsia="zh-CN"/>
        </w:rPr>
        <w:t>200</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/d，尾水排放去向不变，执行标准为《城镇污水处理厂污染物排放标准》（GB18918-2002）一级A标准</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达标尾水</w:t>
      </w:r>
      <w:r>
        <w:rPr>
          <w:rFonts w:hint="default" w:ascii="Times New Roman" w:hAnsi="Times New Roman" w:cs="Times New Roman"/>
          <w:color w:val="auto"/>
          <w:highlight w:val="none"/>
        </w:rPr>
        <w:t>排入</w:t>
      </w:r>
      <w:r>
        <w:rPr>
          <w:rFonts w:hint="eastAsia" w:ascii="Times New Roman" w:hAnsi="Times New Roman" w:cs="Times New Roman"/>
          <w:color w:val="auto"/>
          <w:highlight w:val="none"/>
          <w:lang w:val="en-US" w:eastAsia="zh-CN"/>
        </w:rPr>
        <w:t>前河</w:t>
      </w:r>
      <w:r>
        <w:rPr>
          <w:rFonts w:hint="default" w:ascii="Times New Roman" w:hAnsi="Times New Roman" w:cs="Times New Roman"/>
          <w:color w:val="auto"/>
          <w:highlight w:val="none"/>
        </w:rPr>
        <w:t>。</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36"/>
          <w:highlight w:val="none"/>
        </w:rPr>
        <w:t>建设单位和运营单位应加强污水处理厂全厂的生产运营维护，定期检修，加强环境管理，制定相应的风险应急预案，降低事故排水概率，从而降低本项目运营对地表水环境前河的影响。</w:t>
      </w:r>
    </w:p>
    <w:p>
      <w:pPr>
        <w:pStyle w:val="22"/>
        <w:pageBreakBefore w:val="0"/>
        <w:kinsoku/>
        <w:wordWrap/>
        <w:topLinePunct w:val="0"/>
        <w:bidi w:val="0"/>
        <w:spacing w:after="0" w:line="360" w:lineRule="auto"/>
        <w:ind w:left="0" w:leftChars="0" w:right="0" w:rightChars="0" w:firstLine="482" w:firstLineChars="200"/>
        <w:rPr>
          <w:color w:val="auto"/>
          <w:sz w:val="24"/>
          <w:szCs w:val="36"/>
          <w:highlight w:val="none"/>
        </w:rPr>
      </w:pPr>
      <w:r>
        <w:rPr>
          <w:b/>
          <w:bCs/>
          <w:color w:val="auto"/>
          <w:sz w:val="24"/>
          <w:szCs w:val="36"/>
          <w:highlight w:val="none"/>
        </w:rPr>
        <w:t>本项目的主要治理措施如下：</w:t>
      </w:r>
    </w:p>
    <w:p>
      <w:pPr>
        <w:pStyle w:val="35"/>
        <w:pageBreakBefore w:val="0"/>
        <w:tabs>
          <w:tab w:val="left" w:pos="425"/>
        </w:tabs>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①加强日常监测，随时监控</w:t>
      </w:r>
      <w:r>
        <w:rPr>
          <w:rFonts w:hint="eastAsia" w:ascii="Times New Roman" w:hAnsi="Times New Roman" w:cs="Times New Roman"/>
          <w:color w:val="auto"/>
          <w:sz w:val="24"/>
          <w:szCs w:val="24"/>
          <w:highlight w:val="none"/>
          <w:lang w:val="en-US" w:eastAsia="zh-CN"/>
        </w:rPr>
        <w:t>生化处理单元（厌氧池、氧化沟、MBBR池）</w:t>
      </w:r>
      <w:r>
        <w:rPr>
          <w:rFonts w:hint="default" w:ascii="Times New Roman" w:hAnsi="Times New Roman" w:cs="Times New Roman"/>
          <w:color w:val="auto"/>
          <w:sz w:val="24"/>
          <w:szCs w:val="24"/>
          <w:highlight w:val="none"/>
        </w:rPr>
        <w:t>中溶解氧浓度，活性污泥浓度，处理池处理负荷、污泥可沉降性等多项指标，使污水处理厂处于最佳的运行状态，以确保出水达到排放标准要求。</w:t>
      </w:r>
    </w:p>
    <w:p>
      <w:pPr>
        <w:pStyle w:val="35"/>
        <w:pageBreakBefore w:val="0"/>
        <w:tabs>
          <w:tab w:val="left" w:pos="425"/>
        </w:tabs>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②本污水处理厂主要接纳</w:t>
      </w:r>
      <w:r>
        <w:rPr>
          <w:rFonts w:hint="eastAsia" w:ascii="Times New Roman" w:hAnsi="Times New Roman" w:cs="Times New Roman"/>
          <w:color w:val="auto"/>
          <w:sz w:val="24"/>
          <w:szCs w:val="24"/>
          <w:highlight w:val="none"/>
          <w:lang w:eastAsia="zh-CN"/>
        </w:rPr>
        <w:t>南坝镇镇区生活污水</w:t>
      </w:r>
      <w:r>
        <w:rPr>
          <w:rFonts w:hint="default" w:ascii="Times New Roman" w:hAnsi="Times New Roman" w:cs="Times New Roman"/>
          <w:color w:val="auto"/>
          <w:sz w:val="24"/>
          <w:szCs w:val="24"/>
          <w:highlight w:val="none"/>
        </w:rPr>
        <w:t>及</w:t>
      </w:r>
      <w:r>
        <w:rPr>
          <w:rFonts w:hint="eastAsia" w:ascii="Times New Roman" w:hAnsi="Times New Roman" w:cs="Times New Roman"/>
          <w:color w:val="auto"/>
          <w:sz w:val="24"/>
          <w:szCs w:val="24"/>
          <w:highlight w:val="none"/>
          <w:lang w:val="en-US" w:eastAsia="zh-CN"/>
        </w:rPr>
        <w:t>南坝</w:t>
      </w:r>
      <w:r>
        <w:rPr>
          <w:rFonts w:hint="default" w:ascii="Times New Roman" w:hAnsi="Times New Roman" w:cs="Times New Roman"/>
          <w:color w:val="auto"/>
          <w:sz w:val="24"/>
          <w:szCs w:val="24"/>
          <w:highlight w:val="none"/>
        </w:rPr>
        <w:t>工业园区</w:t>
      </w:r>
      <w:r>
        <w:rPr>
          <w:rFonts w:hint="eastAsia" w:ascii="Times New Roman" w:hAnsi="Times New Roman" w:cs="Times New Roman"/>
          <w:color w:val="auto"/>
          <w:sz w:val="24"/>
          <w:szCs w:val="24"/>
          <w:highlight w:val="none"/>
          <w:lang w:val="en-US" w:eastAsia="zh-CN"/>
        </w:rPr>
        <w:t>污废水</w:t>
      </w:r>
      <w:r>
        <w:rPr>
          <w:rFonts w:hint="default" w:ascii="Times New Roman" w:hAnsi="Times New Roman" w:cs="Times New Roman"/>
          <w:color w:val="auto"/>
          <w:sz w:val="24"/>
          <w:szCs w:val="24"/>
          <w:highlight w:val="none"/>
        </w:rPr>
        <w:t>，污水处理厂运营人员应及时掌握进水水质情况，当进水水质出现高于污水处理厂进水水质要求的情况时，应立即上报上级主管部门，配合当地环境行政主管部门，加强上游来水的排查。同时启动应急预案，增加污水处理厂出水水质监测频率，确保污水处理厂达标排放。</w:t>
      </w:r>
    </w:p>
    <w:p>
      <w:pPr>
        <w:pStyle w:val="22"/>
        <w:pageBreakBefore w:val="0"/>
        <w:kinsoku/>
        <w:wordWrap/>
        <w:topLinePunct w:val="0"/>
        <w:bidi w:val="0"/>
        <w:spacing w:after="0" w:line="360" w:lineRule="auto"/>
        <w:ind w:left="0" w:leftChars="0" w:right="0" w:rightChars="0" w:firstLine="480" w:firstLineChars="200"/>
        <w:rPr>
          <w:color w:val="auto"/>
          <w:sz w:val="24"/>
          <w:szCs w:val="24"/>
          <w:highlight w:val="none"/>
        </w:rPr>
      </w:pPr>
      <w:r>
        <w:rPr>
          <w:rFonts w:hint="default" w:ascii="Times New Roman" w:hAnsi="Times New Roman" w:cs="Times New Roman"/>
          <w:color w:val="auto"/>
          <w:sz w:val="24"/>
          <w:szCs w:val="24"/>
          <w:highlight w:val="none"/>
        </w:rPr>
        <w:t>③</w:t>
      </w:r>
      <w:r>
        <w:rPr>
          <w:color w:val="auto"/>
          <w:sz w:val="24"/>
          <w:szCs w:val="24"/>
          <w:highlight w:val="none"/>
        </w:rPr>
        <w:t>对污水处理设施的运转情况要及时了解，保障正常运行，对进水和出水水质要定期进行在线监测数据校核，根据不同的水量和水质及时调整处理单元的运转状况，以保证最佳的处理效率。当出现事故排放，及时维修并调整相关参数缩短维修时间。</w:t>
      </w:r>
    </w:p>
    <w:p>
      <w:pPr>
        <w:pStyle w:val="22"/>
        <w:pageBreakBefore w:val="0"/>
        <w:kinsoku/>
        <w:wordWrap/>
        <w:topLinePunct w:val="0"/>
        <w:bidi w:val="0"/>
        <w:spacing w:after="0" w:line="360" w:lineRule="auto"/>
        <w:ind w:left="0" w:leftChars="0" w:right="0" w:rightChars="0" w:firstLine="480" w:firstLineChars="200"/>
        <w:rPr>
          <w:color w:val="auto"/>
          <w:sz w:val="24"/>
          <w:szCs w:val="24"/>
          <w:highlight w:val="none"/>
        </w:rPr>
      </w:pPr>
      <w:r>
        <w:rPr>
          <w:rFonts w:hint="eastAsia"/>
          <w:color w:val="auto"/>
          <w:sz w:val="24"/>
          <w:szCs w:val="24"/>
          <w:highlight w:val="none"/>
          <w:lang w:val="en-US" w:eastAsia="zh-CN"/>
        </w:rPr>
        <w:t>④</w:t>
      </w:r>
      <w:r>
        <w:rPr>
          <w:color w:val="auto"/>
          <w:sz w:val="24"/>
          <w:szCs w:val="24"/>
          <w:highlight w:val="none"/>
        </w:rPr>
        <w:t>认真做好污水处理厂的人员培训，加强教育，提高责任心。制定各项规章制度和操作规程，工作人员要实行岗位责任制，避免操作失误造成的环境污染。</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rFonts w:hint="eastAsia"/>
          <w:color w:val="auto"/>
          <w:sz w:val="24"/>
          <w:szCs w:val="24"/>
          <w:highlight w:val="none"/>
          <w:lang w:val="en-US" w:eastAsia="zh-CN"/>
        </w:rPr>
        <w:t>⑤</w:t>
      </w:r>
      <w:r>
        <w:rPr>
          <w:color w:val="auto"/>
          <w:sz w:val="24"/>
          <w:szCs w:val="24"/>
          <w:highlight w:val="none"/>
        </w:rPr>
        <w:t>建设单位必须规范排污口的建设，全厂只设一个排污口，污水处理设施应按照《水污染源在线监测系统运行与考核技术规范（试行）》（HJ/T355-2007）要求设立在线监控系统，尾水排放口处安装在线监测仪</w:t>
      </w:r>
      <w:r>
        <w:rPr>
          <w:color w:val="auto"/>
          <w:sz w:val="24"/>
          <w:szCs w:val="36"/>
          <w:highlight w:val="none"/>
        </w:rPr>
        <w:t>器，对污水处理厂出水进行24小时连续在线监测，主要监控</w:t>
      </w:r>
      <w:r>
        <w:rPr>
          <w:b/>
          <w:bCs/>
          <w:color w:val="auto"/>
          <w:sz w:val="24"/>
          <w:szCs w:val="36"/>
          <w:highlight w:val="none"/>
        </w:rPr>
        <w:t>水量、pH、COD、氨氮、TN、TP指标</w:t>
      </w:r>
      <w:r>
        <w:rPr>
          <w:color w:val="auto"/>
          <w:sz w:val="24"/>
          <w:szCs w:val="36"/>
          <w:highlight w:val="none"/>
        </w:rPr>
        <w:t>。并按规范设置标准化排污口和标志牌等。</w:t>
      </w:r>
    </w:p>
    <w:p>
      <w:pPr>
        <w:pStyle w:val="35"/>
        <w:pageBreakBefore w:val="0"/>
        <w:tabs>
          <w:tab w:val="left" w:pos="425"/>
        </w:tabs>
        <w:kinsoku/>
        <w:wordWrap/>
        <w:bidi w:val="0"/>
        <w:spacing w:line="360" w:lineRule="auto"/>
        <w:ind w:left="0" w:leftChars="0" w:right="0" w:firstLine="480" w:firstLineChars="200"/>
        <w:rPr>
          <w:color w:val="auto"/>
          <w:sz w:val="24"/>
          <w:szCs w:val="36"/>
          <w:highlight w:val="none"/>
        </w:rPr>
      </w:pPr>
      <w:r>
        <w:rPr>
          <w:rFonts w:hint="eastAsia"/>
          <w:color w:val="auto"/>
          <w:sz w:val="24"/>
          <w:szCs w:val="36"/>
          <w:highlight w:val="none"/>
          <w:lang w:val="en-US" w:eastAsia="zh-CN"/>
        </w:rPr>
        <w:t>⑥</w:t>
      </w:r>
      <w:r>
        <w:rPr>
          <w:color w:val="auto"/>
          <w:sz w:val="24"/>
          <w:szCs w:val="36"/>
          <w:highlight w:val="none"/>
        </w:rPr>
        <w:t>加强对各类机械设备的定期检查、维护和管理，同时配备必要的备用设备，设备出现故障要及时更换，以减少事故的隐患。污水处理厂要采用双回路供电，防止停电造成污染物超标排放事故。</w:t>
      </w:r>
    </w:p>
    <w:p>
      <w:pPr>
        <w:pStyle w:val="35"/>
        <w:pageBreakBefore w:val="0"/>
        <w:tabs>
          <w:tab w:val="left" w:pos="425"/>
        </w:tabs>
        <w:kinsoku/>
        <w:wordWrap/>
        <w:bidi w:val="0"/>
        <w:spacing w:line="360" w:lineRule="auto"/>
        <w:ind w:left="0" w:leftChars="0" w:right="0"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⑦</w:t>
      </w:r>
      <w:r>
        <w:rPr>
          <w:rFonts w:hint="default" w:ascii="Times New Roman" w:hAnsi="Times New Roman" w:cs="Times New Roman"/>
          <w:color w:val="auto"/>
          <w:highlight w:val="none"/>
        </w:rPr>
        <w:t>污水处理厂在正常运行状态下发生风险排污的可能性小，风险排污往往发生在人为造成处理设备故障。在生产过程中加强管理，建立监督责任制，防止人为造成的污水不处理直接排放。</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rFonts w:hint="eastAsia"/>
          <w:color w:val="auto"/>
          <w:sz w:val="24"/>
          <w:szCs w:val="36"/>
          <w:highlight w:val="none"/>
          <w:lang w:val="en-US" w:eastAsia="zh-CN"/>
        </w:rPr>
        <w:t>⑧</w:t>
      </w:r>
      <w:r>
        <w:rPr>
          <w:color w:val="auto"/>
          <w:sz w:val="24"/>
          <w:szCs w:val="36"/>
          <w:highlight w:val="none"/>
        </w:rPr>
        <w:t>本项目对厂区雨水和污水实行“雨污分流”，雨水经过雨水管网直接外排，防止雨水进入污水中。本项目内的各个污水处理池以及地面实施水泥、防渗混凝土浇注硬化，可有效防止地面渗漏。</w:t>
      </w:r>
    </w:p>
    <w:p>
      <w:pPr>
        <w:pStyle w:val="35"/>
        <w:pageBreakBefore w:val="0"/>
        <w:tabs>
          <w:tab w:val="left" w:pos="425"/>
        </w:tabs>
        <w:kinsoku/>
        <w:wordWrap/>
        <w:bidi w:val="0"/>
        <w:spacing w:line="360" w:lineRule="auto"/>
        <w:ind w:left="0" w:leftChars="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在严格采取上述防治措施前提下，在大大降低事故排放的情况下，本项目建成后将大幅降低服务范围内水污染物排放总量，有利于改善前河水质，具有明显的环境正效益。本项目营运期尾水排放对受纳水体的环境影响可以接受。</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7</w:t>
      </w:r>
      <w:r>
        <w:rPr>
          <w:rFonts w:hint="default" w:ascii="Times New Roman" w:hAnsi="Times New Roman" w:cs="Times New Roman"/>
          <w:b/>
          <w:bCs/>
          <w:color w:val="auto"/>
          <w:sz w:val="28"/>
          <w:szCs w:val="28"/>
          <w:highlight w:val="none"/>
        </w:rPr>
        <w:t>.2 监测计划</w:t>
      </w:r>
    </w:p>
    <w:p>
      <w:pPr>
        <w:pageBreakBefore w:val="0"/>
        <w:kinsoku/>
        <w:wordWrap/>
        <w:bidi w:val="0"/>
        <w:adjustRightInd w:val="0"/>
        <w:snapToGrid w:val="0"/>
        <w:spacing w:line="332"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参照《排污许可证申请与核发技术规范 水处理（试行）》（HJ978-2018）、《排污单位自行监测指南—总纲》（HJ819-2017），环评提出运行期每年应对项目污染进行监测，本项目废水监测计划见下表。</w:t>
      </w:r>
    </w:p>
    <w:p>
      <w:pPr>
        <w:pageBreakBefore w:val="0"/>
        <w:tabs>
          <w:tab w:val="left" w:pos="420"/>
        </w:tabs>
        <w:kinsoku/>
        <w:wordWrap/>
        <w:bidi w:val="0"/>
        <w:spacing w:line="332" w:lineRule="auto"/>
        <w:ind w:left="0" w:leftChars="0" w:right="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eastAsia="黑体" w:cs="Times New Roman"/>
          <w:color w:val="auto"/>
          <w:highlight w:val="none"/>
          <w:lang w:val="en-US" w:eastAsia="zh-CN"/>
        </w:rPr>
        <w:t>7</w:t>
      </w:r>
      <w:r>
        <w:rPr>
          <w:rFonts w:hint="default" w:ascii="Times New Roman" w:hAnsi="Times New Roman" w:eastAsia="黑体" w:cs="Times New Roman"/>
          <w:color w:val="auto"/>
          <w:highlight w:val="none"/>
        </w:rPr>
        <w:t>-1 项目环境监测计划</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58"/>
        <w:gridCol w:w="4531"/>
        <w:gridCol w:w="1194"/>
        <w:gridCol w:w="949"/>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Align w:val="center"/>
          </w:tcPr>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w:t>
            </w:r>
          </w:p>
        </w:tc>
        <w:tc>
          <w:tcPr>
            <w:tcW w:w="1062" w:type="dxa"/>
            <w:vAlign w:val="center"/>
          </w:tcPr>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4155" w:type="dxa"/>
            <w:vAlign w:val="center"/>
          </w:tcPr>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监测项目</w:t>
            </w:r>
          </w:p>
        </w:tc>
        <w:tc>
          <w:tcPr>
            <w:tcW w:w="1095" w:type="dxa"/>
            <w:vAlign w:val="center"/>
          </w:tcPr>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监测频次</w:t>
            </w:r>
          </w:p>
        </w:tc>
        <w:tc>
          <w:tcPr>
            <w:tcW w:w="870" w:type="dxa"/>
            <w:vAlign w:val="center"/>
          </w:tcPr>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实施</w:t>
            </w:r>
          </w:p>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机构</w:t>
            </w:r>
          </w:p>
        </w:tc>
        <w:tc>
          <w:tcPr>
            <w:tcW w:w="1152" w:type="dxa"/>
            <w:vAlign w:val="center"/>
          </w:tcPr>
          <w:p>
            <w:pPr>
              <w:pageBreakBefore w:val="0"/>
              <w:kinsoku/>
              <w:wordWrap/>
              <w:bidi w:val="0"/>
              <w:ind w:left="0" w:leftChars="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restart"/>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进出水质监测</w:t>
            </w:r>
          </w:p>
        </w:tc>
        <w:tc>
          <w:tcPr>
            <w:tcW w:w="1062" w:type="dxa"/>
            <w:vMerge w:val="restart"/>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进水总管</w:t>
            </w: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流量、化学需氧量、氨氮</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自动监测</w:t>
            </w:r>
          </w:p>
        </w:tc>
        <w:tc>
          <w:tcPr>
            <w:tcW w:w="870" w:type="dxa"/>
            <w:vMerge w:val="restart"/>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企业自动监测+</w:t>
            </w:r>
            <w:r>
              <w:rPr>
                <w:rFonts w:hint="default" w:ascii="Times New Roman" w:hAnsi="Times New Roman" w:cs="Times New Roman"/>
                <w:color w:val="auto"/>
                <w:highlight w:val="none"/>
              </w:rPr>
              <w:t>委托当地有资质的环境监测机构进行监测</w:t>
            </w:r>
          </w:p>
        </w:tc>
        <w:tc>
          <w:tcPr>
            <w:tcW w:w="1152" w:type="dxa"/>
            <w:vMerge w:val="restart"/>
            <w:vAlign w:val="center"/>
          </w:tcPr>
          <w:p>
            <w:pPr>
              <w:pageBreakBefore w:val="0"/>
              <w:kinsoku/>
              <w:wordWrap/>
              <w:bidi w:val="0"/>
              <w:ind w:left="0" w:leftChars="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06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总磷、总氮*</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1次/</w:t>
            </w:r>
            <w:r>
              <w:rPr>
                <w:rFonts w:hint="default" w:ascii="Times New Roman" w:hAnsi="Times New Roman" w:cs="Times New Roman"/>
                <w:color w:val="auto"/>
                <w:highlight w:val="none"/>
              </w:rPr>
              <w:t>日</w:t>
            </w:r>
          </w:p>
        </w:tc>
        <w:tc>
          <w:tcPr>
            <w:tcW w:w="870"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15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062" w:type="dxa"/>
            <w:vMerge w:val="restart"/>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废水总排放口</w:t>
            </w: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流量、pH值、水温、化学需氧量、氨氮、总磷、总氮</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自动监测</w:t>
            </w:r>
          </w:p>
        </w:tc>
        <w:tc>
          <w:tcPr>
            <w:tcW w:w="870"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152" w:type="dxa"/>
            <w:vMerge w:val="restart"/>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06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悬浮物、色度、五日生化需氧量、动植物油、石油类、阴离子表面活性剂、粪大肠菌群</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1次/</w:t>
            </w:r>
            <w:r>
              <w:rPr>
                <w:rFonts w:hint="default" w:ascii="Times New Roman" w:hAnsi="Times New Roman" w:cs="Times New Roman"/>
                <w:color w:val="auto"/>
                <w:highlight w:val="none"/>
              </w:rPr>
              <w:t>季度</w:t>
            </w:r>
          </w:p>
        </w:tc>
        <w:tc>
          <w:tcPr>
            <w:tcW w:w="870"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15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06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总镉、总铬、总汞、总铅、总砷、六价铬</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1次/</w:t>
            </w:r>
            <w:r>
              <w:rPr>
                <w:rFonts w:hint="default" w:ascii="Times New Roman" w:hAnsi="Times New Roman" w:cs="Times New Roman"/>
                <w:color w:val="auto"/>
                <w:highlight w:val="none"/>
              </w:rPr>
              <w:t>半年</w:t>
            </w:r>
          </w:p>
        </w:tc>
        <w:tc>
          <w:tcPr>
            <w:tcW w:w="870"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15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06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烷基汞</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1次/</w:t>
            </w:r>
            <w:r>
              <w:rPr>
                <w:rFonts w:hint="default" w:ascii="Times New Roman" w:hAnsi="Times New Roman" w:cs="Times New Roman"/>
                <w:color w:val="auto"/>
                <w:highlight w:val="none"/>
              </w:rPr>
              <w:t>半年</w:t>
            </w:r>
          </w:p>
        </w:tc>
        <w:tc>
          <w:tcPr>
            <w:tcW w:w="870"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15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06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415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GB18918的表3中纳入许可的指标</w:t>
            </w:r>
          </w:p>
        </w:tc>
        <w:tc>
          <w:tcPr>
            <w:tcW w:w="1095" w:type="dxa"/>
            <w:vAlign w:val="center"/>
          </w:tcPr>
          <w:p>
            <w:pPr>
              <w:pageBreakBefore w:val="0"/>
              <w:kinsoku/>
              <w:wordWrap/>
              <w:bidi w:val="0"/>
              <w:ind w:left="0" w:leftChars="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1次/</w:t>
            </w:r>
            <w:r>
              <w:rPr>
                <w:rFonts w:hint="default" w:ascii="Times New Roman" w:hAnsi="Times New Roman" w:cs="Times New Roman"/>
                <w:color w:val="auto"/>
                <w:highlight w:val="none"/>
              </w:rPr>
              <w:t>半年</w:t>
            </w:r>
          </w:p>
        </w:tc>
        <w:tc>
          <w:tcPr>
            <w:tcW w:w="870"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c>
          <w:tcPr>
            <w:tcW w:w="1152" w:type="dxa"/>
            <w:vMerge w:val="continue"/>
            <w:vAlign w:val="center"/>
          </w:tcPr>
          <w:p>
            <w:pPr>
              <w:pageBreakBefore w:val="0"/>
              <w:kinsoku/>
              <w:wordWrap/>
              <w:bidi w:val="0"/>
              <w:ind w:left="0" w:leftChars="0" w:right="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036" w:type="dxa"/>
            <w:gridSpan w:val="6"/>
            <w:vAlign w:val="center"/>
          </w:tcPr>
          <w:p>
            <w:pPr>
              <w:pageBreakBefore w:val="0"/>
              <w:kinsoku/>
              <w:wordWrap/>
              <w:bidi w:val="0"/>
              <w:ind w:left="0" w:leftChars="0" w:right="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*总氮自动监测技术规范发布实施前，按日监测</w:t>
            </w:r>
            <w:r>
              <w:rPr>
                <w:rFonts w:hint="default" w:ascii="Times New Roman" w:hAnsi="Times New Roman" w:cs="Times New Roman"/>
                <w:color w:val="auto"/>
                <w:highlight w:val="none"/>
                <w:lang w:eastAsia="zh-CN"/>
              </w:rPr>
              <w:t>。</w:t>
            </w:r>
          </w:p>
        </w:tc>
      </w:tr>
    </w:tbl>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sectPr>
          <w:pgSz w:w="11906" w:h="16838"/>
          <w:pgMar w:top="1440" w:right="1134" w:bottom="1440" w:left="1134" w:header="851" w:footer="992" w:gutter="0"/>
          <w:cols w:space="0" w:num="1"/>
          <w:docGrid w:type="lines" w:linePitch="312" w:charSpace="0"/>
        </w:sectPr>
      </w:pPr>
    </w:p>
    <w:p>
      <w:pPr>
        <w:pageBreakBefore w:val="0"/>
        <w:kinsoku/>
        <w:wordWrap/>
        <w:bidi w:val="0"/>
        <w:spacing w:line="360" w:lineRule="auto"/>
        <w:ind w:left="0" w:leftChars="0" w:right="0"/>
        <w:outlineLvl w:val="0"/>
        <w:rPr>
          <w:rFonts w:hint="default" w:ascii="Times New Roman" w:hAnsi="Times New Roman" w:eastAsia="黑体" w:cs="Times New Roman"/>
          <w:b/>
          <w:bCs/>
          <w:color w:val="auto"/>
          <w:highlight w:val="none"/>
        </w:rPr>
      </w:pPr>
      <w:r>
        <w:rPr>
          <w:rFonts w:hint="default" w:ascii="Times New Roman" w:hAnsi="Times New Roman" w:cs="Times New Roman"/>
          <w:b/>
          <w:bCs/>
          <w:color w:val="auto"/>
          <w:sz w:val="30"/>
          <w:szCs w:val="30"/>
          <w:highlight w:val="none"/>
          <w:lang w:val="en-US" w:eastAsia="zh-CN"/>
        </w:rPr>
        <w:t>8</w:t>
      </w:r>
      <w:r>
        <w:rPr>
          <w:rFonts w:hint="default" w:ascii="Times New Roman" w:hAnsi="Times New Roman" w:cs="Times New Roman"/>
          <w:b/>
          <w:bCs/>
          <w:color w:val="auto"/>
          <w:sz w:val="30"/>
          <w:szCs w:val="30"/>
          <w:highlight w:val="none"/>
        </w:rPr>
        <w:t xml:space="preserve"> 地表水环境影响结论</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8</w:t>
      </w:r>
      <w:r>
        <w:rPr>
          <w:rFonts w:hint="default" w:ascii="Times New Roman" w:hAnsi="Times New Roman" w:cs="Times New Roman"/>
          <w:b/>
          <w:bCs/>
          <w:color w:val="auto"/>
          <w:sz w:val="28"/>
          <w:szCs w:val="28"/>
          <w:highlight w:val="none"/>
        </w:rPr>
        <w:t>.1 水环境影响评价结论</w:t>
      </w:r>
    </w:p>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bCs/>
          <w:color w:val="auto"/>
          <w:kern w:val="2"/>
          <w:sz w:val="24"/>
          <w:szCs w:val="24"/>
          <w:highlight w:val="none"/>
          <w:lang w:val="en-US" w:eastAsia="zh-CN" w:bidi="ar"/>
        </w:rPr>
      </w:pPr>
      <w:r>
        <w:rPr>
          <w:rFonts w:hint="default" w:ascii="Times New Roman" w:hAnsi="Times New Roman" w:cs="Times New Roman"/>
          <w:b w:val="0"/>
          <w:bCs/>
          <w:color w:val="auto"/>
          <w:sz w:val="24"/>
          <w:szCs w:val="20"/>
          <w:highlight w:val="none"/>
        </w:rPr>
        <w:t>综上，拟建项目采取的水污染控制措施有效，拟建项目建成后能有效的改善当地地表水水体水质，地表水环境影响较小，环境影响可接受。</w:t>
      </w:r>
    </w:p>
    <w:p>
      <w:pPr>
        <w:pStyle w:val="35"/>
        <w:pageBreakBefore w:val="0"/>
        <w:kinsoku/>
        <w:wordWrap/>
        <w:bidi w:val="0"/>
        <w:spacing w:line="360" w:lineRule="auto"/>
        <w:ind w:left="0" w:leftChars="0" w:right="0"/>
        <w:outlineLvl w:val="1"/>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8</w:t>
      </w:r>
      <w:r>
        <w:rPr>
          <w:rFonts w:hint="default" w:ascii="Times New Roman" w:hAnsi="Times New Roman" w:cs="Times New Roman"/>
          <w:b/>
          <w:bCs/>
          <w:color w:val="auto"/>
          <w:sz w:val="28"/>
          <w:szCs w:val="28"/>
          <w:highlight w:val="none"/>
        </w:rPr>
        <w:t>.2 建设项目废水污染物排放信息</w:t>
      </w:r>
    </w:p>
    <w:p>
      <w:pPr>
        <w:pStyle w:val="22"/>
        <w:spacing w:after="0" w:line="360" w:lineRule="auto"/>
        <w:ind w:left="0" w:leftChars="0" w:firstLine="480" w:firstLineChars="200"/>
        <w:rPr>
          <w:color w:val="auto"/>
          <w:sz w:val="24"/>
          <w:szCs w:val="36"/>
          <w:highlight w:val="none"/>
        </w:rPr>
      </w:pPr>
      <w:r>
        <w:rPr>
          <w:color w:val="auto"/>
          <w:sz w:val="24"/>
          <w:szCs w:val="36"/>
          <w:highlight w:val="none"/>
        </w:rPr>
        <w:t>根据工程分析，本项目废水类型、污染物及治理设施、排放口、污染物排放情况见下表。</w:t>
      </w:r>
    </w:p>
    <w:p>
      <w:pPr>
        <w:pStyle w:val="22"/>
        <w:spacing w:after="0" w:line="360" w:lineRule="auto"/>
        <w:ind w:left="0" w:leftChars="0" w:firstLine="480" w:firstLineChars="200"/>
        <w:rPr>
          <w:color w:val="auto"/>
          <w:sz w:val="24"/>
          <w:szCs w:val="36"/>
          <w:highlight w:val="none"/>
        </w:rPr>
      </w:pPr>
      <w:r>
        <w:rPr>
          <w:color w:val="auto"/>
          <w:sz w:val="24"/>
          <w:szCs w:val="36"/>
          <w:highlight w:val="none"/>
        </w:rPr>
        <w:t>①废水类型、污染物及治理设施表。</w:t>
      </w:r>
    </w:p>
    <w:p>
      <w:pPr>
        <w:pStyle w:val="22"/>
        <w:spacing w:after="0" w:line="360" w:lineRule="auto"/>
        <w:ind w:left="0" w:leftChars="0" w:firstLine="0"/>
        <w:jc w:val="center"/>
        <w:rPr>
          <w:rFonts w:eastAsia="黑体"/>
          <w:color w:val="auto"/>
          <w:sz w:val="21"/>
          <w:highlight w:val="none"/>
        </w:rPr>
      </w:pPr>
      <w:r>
        <w:rPr>
          <w:rFonts w:eastAsia="黑体"/>
          <w:color w:val="auto"/>
          <w:sz w:val="21"/>
          <w:highlight w:val="none"/>
        </w:rPr>
        <w:t>表</w:t>
      </w:r>
      <w:r>
        <w:rPr>
          <w:rFonts w:hint="eastAsia" w:eastAsia="黑体"/>
          <w:color w:val="auto"/>
          <w:sz w:val="21"/>
          <w:highlight w:val="none"/>
          <w:lang w:val="en-US" w:eastAsia="zh-CN"/>
        </w:rPr>
        <w:t>8-1</w:t>
      </w:r>
      <w:r>
        <w:rPr>
          <w:rFonts w:hint="eastAsia" w:eastAsia="黑体"/>
          <w:color w:val="auto"/>
          <w:sz w:val="21"/>
          <w:highlight w:val="none"/>
        </w:rPr>
        <w:t xml:space="preserve"> </w:t>
      </w:r>
      <w:r>
        <w:rPr>
          <w:rFonts w:eastAsia="黑体"/>
          <w:color w:val="auto"/>
          <w:sz w:val="21"/>
          <w:highlight w:val="none"/>
        </w:rPr>
        <w:t>废水类别、污染物及污染治理措施信息表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0"/>
        <w:gridCol w:w="661"/>
        <w:gridCol w:w="1152"/>
        <w:gridCol w:w="756"/>
        <w:gridCol w:w="688"/>
        <w:gridCol w:w="790"/>
        <w:gridCol w:w="741"/>
        <w:gridCol w:w="2513"/>
        <w:gridCol w:w="616"/>
        <w:gridCol w:w="775"/>
        <w:gridCol w:w="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序号</w:t>
            </w:r>
          </w:p>
        </w:tc>
        <w:tc>
          <w:tcPr>
            <w:tcW w:w="343"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废水类别</w:t>
            </w:r>
            <w:r>
              <w:rPr>
                <w:b/>
                <w:color w:val="auto"/>
                <w:kern w:val="0"/>
                <w:highlight w:val="none"/>
                <w:vertAlign w:val="superscript"/>
              </w:rPr>
              <w:t>（a）</w:t>
            </w:r>
          </w:p>
        </w:tc>
        <w:tc>
          <w:tcPr>
            <w:tcW w:w="597"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污染物种类</w:t>
            </w:r>
            <w:r>
              <w:rPr>
                <w:b/>
                <w:color w:val="auto"/>
                <w:kern w:val="0"/>
                <w:highlight w:val="none"/>
                <w:vertAlign w:val="superscript"/>
              </w:rPr>
              <w:t>（b）</w:t>
            </w:r>
          </w:p>
        </w:tc>
        <w:tc>
          <w:tcPr>
            <w:tcW w:w="392"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排放去向</w:t>
            </w:r>
            <w:r>
              <w:rPr>
                <w:b/>
                <w:color w:val="auto"/>
                <w:kern w:val="0"/>
                <w:highlight w:val="none"/>
                <w:vertAlign w:val="superscript"/>
              </w:rPr>
              <w:t>（c）</w:t>
            </w:r>
          </w:p>
        </w:tc>
        <w:tc>
          <w:tcPr>
            <w:tcW w:w="357"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排放规律</w:t>
            </w:r>
            <w:r>
              <w:rPr>
                <w:b/>
                <w:color w:val="auto"/>
                <w:kern w:val="0"/>
                <w:highlight w:val="none"/>
                <w:vertAlign w:val="superscript"/>
              </w:rPr>
              <w:t>（d）</w:t>
            </w:r>
          </w:p>
        </w:tc>
        <w:tc>
          <w:tcPr>
            <w:tcW w:w="2096" w:type="pct"/>
            <w:gridSpan w:val="3"/>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w:t>
            </w:r>
          </w:p>
        </w:tc>
        <w:tc>
          <w:tcPr>
            <w:tcW w:w="319"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排放口编号</w:t>
            </w:r>
            <w:r>
              <w:rPr>
                <w:b/>
                <w:color w:val="auto"/>
                <w:kern w:val="0"/>
                <w:highlight w:val="none"/>
                <w:vertAlign w:val="superscript"/>
              </w:rPr>
              <w:t>（f）</w:t>
            </w:r>
          </w:p>
        </w:tc>
        <w:tc>
          <w:tcPr>
            <w:tcW w:w="402"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排放口设置是否符合要求</w:t>
            </w:r>
            <w:r>
              <w:rPr>
                <w:b/>
                <w:color w:val="auto"/>
                <w:kern w:val="0"/>
                <w:highlight w:val="none"/>
                <w:vertAlign w:val="superscript"/>
              </w:rPr>
              <w:t>（g）</w:t>
            </w:r>
          </w:p>
        </w:tc>
        <w:tc>
          <w:tcPr>
            <w:tcW w:w="292"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343"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597"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392"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357"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09" w:type="pc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污染治理设施编号</w:t>
            </w:r>
          </w:p>
        </w:tc>
        <w:tc>
          <w:tcPr>
            <w:tcW w:w="384" w:type="pc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污染治理设施名称</w:t>
            </w:r>
            <w:r>
              <w:rPr>
                <w:b/>
                <w:color w:val="auto"/>
                <w:kern w:val="0"/>
                <w:highlight w:val="none"/>
                <w:vertAlign w:val="superscript"/>
              </w:rPr>
              <w:t>（e）</w:t>
            </w:r>
          </w:p>
        </w:tc>
        <w:tc>
          <w:tcPr>
            <w:tcW w:w="1302" w:type="pc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污染治理设施工艺</w:t>
            </w:r>
          </w:p>
        </w:tc>
        <w:tc>
          <w:tcPr>
            <w:tcW w:w="319"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02"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292"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w:t>
            </w:r>
          </w:p>
        </w:tc>
        <w:tc>
          <w:tcPr>
            <w:tcW w:w="343"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生活污水、工业废水</w:t>
            </w:r>
          </w:p>
        </w:tc>
        <w:tc>
          <w:tcPr>
            <w:tcW w:w="597"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highlight w:val="none"/>
              </w:rPr>
              <w:t>COD</w:t>
            </w:r>
            <w:r>
              <w:rPr>
                <w:color w:val="auto"/>
                <w:highlight w:val="none"/>
                <w:vertAlign w:val="subscript"/>
              </w:rPr>
              <w:t>Cr</w:t>
            </w:r>
            <w:r>
              <w:rPr>
                <w:color w:val="auto"/>
                <w:kern w:val="0"/>
                <w:highlight w:val="none"/>
              </w:rPr>
              <w:t>、NH</w:t>
            </w:r>
            <w:r>
              <w:rPr>
                <w:color w:val="auto"/>
                <w:kern w:val="0"/>
                <w:highlight w:val="none"/>
                <w:vertAlign w:val="subscript"/>
              </w:rPr>
              <w:t>3</w:t>
            </w:r>
            <w:r>
              <w:rPr>
                <w:color w:val="auto"/>
                <w:kern w:val="0"/>
                <w:highlight w:val="none"/>
              </w:rPr>
              <w:t>-N、BOD</w:t>
            </w:r>
            <w:r>
              <w:rPr>
                <w:color w:val="auto"/>
                <w:kern w:val="0"/>
                <w:highlight w:val="none"/>
                <w:vertAlign w:val="subscript"/>
              </w:rPr>
              <w:t>5</w:t>
            </w:r>
            <w:r>
              <w:rPr>
                <w:color w:val="auto"/>
                <w:kern w:val="0"/>
                <w:highlight w:val="none"/>
              </w:rPr>
              <w:t>、SS、TP、TN等</w:t>
            </w:r>
          </w:p>
        </w:tc>
        <w:tc>
          <w:tcPr>
            <w:tcW w:w="39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直接进入江河、湖、库等水环境</w:t>
            </w:r>
          </w:p>
        </w:tc>
        <w:tc>
          <w:tcPr>
            <w:tcW w:w="357"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连续排放，流量不稳定且无规律，但不属于冲击型排放</w:t>
            </w:r>
          </w:p>
        </w:tc>
        <w:tc>
          <w:tcPr>
            <w:tcW w:w="40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TW001</w:t>
            </w:r>
          </w:p>
        </w:tc>
        <w:tc>
          <w:tcPr>
            <w:tcW w:w="384"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污水处理系统</w:t>
            </w:r>
          </w:p>
        </w:tc>
        <w:tc>
          <w:tcPr>
            <w:tcW w:w="130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一期工程污水处理工艺采用：粗格栅及提升泵房+细格栅及旋流沉砂池+厌氧池+氧化沟+二沉池+絮凝池+转鼓滤池+紫外线消毒渠；二期工程污水处理工艺采用：粗格栅及提升泵房+细格栅及旋流沉砂池+MBBR+二沉池+絮凝池+转鼓滤池+紫外线消毒渠</w:t>
            </w:r>
          </w:p>
        </w:tc>
        <w:tc>
          <w:tcPr>
            <w:tcW w:w="31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DW</w:t>
            </w:r>
          </w:p>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001</w:t>
            </w:r>
          </w:p>
        </w:tc>
        <w:tc>
          <w:tcPr>
            <w:tcW w:w="40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是</w:t>
            </w:r>
          </w:p>
        </w:tc>
        <w:tc>
          <w:tcPr>
            <w:tcW w:w="292"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企业总排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1"/>
            <w:vAlign w:val="center"/>
          </w:tcPr>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a指产生废水的工艺、工序，或废水类型的名称。</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b指产生的主要污染物类型，以相应排放标准中确定的污染因子为准。</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c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d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e指主要污水处理设施名称，如“综合污水处理站”“生活污水处理系统”等。</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f排放口编号可按地方环境管理部门现有编号进行填写或由企业根据国家相关规范进行编制。</w:t>
            </w:r>
          </w:p>
          <w:p>
            <w:pPr>
              <w:pageBreakBefore w:val="0"/>
              <w:kinsoku/>
              <w:wordWrap/>
              <w:topLinePunct w:val="0"/>
              <w:autoSpaceDE w:val="0"/>
              <w:autoSpaceDN w:val="0"/>
              <w:bidi w:val="0"/>
              <w:ind w:left="0" w:leftChars="0" w:right="0" w:rightChars="0"/>
              <w:jc w:val="left"/>
              <w:rPr>
                <w:color w:val="auto"/>
                <w:kern w:val="0"/>
                <w:highlight w:val="none"/>
              </w:rPr>
            </w:pPr>
            <w:r>
              <w:rPr>
                <w:color w:val="auto"/>
                <w:kern w:val="0"/>
                <w:highlight w:val="none"/>
              </w:rPr>
              <w:t>g指排放口设置是否符合排放口规范化整治技术要求等相关文件的规定。</w:t>
            </w:r>
          </w:p>
        </w:tc>
      </w:tr>
    </w:tbl>
    <w:p>
      <w:pPr>
        <w:pStyle w:val="22"/>
        <w:spacing w:after="0" w:line="360" w:lineRule="auto"/>
        <w:ind w:left="0" w:leftChars="0" w:firstLine="480" w:firstLineChars="200"/>
        <w:rPr>
          <w:color w:val="auto"/>
          <w:sz w:val="24"/>
          <w:szCs w:val="36"/>
          <w:highlight w:val="none"/>
        </w:rPr>
      </w:pPr>
      <w:r>
        <w:rPr>
          <w:color w:val="auto"/>
          <w:sz w:val="24"/>
          <w:szCs w:val="36"/>
          <w:highlight w:val="none"/>
        </w:rPr>
        <w:t>②废水排放口基本情况表</w:t>
      </w:r>
    </w:p>
    <w:p>
      <w:pPr>
        <w:pageBreakBefore w:val="0"/>
        <w:tabs>
          <w:tab w:val="left" w:pos="420"/>
        </w:tabs>
        <w:kinsoku/>
        <w:wordWrap/>
        <w:topLinePunct w:val="0"/>
        <w:bidi w:val="0"/>
        <w:spacing w:line="360" w:lineRule="auto"/>
        <w:ind w:left="0" w:leftChars="0" w:right="0" w:rightChars="0" w:firstLine="480" w:firstLineChars="200"/>
        <w:rPr>
          <w:color w:val="auto"/>
          <w:sz w:val="24"/>
          <w:highlight w:val="none"/>
        </w:rPr>
      </w:pPr>
      <w:r>
        <w:rPr>
          <w:color w:val="auto"/>
          <w:sz w:val="24"/>
          <w:highlight w:val="none"/>
        </w:rPr>
        <w:t>全厂废水排放口基本情况见下表：</w:t>
      </w:r>
    </w:p>
    <w:p>
      <w:pPr>
        <w:pageBreakBefore w:val="0"/>
        <w:tabs>
          <w:tab w:val="left" w:pos="420"/>
        </w:tabs>
        <w:kinsoku/>
        <w:wordWrap/>
        <w:topLinePunct w:val="0"/>
        <w:bidi w:val="0"/>
        <w:spacing w:line="360" w:lineRule="auto"/>
        <w:ind w:left="0" w:leftChars="0" w:right="0" w:rightChars="0"/>
        <w:jc w:val="center"/>
        <w:rPr>
          <w:rFonts w:eastAsia="黑体"/>
          <w:color w:val="auto"/>
          <w:highlight w:val="none"/>
        </w:rPr>
      </w:pPr>
      <w:r>
        <w:rPr>
          <w:rFonts w:eastAsia="黑体"/>
          <w:color w:val="auto"/>
          <w:highlight w:val="none"/>
        </w:rPr>
        <w:t>表</w:t>
      </w:r>
      <w:r>
        <w:rPr>
          <w:rFonts w:hint="eastAsia" w:eastAsia="黑体"/>
          <w:color w:val="auto"/>
          <w:highlight w:val="none"/>
          <w:lang w:val="en-US" w:eastAsia="zh-CN"/>
        </w:rPr>
        <w:t>8-2</w:t>
      </w:r>
      <w:r>
        <w:rPr>
          <w:rFonts w:hint="eastAsia" w:eastAsia="黑体"/>
          <w:color w:val="auto"/>
          <w:highlight w:val="none"/>
        </w:rPr>
        <w:t xml:space="preserve"> </w:t>
      </w:r>
      <w:r>
        <w:rPr>
          <w:rFonts w:eastAsia="黑体"/>
          <w:color w:val="auto"/>
          <w:highlight w:val="none"/>
        </w:rPr>
        <w:t>废水直接排放口基本情况</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461"/>
        <w:gridCol w:w="802"/>
        <w:gridCol w:w="677"/>
        <w:gridCol w:w="783"/>
        <w:gridCol w:w="825"/>
        <w:gridCol w:w="1381"/>
        <w:gridCol w:w="574"/>
        <w:gridCol w:w="616"/>
        <w:gridCol w:w="1208"/>
        <w:gridCol w:w="832"/>
        <w:gridCol w:w="775"/>
        <w:gridCol w:w="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序号</w:t>
            </w:r>
          </w:p>
        </w:tc>
        <w:tc>
          <w:tcPr>
            <w:tcW w:w="239"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排放口编号</w:t>
            </w:r>
          </w:p>
        </w:tc>
        <w:tc>
          <w:tcPr>
            <w:tcW w:w="767" w:type="pct"/>
            <w:gridSpan w:val="2"/>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排放口地理坐标</w:t>
            </w:r>
            <w:r>
              <w:rPr>
                <w:b/>
                <w:color w:val="auto"/>
                <w:kern w:val="0"/>
                <w:highlight w:val="none"/>
                <w:vertAlign w:val="superscript"/>
              </w:rPr>
              <w:t>（a）</w:t>
            </w:r>
          </w:p>
        </w:tc>
        <w:tc>
          <w:tcPr>
            <w:tcW w:w="406"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废水排放量</w:t>
            </w:r>
          </w:p>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/（万t/a）</w:t>
            </w:r>
          </w:p>
        </w:tc>
        <w:tc>
          <w:tcPr>
            <w:tcW w:w="428"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排放去向</w:t>
            </w:r>
          </w:p>
        </w:tc>
        <w:tc>
          <w:tcPr>
            <w:tcW w:w="716"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排放规律</w:t>
            </w:r>
          </w:p>
        </w:tc>
        <w:tc>
          <w:tcPr>
            <w:tcW w:w="297"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间歇排放时段</w:t>
            </w:r>
          </w:p>
        </w:tc>
        <w:tc>
          <w:tcPr>
            <w:tcW w:w="945" w:type="pct"/>
            <w:gridSpan w:val="2"/>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自然受纳水体</w:t>
            </w:r>
          </w:p>
        </w:tc>
        <w:tc>
          <w:tcPr>
            <w:tcW w:w="833" w:type="pct"/>
            <w:gridSpan w:val="2"/>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color w:val="auto"/>
                <w:kern w:val="0"/>
                <w:highlight w:val="none"/>
              </w:rPr>
              <w:t>汇入受纳自然水体处地理坐标</w:t>
            </w:r>
            <w:r>
              <w:rPr>
                <w:b/>
                <w:color w:val="auto"/>
                <w:kern w:val="0"/>
                <w:highlight w:val="none"/>
                <w:vertAlign w:val="superscript"/>
              </w:rPr>
              <w:t>（d）</w:t>
            </w:r>
          </w:p>
        </w:tc>
        <w:tc>
          <w:tcPr>
            <w:tcW w:w="241" w:type="pct"/>
            <w:vMerge w:val="restart"/>
            <w:vAlign w:val="center"/>
          </w:tcPr>
          <w:p>
            <w:pPr>
              <w:pageBreakBefore w:val="0"/>
              <w:kinsoku/>
              <w:wordWrap/>
              <w:topLinePunct w:val="0"/>
              <w:autoSpaceDE w:val="0"/>
              <w:autoSpaceDN w:val="0"/>
              <w:bidi w:val="0"/>
              <w:ind w:left="0" w:leftChars="0" w:right="0" w:rightChars="0"/>
              <w:jc w:val="center"/>
              <w:rPr>
                <w:b/>
                <w:color w:val="auto"/>
                <w:kern w:val="0"/>
                <w:highlight w:val="none"/>
              </w:rPr>
            </w:pPr>
            <w:r>
              <w:rPr>
                <w:b/>
                <w:bCs/>
                <w:color w:val="auto"/>
                <w:kern w:val="0"/>
                <w:highlight w:val="none"/>
              </w:rPr>
              <w:t>备注</w:t>
            </w:r>
            <w:r>
              <w:rPr>
                <w:b/>
                <w:color w:val="auto"/>
                <w:kern w:val="0"/>
                <w:highlight w:val="none"/>
                <w:vertAlign w:val="superscript"/>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24"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239"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16"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经度</w:t>
            </w:r>
          </w:p>
        </w:tc>
        <w:tc>
          <w:tcPr>
            <w:tcW w:w="350"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纬度</w:t>
            </w:r>
          </w:p>
        </w:tc>
        <w:tc>
          <w:tcPr>
            <w:tcW w:w="406" w:type="pct"/>
            <w:vMerge w:val="continue"/>
            <w:vAlign w:val="center"/>
          </w:tcPr>
          <w:p>
            <w:pPr>
              <w:pageBreakBefore w:val="0"/>
              <w:kinsoku/>
              <w:wordWrap/>
              <w:topLinePunct w:val="0"/>
              <w:autoSpaceDE w:val="0"/>
              <w:autoSpaceDN w:val="0"/>
              <w:bidi w:val="0"/>
              <w:ind w:left="0" w:leftChars="0" w:right="0" w:rightChars="0"/>
              <w:jc w:val="center"/>
              <w:rPr>
                <w:color w:val="auto"/>
                <w:kern w:val="0"/>
                <w:highlight w:val="none"/>
              </w:rPr>
            </w:pPr>
          </w:p>
        </w:tc>
        <w:tc>
          <w:tcPr>
            <w:tcW w:w="428" w:type="pct"/>
            <w:vMerge w:val="continue"/>
            <w:vAlign w:val="center"/>
          </w:tcPr>
          <w:p>
            <w:pPr>
              <w:pageBreakBefore w:val="0"/>
              <w:kinsoku/>
              <w:wordWrap/>
              <w:topLinePunct w:val="0"/>
              <w:autoSpaceDE w:val="0"/>
              <w:autoSpaceDN w:val="0"/>
              <w:bidi w:val="0"/>
              <w:ind w:left="0" w:leftChars="0" w:right="0" w:rightChars="0"/>
              <w:jc w:val="center"/>
              <w:rPr>
                <w:b/>
                <w:color w:val="auto"/>
                <w:kern w:val="0"/>
                <w:highlight w:val="none"/>
              </w:rPr>
            </w:pPr>
          </w:p>
        </w:tc>
        <w:tc>
          <w:tcPr>
            <w:tcW w:w="716" w:type="pct"/>
            <w:vMerge w:val="continue"/>
            <w:vAlign w:val="center"/>
          </w:tcPr>
          <w:p>
            <w:pPr>
              <w:pageBreakBefore w:val="0"/>
              <w:kinsoku/>
              <w:wordWrap/>
              <w:topLinePunct w:val="0"/>
              <w:autoSpaceDE w:val="0"/>
              <w:autoSpaceDN w:val="0"/>
              <w:bidi w:val="0"/>
              <w:ind w:left="0" w:leftChars="0" w:right="0" w:rightChars="0"/>
              <w:jc w:val="center"/>
              <w:rPr>
                <w:b/>
                <w:color w:val="auto"/>
                <w:kern w:val="0"/>
                <w:highlight w:val="none"/>
              </w:rPr>
            </w:pPr>
          </w:p>
        </w:tc>
        <w:tc>
          <w:tcPr>
            <w:tcW w:w="297" w:type="pct"/>
            <w:vMerge w:val="continue"/>
            <w:vAlign w:val="center"/>
          </w:tcPr>
          <w:p>
            <w:pPr>
              <w:pageBreakBefore w:val="0"/>
              <w:kinsoku/>
              <w:wordWrap/>
              <w:topLinePunct w:val="0"/>
              <w:autoSpaceDE w:val="0"/>
              <w:autoSpaceDN w:val="0"/>
              <w:bidi w:val="0"/>
              <w:ind w:left="0" w:leftChars="0" w:right="0" w:rightChars="0"/>
              <w:jc w:val="center"/>
              <w:rPr>
                <w:b/>
                <w:color w:val="auto"/>
                <w:kern w:val="0"/>
                <w:highlight w:val="none"/>
              </w:rPr>
            </w:pPr>
          </w:p>
        </w:tc>
        <w:tc>
          <w:tcPr>
            <w:tcW w:w="319"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名称</w:t>
            </w:r>
            <w:r>
              <w:rPr>
                <w:b/>
                <w:color w:val="auto"/>
                <w:kern w:val="0"/>
                <w:highlight w:val="none"/>
                <w:vertAlign w:val="superscript"/>
              </w:rPr>
              <w:t>（b）</w:t>
            </w:r>
          </w:p>
        </w:tc>
        <w:tc>
          <w:tcPr>
            <w:tcW w:w="625"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受纳水体功能目标</w:t>
            </w:r>
            <w:r>
              <w:rPr>
                <w:b/>
                <w:color w:val="auto"/>
                <w:kern w:val="0"/>
                <w:highlight w:val="none"/>
                <w:vertAlign w:val="superscript"/>
              </w:rPr>
              <w:t>（c）</w:t>
            </w:r>
          </w:p>
        </w:tc>
        <w:tc>
          <w:tcPr>
            <w:tcW w:w="431"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经度</w:t>
            </w:r>
          </w:p>
        </w:tc>
        <w:tc>
          <w:tcPr>
            <w:tcW w:w="401" w:type="pct"/>
            <w:vAlign w:val="center"/>
          </w:tcPr>
          <w:p>
            <w:pPr>
              <w:pageBreakBefore w:val="0"/>
              <w:kinsoku/>
              <w:wordWrap/>
              <w:topLinePunct w:val="0"/>
              <w:autoSpaceDE w:val="0"/>
              <w:autoSpaceDN w:val="0"/>
              <w:bidi w:val="0"/>
              <w:ind w:left="0" w:leftChars="0" w:right="0" w:rightChars="0"/>
              <w:jc w:val="center"/>
              <w:rPr>
                <w:b/>
                <w:bCs/>
                <w:color w:val="auto"/>
                <w:kern w:val="0"/>
                <w:highlight w:val="none"/>
              </w:rPr>
            </w:pPr>
            <w:r>
              <w:rPr>
                <w:b/>
                <w:bCs/>
                <w:color w:val="auto"/>
                <w:kern w:val="0"/>
                <w:highlight w:val="none"/>
              </w:rPr>
              <w:t>纬度</w:t>
            </w:r>
          </w:p>
        </w:tc>
        <w:tc>
          <w:tcPr>
            <w:tcW w:w="241" w:type="pct"/>
            <w:vMerge w:val="continue"/>
            <w:vAlign w:val="center"/>
          </w:tcPr>
          <w:p>
            <w:pPr>
              <w:pageBreakBefore w:val="0"/>
              <w:kinsoku/>
              <w:wordWrap/>
              <w:topLinePunct w:val="0"/>
              <w:autoSpaceDE w:val="0"/>
              <w:autoSpaceDN w:val="0"/>
              <w:bidi w:val="0"/>
              <w:ind w:left="0" w:leftChars="0" w:right="0" w:rightChars="0"/>
              <w:jc w:val="center"/>
              <w:rPr>
                <w:b/>
                <w:bCs/>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w:t>
            </w:r>
          </w:p>
        </w:tc>
        <w:tc>
          <w:tcPr>
            <w:tcW w:w="23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DW</w:t>
            </w:r>
          </w:p>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001</w:t>
            </w:r>
          </w:p>
        </w:tc>
        <w:tc>
          <w:tcPr>
            <w:tcW w:w="416"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107°58′47″</w:t>
            </w:r>
          </w:p>
        </w:tc>
        <w:tc>
          <w:tcPr>
            <w:tcW w:w="350"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31°22′26″</w:t>
            </w:r>
          </w:p>
        </w:tc>
        <w:tc>
          <w:tcPr>
            <w:tcW w:w="406"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730</w:t>
            </w:r>
          </w:p>
        </w:tc>
        <w:tc>
          <w:tcPr>
            <w:tcW w:w="428"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直接进入江河、湖、库等水环境</w:t>
            </w:r>
          </w:p>
        </w:tc>
        <w:tc>
          <w:tcPr>
            <w:tcW w:w="716"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连续排放，流量不稳定且无规律，但不属于冲击型排放</w:t>
            </w:r>
          </w:p>
        </w:tc>
        <w:tc>
          <w:tcPr>
            <w:tcW w:w="297"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w:t>
            </w:r>
          </w:p>
        </w:tc>
        <w:tc>
          <w:tcPr>
            <w:tcW w:w="319"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前河</w:t>
            </w:r>
          </w:p>
        </w:tc>
        <w:tc>
          <w:tcPr>
            <w:tcW w:w="625"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Ⅲ类</w:t>
            </w:r>
          </w:p>
        </w:tc>
        <w:tc>
          <w:tcPr>
            <w:tcW w:w="431"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107°58′47″</w:t>
            </w:r>
          </w:p>
        </w:tc>
        <w:tc>
          <w:tcPr>
            <w:tcW w:w="401" w:type="pct"/>
            <w:vAlign w:val="center"/>
          </w:tcPr>
          <w:p>
            <w:pPr>
              <w:pageBreakBefore w:val="0"/>
              <w:kinsoku/>
              <w:wordWrap/>
              <w:topLinePunct w:val="0"/>
              <w:autoSpaceDE w:val="0"/>
              <w:autoSpaceDN w:val="0"/>
              <w:bidi w:val="0"/>
              <w:ind w:left="0" w:leftChars="0" w:right="0" w:rightChars="0"/>
              <w:jc w:val="center"/>
              <w:rPr>
                <w:color w:val="auto"/>
                <w:kern w:val="0"/>
                <w:highlight w:val="none"/>
              </w:rPr>
            </w:pPr>
            <w:r>
              <w:rPr>
                <w:color w:val="auto"/>
                <w:kern w:val="0"/>
                <w:highlight w:val="none"/>
              </w:rPr>
              <w:t>31°22′26″</w:t>
            </w:r>
          </w:p>
        </w:tc>
        <w:tc>
          <w:tcPr>
            <w:tcW w:w="241" w:type="pct"/>
            <w:vAlign w:val="center"/>
          </w:tcPr>
          <w:p>
            <w:pPr>
              <w:pageBreakBefore w:val="0"/>
              <w:kinsoku/>
              <w:wordWrap/>
              <w:topLinePunct w:val="0"/>
              <w:bidi w:val="0"/>
              <w:ind w:left="0" w:leftChars="0" w:right="0" w:rightChars="0"/>
              <w:jc w:val="center"/>
              <w:rPr>
                <w:color w:val="auto"/>
                <w:kern w:val="0"/>
                <w:highlight w:val="none"/>
              </w:rPr>
            </w:pPr>
            <w:r>
              <w:rPr>
                <w:color w:val="auto"/>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3"/>
            <w:vAlign w:val="center"/>
          </w:tcPr>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注1：对于直接排放至地表水体的排放口，指废水排出厂界处经纬度坐标；纳入管控的车间或车间处理设施排放口，指废水排出车间或车间处理设施</w:t>
            </w:r>
            <w:r>
              <w:rPr>
                <w:color w:val="auto"/>
                <w:kern w:val="0"/>
                <w:highlight w:val="none"/>
              </w:rPr>
              <w:cr/>
            </w:r>
            <w:r>
              <w:rPr>
                <w:color w:val="auto"/>
                <w:kern w:val="0"/>
                <w:highlight w:val="none"/>
              </w:rPr>
              <w:t>边界处经纬度坐标。</w:t>
            </w:r>
          </w:p>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注2：指受纳水体的名称如南沙河、太子河、温榆河等。</w:t>
            </w:r>
          </w:p>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注3：指对于直接排放至地表水体的排放口，其所处受纳水体功能类别，如Ⅲ类、Ⅳ类、Ⅴ类等。</w:t>
            </w:r>
          </w:p>
          <w:p>
            <w:pPr>
              <w:pageBreakBefore w:val="0"/>
              <w:kinsoku/>
              <w:wordWrap/>
              <w:topLinePunct w:val="0"/>
              <w:autoSpaceDE w:val="0"/>
              <w:autoSpaceDN w:val="0"/>
              <w:bidi w:val="0"/>
              <w:ind w:left="0" w:leftChars="0" w:right="0" w:rightChars="0"/>
              <w:rPr>
                <w:color w:val="auto"/>
                <w:kern w:val="0"/>
                <w:highlight w:val="none"/>
              </w:rPr>
            </w:pPr>
            <w:r>
              <w:rPr>
                <w:color w:val="auto"/>
                <w:kern w:val="0"/>
                <w:highlight w:val="none"/>
              </w:rPr>
              <w:t>注4：对于直接排放至地表水体的排放口，指废水汇入地表水体处经纬度坐标。</w:t>
            </w:r>
          </w:p>
          <w:p>
            <w:pPr>
              <w:pageBreakBefore w:val="0"/>
              <w:kinsoku/>
              <w:wordWrap/>
              <w:topLinePunct w:val="0"/>
              <w:bidi w:val="0"/>
              <w:ind w:left="0" w:leftChars="0" w:right="0" w:rightChars="0"/>
              <w:jc w:val="left"/>
              <w:rPr>
                <w:color w:val="auto"/>
                <w:kern w:val="0"/>
                <w:highlight w:val="none"/>
              </w:rPr>
            </w:pPr>
            <w:r>
              <w:rPr>
                <w:color w:val="auto"/>
                <w:kern w:val="0"/>
                <w:highlight w:val="none"/>
              </w:rPr>
              <w:t>注5：废水向海洋排放的，应当填写岸边排放或深海排放。深海排放的，还应说明排污口的深度、与岸线直线距离。在备注中填写。</w:t>
            </w:r>
          </w:p>
        </w:tc>
      </w:tr>
    </w:tbl>
    <w:p>
      <w:pPr>
        <w:pStyle w:val="22"/>
        <w:spacing w:after="0" w:line="360" w:lineRule="auto"/>
        <w:ind w:left="0" w:leftChars="0" w:firstLine="480" w:firstLineChars="200"/>
        <w:rPr>
          <w:color w:val="auto"/>
          <w:sz w:val="24"/>
          <w:szCs w:val="36"/>
          <w:highlight w:val="none"/>
        </w:rPr>
      </w:pPr>
      <w:r>
        <w:rPr>
          <w:color w:val="auto"/>
          <w:sz w:val="24"/>
          <w:szCs w:val="36"/>
          <w:highlight w:val="none"/>
        </w:rPr>
        <w:t>③废水污染物排放信息表</w:t>
      </w:r>
    </w:p>
    <w:p>
      <w:pPr>
        <w:pStyle w:val="22"/>
        <w:spacing w:after="0" w:line="360" w:lineRule="auto"/>
        <w:ind w:left="0" w:leftChars="0"/>
        <w:jc w:val="center"/>
        <w:rPr>
          <w:color w:val="auto"/>
          <w:sz w:val="24"/>
          <w:szCs w:val="36"/>
          <w:highlight w:val="none"/>
        </w:rPr>
      </w:pPr>
      <w:r>
        <w:rPr>
          <w:rFonts w:eastAsia="黑体"/>
          <w:color w:val="auto"/>
          <w:sz w:val="21"/>
          <w:highlight w:val="none"/>
        </w:rPr>
        <w:t>表</w:t>
      </w:r>
      <w:r>
        <w:rPr>
          <w:rFonts w:hint="eastAsia" w:eastAsia="黑体"/>
          <w:color w:val="auto"/>
          <w:sz w:val="21"/>
          <w:highlight w:val="none"/>
          <w:lang w:val="en-US" w:eastAsia="zh-CN"/>
        </w:rPr>
        <w:t>8-3</w:t>
      </w:r>
      <w:r>
        <w:rPr>
          <w:rFonts w:hint="eastAsia" w:eastAsia="黑体"/>
          <w:color w:val="auto"/>
          <w:sz w:val="21"/>
          <w:highlight w:val="none"/>
        </w:rPr>
        <w:t xml:space="preserve"> </w:t>
      </w:r>
      <w:r>
        <w:rPr>
          <w:rFonts w:eastAsia="黑体"/>
          <w:color w:val="auto"/>
          <w:sz w:val="21"/>
          <w:highlight w:val="none"/>
        </w:rPr>
        <w:t>废水主要污染物排放信息表</w:t>
      </w:r>
    </w:p>
    <w:tbl>
      <w:tblPr>
        <w:tblStyle w:val="23"/>
        <w:tblpPr w:leftFromText="180" w:rightFromText="180" w:vertAnchor="text" w:tblpXSpec="center" w:tblpY="1"/>
        <w:tblOverlap w:val="never"/>
        <w:tblW w:w="49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93"/>
        <w:gridCol w:w="961"/>
        <w:gridCol w:w="1388"/>
        <w:gridCol w:w="1191"/>
        <w:gridCol w:w="1569"/>
        <w:gridCol w:w="1420"/>
        <w:gridCol w:w="1245"/>
        <w:gridCol w:w="14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restart"/>
            <w:tcBorders>
              <w:top w:val="single" w:color="auto" w:sz="6" w:space="0"/>
              <w:right w:val="single" w:color="auto" w:sz="6" w:space="0"/>
            </w:tcBorders>
            <w:vAlign w:val="center"/>
          </w:tcPr>
          <w:p>
            <w:pPr>
              <w:jc w:val="center"/>
              <w:rPr>
                <w:b/>
                <w:bCs/>
                <w:color w:val="auto"/>
                <w:highlight w:val="none"/>
              </w:rPr>
            </w:pPr>
            <w:r>
              <w:rPr>
                <w:b/>
                <w:bCs/>
                <w:color w:val="auto"/>
                <w:highlight w:val="none"/>
              </w:rPr>
              <w:t>序号</w:t>
            </w:r>
          </w:p>
        </w:tc>
        <w:tc>
          <w:tcPr>
            <w:tcW w:w="488" w:type="pct"/>
            <w:vMerge w:val="restart"/>
            <w:tcBorders>
              <w:top w:val="single" w:color="auto" w:sz="6" w:space="0"/>
              <w:left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排口编号</w:t>
            </w:r>
          </w:p>
        </w:tc>
        <w:tc>
          <w:tcPr>
            <w:tcW w:w="705" w:type="pct"/>
            <w:vMerge w:val="restart"/>
            <w:tcBorders>
              <w:top w:val="single" w:color="auto" w:sz="6" w:space="0"/>
              <w:left w:val="single" w:color="auto" w:sz="6" w:space="0"/>
              <w:right w:val="single" w:color="auto" w:sz="6" w:space="0"/>
            </w:tcBorders>
            <w:vAlign w:val="center"/>
          </w:tcPr>
          <w:p>
            <w:pPr>
              <w:widowControl/>
              <w:jc w:val="center"/>
              <w:textAlignment w:val="center"/>
              <w:rPr>
                <w:b/>
                <w:bCs/>
                <w:color w:val="auto"/>
                <w:highlight w:val="none"/>
              </w:rPr>
            </w:pPr>
            <w:r>
              <w:rPr>
                <w:b/>
                <w:bCs/>
                <w:color w:val="auto"/>
                <w:highlight w:val="none"/>
              </w:rPr>
              <w:t>污染物种类</w:t>
            </w:r>
          </w:p>
        </w:tc>
        <w:tc>
          <w:tcPr>
            <w:tcW w:w="605" w:type="pct"/>
            <w:vMerge w:val="restart"/>
            <w:tcBorders>
              <w:top w:val="single" w:color="auto" w:sz="6" w:space="0"/>
              <w:left w:val="single" w:color="auto" w:sz="6" w:space="0"/>
              <w:right w:val="single" w:color="auto" w:sz="6" w:space="0"/>
            </w:tcBorders>
            <w:vAlign w:val="center"/>
          </w:tcPr>
          <w:p>
            <w:pPr>
              <w:jc w:val="center"/>
              <w:rPr>
                <w:b/>
                <w:bCs/>
                <w:color w:val="auto"/>
                <w:highlight w:val="none"/>
              </w:rPr>
            </w:pPr>
            <w:r>
              <w:rPr>
                <w:b/>
                <w:bCs/>
                <w:color w:val="auto"/>
                <w:highlight w:val="none"/>
              </w:rPr>
              <w:t>排放浓度（mg/L）</w:t>
            </w:r>
          </w:p>
        </w:tc>
        <w:tc>
          <w:tcPr>
            <w:tcW w:w="1518" w:type="pct"/>
            <w:gridSpan w:val="2"/>
            <w:tcBorders>
              <w:top w:val="single" w:color="auto" w:sz="6" w:space="0"/>
              <w:left w:val="single" w:color="auto" w:sz="6" w:space="0"/>
              <w:bottom w:val="single" w:color="auto" w:sz="6" w:space="0"/>
            </w:tcBorders>
            <w:vAlign w:val="center"/>
          </w:tcPr>
          <w:p>
            <w:pPr>
              <w:jc w:val="center"/>
              <w:rPr>
                <w:rFonts w:hint="default" w:eastAsia="宋体"/>
                <w:b/>
                <w:bCs/>
                <w:color w:val="auto"/>
                <w:highlight w:val="none"/>
                <w:lang w:val="en-US" w:eastAsia="zh-CN"/>
              </w:rPr>
            </w:pPr>
            <w:r>
              <w:rPr>
                <w:rFonts w:hint="eastAsia"/>
                <w:b/>
                <w:bCs/>
                <w:color w:val="auto"/>
                <w:highlight w:val="none"/>
                <w:lang w:val="en-US" w:eastAsia="zh-CN"/>
              </w:rPr>
              <w:t>污染物量</w:t>
            </w:r>
          </w:p>
        </w:tc>
        <w:tc>
          <w:tcPr>
            <w:tcW w:w="632" w:type="pct"/>
            <w:vMerge w:val="restart"/>
            <w:tcBorders>
              <w:top w:val="single" w:color="auto" w:sz="6" w:space="0"/>
              <w:left w:val="single" w:color="auto" w:sz="6" w:space="0"/>
            </w:tcBorders>
            <w:vAlign w:val="center"/>
          </w:tcPr>
          <w:p>
            <w:pPr>
              <w:jc w:val="center"/>
              <w:rPr>
                <w:b/>
                <w:bCs/>
                <w:color w:val="auto"/>
                <w:highlight w:val="none"/>
              </w:rPr>
            </w:pPr>
            <w:r>
              <w:rPr>
                <w:b/>
                <w:bCs/>
                <w:color w:val="auto"/>
                <w:highlight w:val="none"/>
              </w:rPr>
              <w:t>全厂日排放量（t/d）</w:t>
            </w:r>
          </w:p>
        </w:tc>
        <w:tc>
          <w:tcPr>
            <w:tcW w:w="748" w:type="pct"/>
            <w:vMerge w:val="restart"/>
            <w:tcBorders>
              <w:top w:val="single" w:color="auto" w:sz="6" w:space="0"/>
              <w:left w:val="single" w:color="auto" w:sz="6" w:space="0"/>
            </w:tcBorders>
            <w:vAlign w:val="center"/>
          </w:tcPr>
          <w:p>
            <w:pPr>
              <w:jc w:val="center"/>
              <w:rPr>
                <w:b/>
                <w:bCs/>
                <w:color w:val="auto"/>
                <w:highlight w:val="none"/>
              </w:rPr>
            </w:pPr>
            <w:r>
              <w:rPr>
                <w:b/>
                <w:bCs/>
                <w:color w:val="auto"/>
                <w:highlight w:val="none"/>
              </w:rPr>
              <w:t>全厂年排放量（t/a）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continue"/>
            <w:tcBorders>
              <w:right w:val="single" w:color="auto" w:sz="6" w:space="0"/>
            </w:tcBorders>
            <w:vAlign w:val="center"/>
          </w:tcPr>
          <w:p>
            <w:pPr>
              <w:jc w:val="center"/>
              <w:rPr>
                <w:color w:val="auto"/>
                <w:highlight w:val="none"/>
              </w:rPr>
            </w:pPr>
          </w:p>
        </w:tc>
        <w:tc>
          <w:tcPr>
            <w:tcW w:w="488" w:type="pct"/>
            <w:vMerge w:val="continue"/>
            <w:tcBorders>
              <w:left w:val="single" w:color="auto" w:sz="6" w:space="0"/>
              <w:right w:val="single" w:color="auto" w:sz="6" w:space="0"/>
            </w:tcBorders>
            <w:vAlign w:val="center"/>
          </w:tcPr>
          <w:p>
            <w:pPr>
              <w:pStyle w:val="22"/>
              <w:spacing w:after="0"/>
              <w:ind w:left="0" w:leftChars="0" w:firstLine="0"/>
              <w:jc w:val="center"/>
              <w:rPr>
                <w:color w:val="auto"/>
                <w:sz w:val="21"/>
                <w:highlight w:val="none"/>
              </w:rPr>
            </w:pPr>
          </w:p>
        </w:tc>
        <w:tc>
          <w:tcPr>
            <w:tcW w:w="705" w:type="pct"/>
            <w:vMerge w:val="continue"/>
            <w:tcBorders>
              <w:left w:val="single" w:color="auto" w:sz="6" w:space="0"/>
              <w:right w:val="single" w:color="auto" w:sz="6" w:space="0"/>
            </w:tcBorders>
            <w:vAlign w:val="center"/>
          </w:tcPr>
          <w:p>
            <w:pPr>
              <w:widowControl/>
              <w:jc w:val="center"/>
              <w:textAlignment w:val="center"/>
              <w:rPr>
                <w:color w:val="auto"/>
                <w:highlight w:val="none"/>
              </w:rPr>
            </w:pPr>
          </w:p>
        </w:tc>
        <w:tc>
          <w:tcPr>
            <w:tcW w:w="605" w:type="pct"/>
            <w:vMerge w:val="continue"/>
            <w:tcBorders>
              <w:left w:val="single" w:color="auto" w:sz="6" w:space="0"/>
              <w:right w:val="single" w:color="auto" w:sz="6" w:space="0"/>
            </w:tcBorders>
            <w:vAlign w:val="center"/>
          </w:tcPr>
          <w:p>
            <w:pPr>
              <w:jc w:val="center"/>
              <w:rPr>
                <w:color w:val="auto"/>
                <w:highlight w:val="none"/>
              </w:rPr>
            </w:pPr>
          </w:p>
        </w:tc>
        <w:tc>
          <w:tcPr>
            <w:tcW w:w="797" w:type="pct"/>
            <w:vAlign w:val="center"/>
          </w:tcPr>
          <w:p>
            <w:pPr>
              <w:widowControl/>
              <w:jc w:val="center"/>
              <w:textAlignment w:val="center"/>
              <w:rPr>
                <w:b/>
                <w:bCs/>
                <w:color w:val="auto"/>
                <w:highlight w:val="none"/>
              </w:rPr>
            </w:pPr>
            <w:r>
              <w:rPr>
                <w:b/>
                <w:bCs/>
                <w:color w:val="auto"/>
                <w:highlight w:val="none"/>
              </w:rPr>
              <w:t>一期</w:t>
            </w:r>
          </w:p>
        </w:tc>
        <w:tc>
          <w:tcPr>
            <w:tcW w:w="720" w:type="pct"/>
            <w:vAlign w:val="center"/>
          </w:tcPr>
          <w:p>
            <w:pPr>
              <w:jc w:val="center"/>
              <w:rPr>
                <w:b/>
                <w:bCs/>
                <w:color w:val="auto"/>
                <w:highlight w:val="none"/>
              </w:rPr>
            </w:pPr>
            <w:r>
              <w:rPr>
                <w:b/>
                <w:bCs/>
                <w:color w:val="auto"/>
                <w:highlight w:val="none"/>
              </w:rPr>
              <w:t>本项目</w:t>
            </w:r>
          </w:p>
        </w:tc>
        <w:tc>
          <w:tcPr>
            <w:tcW w:w="632" w:type="pct"/>
            <w:vMerge w:val="continue"/>
            <w:tcBorders>
              <w:left w:val="single" w:color="auto" w:sz="6" w:space="0"/>
            </w:tcBorders>
            <w:vAlign w:val="center"/>
          </w:tcPr>
          <w:p>
            <w:pPr>
              <w:jc w:val="center"/>
              <w:rPr>
                <w:color w:val="auto"/>
                <w:highlight w:val="none"/>
              </w:rPr>
            </w:pPr>
          </w:p>
        </w:tc>
        <w:tc>
          <w:tcPr>
            <w:tcW w:w="748" w:type="pct"/>
            <w:vMerge w:val="continue"/>
            <w:tcBorders>
              <w:left w:val="single" w:color="auto" w:sz="6" w:space="0"/>
            </w:tcBorders>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restart"/>
            <w:vAlign w:val="center"/>
          </w:tcPr>
          <w:p>
            <w:pPr>
              <w:jc w:val="center"/>
              <w:rPr>
                <w:color w:val="auto"/>
                <w:highlight w:val="none"/>
              </w:rPr>
            </w:pPr>
            <w:r>
              <w:rPr>
                <w:color w:val="auto"/>
                <w:highlight w:val="none"/>
              </w:rPr>
              <w:t>1</w:t>
            </w:r>
          </w:p>
        </w:tc>
        <w:tc>
          <w:tcPr>
            <w:tcW w:w="488" w:type="pct"/>
            <w:vMerge w:val="restart"/>
            <w:vAlign w:val="center"/>
          </w:tcPr>
          <w:p>
            <w:pPr>
              <w:pStyle w:val="22"/>
              <w:spacing w:after="0"/>
              <w:ind w:left="0" w:leftChars="0" w:firstLine="0"/>
              <w:jc w:val="center"/>
              <w:rPr>
                <w:color w:val="auto"/>
                <w:sz w:val="21"/>
                <w:highlight w:val="none"/>
              </w:rPr>
            </w:pPr>
            <w:r>
              <w:rPr>
                <w:color w:val="auto"/>
                <w:sz w:val="21"/>
                <w:highlight w:val="none"/>
              </w:rPr>
              <w:t>DW001</w:t>
            </w:r>
          </w:p>
        </w:tc>
        <w:tc>
          <w:tcPr>
            <w:tcW w:w="705" w:type="pct"/>
            <w:vAlign w:val="center"/>
          </w:tcPr>
          <w:p>
            <w:pPr>
              <w:jc w:val="center"/>
              <w:rPr>
                <w:color w:val="auto"/>
                <w:highlight w:val="none"/>
              </w:rPr>
            </w:pPr>
            <w:r>
              <w:rPr>
                <w:color w:val="auto"/>
                <w:highlight w:val="none"/>
              </w:rPr>
              <w:t>COD</w:t>
            </w:r>
          </w:p>
        </w:tc>
        <w:tc>
          <w:tcPr>
            <w:tcW w:w="605" w:type="pct"/>
            <w:vAlign w:val="center"/>
          </w:tcPr>
          <w:p>
            <w:pPr>
              <w:jc w:val="center"/>
              <w:rPr>
                <w:color w:val="auto"/>
                <w:highlight w:val="none"/>
              </w:rPr>
            </w:pPr>
            <w:r>
              <w:rPr>
                <w:color w:val="auto"/>
                <w:highlight w:val="none"/>
              </w:rPr>
              <w:t>50</w:t>
            </w:r>
          </w:p>
        </w:tc>
        <w:tc>
          <w:tcPr>
            <w:tcW w:w="797" w:type="pct"/>
            <w:vAlign w:val="center"/>
          </w:tcPr>
          <w:p>
            <w:pPr>
              <w:widowControl/>
              <w:jc w:val="center"/>
              <w:textAlignment w:val="center"/>
              <w:rPr>
                <w:color w:val="auto"/>
                <w:highlight w:val="none"/>
              </w:rPr>
            </w:pPr>
            <w:r>
              <w:rPr>
                <w:color w:val="auto"/>
                <w:kern w:val="0"/>
                <w:highlight w:val="none"/>
                <w:lang w:bidi="ar"/>
              </w:rPr>
              <w:t>182.50</w:t>
            </w:r>
          </w:p>
        </w:tc>
        <w:tc>
          <w:tcPr>
            <w:tcW w:w="720" w:type="pct"/>
            <w:vAlign w:val="center"/>
          </w:tcPr>
          <w:p>
            <w:pPr>
              <w:widowControl/>
              <w:jc w:val="center"/>
              <w:textAlignment w:val="center"/>
              <w:rPr>
                <w:color w:val="auto"/>
                <w:highlight w:val="none"/>
              </w:rPr>
            </w:pPr>
            <w:r>
              <w:rPr>
                <w:color w:val="auto"/>
                <w:kern w:val="0"/>
                <w:highlight w:val="none"/>
                <w:lang w:bidi="ar"/>
              </w:rPr>
              <w:t>182.50</w:t>
            </w:r>
          </w:p>
        </w:tc>
        <w:tc>
          <w:tcPr>
            <w:tcW w:w="632" w:type="pct"/>
            <w:vAlign w:val="center"/>
          </w:tcPr>
          <w:p>
            <w:pPr>
              <w:widowControl/>
              <w:jc w:val="center"/>
              <w:textAlignment w:val="center"/>
              <w:rPr>
                <w:color w:val="auto"/>
                <w:highlight w:val="none"/>
              </w:rPr>
            </w:pPr>
            <w:r>
              <w:rPr>
                <w:color w:val="auto"/>
                <w:kern w:val="0"/>
                <w:highlight w:val="none"/>
                <w:lang w:bidi="ar"/>
              </w:rPr>
              <w:t>1.000</w:t>
            </w:r>
          </w:p>
        </w:tc>
        <w:tc>
          <w:tcPr>
            <w:tcW w:w="748" w:type="pct"/>
            <w:vAlign w:val="center"/>
          </w:tcPr>
          <w:p>
            <w:pPr>
              <w:widowControl/>
              <w:jc w:val="center"/>
              <w:textAlignment w:val="center"/>
              <w:rPr>
                <w:color w:val="auto"/>
                <w:highlight w:val="none"/>
              </w:rPr>
            </w:pPr>
            <w:r>
              <w:rPr>
                <w:color w:val="auto"/>
                <w:kern w:val="0"/>
                <w:highlight w:val="none"/>
                <w:lang w:bidi="ar"/>
              </w:rPr>
              <w:t>365.00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continue"/>
            <w:vAlign w:val="center"/>
          </w:tcPr>
          <w:p>
            <w:pPr>
              <w:jc w:val="center"/>
              <w:rPr>
                <w:color w:val="auto"/>
                <w:highlight w:val="none"/>
              </w:rPr>
            </w:pPr>
          </w:p>
        </w:tc>
        <w:tc>
          <w:tcPr>
            <w:tcW w:w="488" w:type="pct"/>
            <w:vMerge w:val="continue"/>
            <w:vAlign w:val="center"/>
          </w:tcPr>
          <w:p>
            <w:pPr>
              <w:pStyle w:val="22"/>
              <w:spacing w:after="0"/>
              <w:ind w:left="0" w:leftChars="0" w:firstLine="0"/>
              <w:jc w:val="center"/>
              <w:rPr>
                <w:color w:val="auto"/>
                <w:sz w:val="21"/>
                <w:highlight w:val="none"/>
              </w:rPr>
            </w:pPr>
          </w:p>
        </w:tc>
        <w:tc>
          <w:tcPr>
            <w:tcW w:w="705" w:type="pct"/>
            <w:vAlign w:val="center"/>
          </w:tcPr>
          <w:p>
            <w:pPr>
              <w:jc w:val="center"/>
              <w:rPr>
                <w:color w:val="auto"/>
                <w:highlight w:val="none"/>
              </w:rPr>
            </w:pPr>
            <w:r>
              <w:rPr>
                <w:color w:val="auto"/>
                <w:highlight w:val="none"/>
              </w:rPr>
              <w:t>BOD</w:t>
            </w:r>
            <w:r>
              <w:rPr>
                <w:color w:val="auto"/>
                <w:highlight w:val="none"/>
                <w:vertAlign w:val="subscript"/>
              </w:rPr>
              <w:t>5</w:t>
            </w:r>
          </w:p>
        </w:tc>
        <w:tc>
          <w:tcPr>
            <w:tcW w:w="605" w:type="pct"/>
            <w:vAlign w:val="center"/>
          </w:tcPr>
          <w:p>
            <w:pPr>
              <w:jc w:val="center"/>
              <w:rPr>
                <w:color w:val="auto"/>
                <w:highlight w:val="none"/>
              </w:rPr>
            </w:pPr>
            <w:r>
              <w:rPr>
                <w:color w:val="auto"/>
                <w:highlight w:val="none"/>
              </w:rPr>
              <w:t>10</w:t>
            </w:r>
          </w:p>
        </w:tc>
        <w:tc>
          <w:tcPr>
            <w:tcW w:w="797" w:type="pct"/>
            <w:vAlign w:val="center"/>
          </w:tcPr>
          <w:p>
            <w:pPr>
              <w:widowControl/>
              <w:jc w:val="center"/>
              <w:textAlignment w:val="center"/>
              <w:rPr>
                <w:color w:val="auto"/>
                <w:highlight w:val="none"/>
              </w:rPr>
            </w:pPr>
            <w:r>
              <w:rPr>
                <w:color w:val="auto"/>
                <w:kern w:val="0"/>
                <w:highlight w:val="none"/>
                <w:lang w:bidi="ar"/>
              </w:rPr>
              <w:t>36.50</w:t>
            </w:r>
          </w:p>
        </w:tc>
        <w:tc>
          <w:tcPr>
            <w:tcW w:w="720" w:type="pct"/>
            <w:vAlign w:val="center"/>
          </w:tcPr>
          <w:p>
            <w:pPr>
              <w:widowControl/>
              <w:jc w:val="center"/>
              <w:textAlignment w:val="center"/>
              <w:rPr>
                <w:color w:val="auto"/>
                <w:highlight w:val="none"/>
              </w:rPr>
            </w:pPr>
            <w:r>
              <w:rPr>
                <w:color w:val="auto"/>
                <w:kern w:val="0"/>
                <w:highlight w:val="none"/>
                <w:lang w:bidi="ar"/>
              </w:rPr>
              <w:t>36.50</w:t>
            </w:r>
          </w:p>
        </w:tc>
        <w:tc>
          <w:tcPr>
            <w:tcW w:w="632" w:type="pct"/>
            <w:vAlign w:val="center"/>
          </w:tcPr>
          <w:p>
            <w:pPr>
              <w:widowControl/>
              <w:jc w:val="center"/>
              <w:textAlignment w:val="center"/>
              <w:rPr>
                <w:color w:val="auto"/>
                <w:highlight w:val="none"/>
              </w:rPr>
            </w:pPr>
            <w:r>
              <w:rPr>
                <w:color w:val="auto"/>
                <w:kern w:val="0"/>
                <w:highlight w:val="none"/>
                <w:lang w:bidi="ar"/>
              </w:rPr>
              <w:t>0.200</w:t>
            </w:r>
          </w:p>
        </w:tc>
        <w:tc>
          <w:tcPr>
            <w:tcW w:w="748" w:type="pct"/>
            <w:vAlign w:val="center"/>
          </w:tcPr>
          <w:p>
            <w:pPr>
              <w:widowControl/>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continue"/>
            <w:vAlign w:val="center"/>
          </w:tcPr>
          <w:p>
            <w:pPr>
              <w:jc w:val="center"/>
              <w:rPr>
                <w:color w:val="auto"/>
                <w:highlight w:val="none"/>
              </w:rPr>
            </w:pPr>
          </w:p>
        </w:tc>
        <w:tc>
          <w:tcPr>
            <w:tcW w:w="488" w:type="pct"/>
            <w:vMerge w:val="continue"/>
            <w:vAlign w:val="center"/>
          </w:tcPr>
          <w:p>
            <w:pPr>
              <w:pStyle w:val="22"/>
              <w:spacing w:after="0"/>
              <w:ind w:left="0" w:leftChars="0" w:firstLine="0"/>
              <w:jc w:val="center"/>
              <w:rPr>
                <w:color w:val="auto"/>
                <w:sz w:val="21"/>
                <w:highlight w:val="none"/>
              </w:rPr>
            </w:pPr>
          </w:p>
        </w:tc>
        <w:tc>
          <w:tcPr>
            <w:tcW w:w="705" w:type="pct"/>
            <w:vAlign w:val="center"/>
          </w:tcPr>
          <w:p>
            <w:pPr>
              <w:jc w:val="center"/>
              <w:rPr>
                <w:color w:val="auto"/>
                <w:highlight w:val="none"/>
              </w:rPr>
            </w:pPr>
            <w:r>
              <w:rPr>
                <w:color w:val="auto"/>
                <w:highlight w:val="none"/>
              </w:rPr>
              <w:t>SS</w:t>
            </w:r>
          </w:p>
        </w:tc>
        <w:tc>
          <w:tcPr>
            <w:tcW w:w="605" w:type="pct"/>
            <w:vAlign w:val="center"/>
          </w:tcPr>
          <w:p>
            <w:pPr>
              <w:jc w:val="center"/>
              <w:rPr>
                <w:color w:val="auto"/>
                <w:highlight w:val="none"/>
              </w:rPr>
            </w:pPr>
            <w:r>
              <w:rPr>
                <w:color w:val="auto"/>
                <w:highlight w:val="none"/>
              </w:rPr>
              <w:t>10</w:t>
            </w:r>
          </w:p>
        </w:tc>
        <w:tc>
          <w:tcPr>
            <w:tcW w:w="797" w:type="pct"/>
            <w:vAlign w:val="center"/>
          </w:tcPr>
          <w:p>
            <w:pPr>
              <w:widowControl/>
              <w:jc w:val="center"/>
              <w:textAlignment w:val="center"/>
              <w:rPr>
                <w:color w:val="auto"/>
                <w:highlight w:val="none"/>
              </w:rPr>
            </w:pPr>
            <w:r>
              <w:rPr>
                <w:color w:val="auto"/>
                <w:kern w:val="0"/>
                <w:highlight w:val="none"/>
                <w:lang w:bidi="ar"/>
              </w:rPr>
              <w:t>36.50</w:t>
            </w:r>
          </w:p>
        </w:tc>
        <w:tc>
          <w:tcPr>
            <w:tcW w:w="720" w:type="pct"/>
            <w:vAlign w:val="center"/>
          </w:tcPr>
          <w:p>
            <w:pPr>
              <w:widowControl/>
              <w:jc w:val="center"/>
              <w:textAlignment w:val="center"/>
              <w:rPr>
                <w:color w:val="auto"/>
                <w:highlight w:val="none"/>
              </w:rPr>
            </w:pPr>
            <w:r>
              <w:rPr>
                <w:color w:val="auto"/>
                <w:kern w:val="0"/>
                <w:highlight w:val="none"/>
                <w:lang w:bidi="ar"/>
              </w:rPr>
              <w:t>36.50</w:t>
            </w:r>
          </w:p>
        </w:tc>
        <w:tc>
          <w:tcPr>
            <w:tcW w:w="632" w:type="pct"/>
            <w:vAlign w:val="center"/>
          </w:tcPr>
          <w:p>
            <w:pPr>
              <w:widowControl/>
              <w:jc w:val="center"/>
              <w:textAlignment w:val="center"/>
              <w:rPr>
                <w:color w:val="auto"/>
                <w:highlight w:val="none"/>
              </w:rPr>
            </w:pPr>
            <w:r>
              <w:rPr>
                <w:color w:val="auto"/>
                <w:kern w:val="0"/>
                <w:highlight w:val="none"/>
                <w:lang w:bidi="ar"/>
              </w:rPr>
              <w:t>0.200</w:t>
            </w:r>
          </w:p>
        </w:tc>
        <w:tc>
          <w:tcPr>
            <w:tcW w:w="748" w:type="pct"/>
            <w:vAlign w:val="center"/>
          </w:tcPr>
          <w:p>
            <w:pPr>
              <w:widowControl/>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continue"/>
            <w:vAlign w:val="center"/>
          </w:tcPr>
          <w:p>
            <w:pPr>
              <w:jc w:val="center"/>
              <w:rPr>
                <w:color w:val="auto"/>
                <w:highlight w:val="none"/>
              </w:rPr>
            </w:pPr>
          </w:p>
        </w:tc>
        <w:tc>
          <w:tcPr>
            <w:tcW w:w="488" w:type="pct"/>
            <w:vMerge w:val="continue"/>
            <w:vAlign w:val="center"/>
          </w:tcPr>
          <w:p>
            <w:pPr>
              <w:pStyle w:val="22"/>
              <w:spacing w:after="0"/>
              <w:ind w:left="0" w:leftChars="0" w:firstLine="0"/>
              <w:jc w:val="center"/>
              <w:rPr>
                <w:color w:val="auto"/>
                <w:sz w:val="21"/>
                <w:highlight w:val="none"/>
              </w:rPr>
            </w:pPr>
          </w:p>
        </w:tc>
        <w:tc>
          <w:tcPr>
            <w:tcW w:w="705" w:type="pct"/>
            <w:vAlign w:val="center"/>
          </w:tcPr>
          <w:p>
            <w:pPr>
              <w:jc w:val="center"/>
              <w:rPr>
                <w:color w:val="auto"/>
                <w:highlight w:val="none"/>
              </w:rPr>
            </w:pPr>
            <w:r>
              <w:rPr>
                <w:bCs/>
                <w:color w:val="auto"/>
                <w:highlight w:val="none"/>
              </w:rPr>
              <w:t>NH</w:t>
            </w:r>
            <w:r>
              <w:rPr>
                <w:bCs/>
                <w:color w:val="auto"/>
                <w:highlight w:val="none"/>
                <w:vertAlign w:val="subscript"/>
              </w:rPr>
              <w:t>3</w:t>
            </w:r>
            <w:r>
              <w:rPr>
                <w:bCs/>
                <w:color w:val="auto"/>
                <w:highlight w:val="none"/>
              </w:rPr>
              <w:t>-N</w:t>
            </w:r>
          </w:p>
        </w:tc>
        <w:tc>
          <w:tcPr>
            <w:tcW w:w="605" w:type="pct"/>
            <w:vAlign w:val="center"/>
          </w:tcPr>
          <w:p>
            <w:pPr>
              <w:jc w:val="center"/>
              <w:rPr>
                <w:color w:val="auto"/>
                <w:highlight w:val="none"/>
              </w:rPr>
            </w:pPr>
            <w:r>
              <w:rPr>
                <w:color w:val="auto"/>
                <w:highlight w:val="none"/>
              </w:rPr>
              <w:t>5</w:t>
            </w:r>
          </w:p>
        </w:tc>
        <w:tc>
          <w:tcPr>
            <w:tcW w:w="797" w:type="pct"/>
            <w:vAlign w:val="center"/>
          </w:tcPr>
          <w:p>
            <w:pPr>
              <w:widowControl/>
              <w:jc w:val="center"/>
              <w:textAlignment w:val="center"/>
              <w:rPr>
                <w:color w:val="auto"/>
                <w:highlight w:val="none"/>
              </w:rPr>
            </w:pPr>
            <w:r>
              <w:rPr>
                <w:color w:val="auto"/>
                <w:kern w:val="0"/>
                <w:highlight w:val="none"/>
                <w:lang w:bidi="ar"/>
              </w:rPr>
              <w:t>18.25</w:t>
            </w:r>
          </w:p>
        </w:tc>
        <w:tc>
          <w:tcPr>
            <w:tcW w:w="720" w:type="pct"/>
            <w:vAlign w:val="center"/>
          </w:tcPr>
          <w:p>
            <w:pPr>
              <w:widowControl/>
              <w:jc w:val="center"/>
              <w:textAlignment w:val="center"/>
              <w:rPr>
                <w:color w:val="auto"/>
                <w:highlight w:val="none"/>
              </w:rPr>
            </w:pPr>
            <w:r>
              <w:rPr>
                <w:color w:val="auto"/>
                <w:kern w:val="0"/>
                <w:highlight w:val="none"/>
                <w:lang w:bidi="ar"/>
              </w:rPr>
              <w:t>18.25</w:t>
            </w:r>
          </w:p>
        </w:tc>
        <w:tc>
          <w:tcPr>
            <w:tcW w:w="632" w:type="pct"/>
            <w:vAlign w:val="center"/>
          </w:tcPr>
          <w:p>
            <w:pPr>
              <w:widowControl/>
              <w:jc w:val="center"/>
              <w:textAlignment w:val="center"/>
              <w:rPr>
                <w:color w:val="auto"/>
                <w:highlight w:val="none"/>
              </w:rPr>
            </w:pPr>
            <w:r>
              <w:rPr>
                <w:color w:val="auto"/>
                <w:kern w:val="0"/>
                <w:highlight w:val="none"/>
                <w:lang w:bidi="ar"/>
              </w:rPr>
              <w:t>0.100</w:t>
            </w:r>
          </w:p>
        </w:tc>
        <w:tc>
          <w:tcPr>
            <w:tcW w:w="748" w:type="pct"/>
            <w:vAlign w:val="center"/>
          </w:tcPr>
          <w:p>
            <w:pPr>
              <w:widowControl/>
              <w:jc w:val="center"/>
              <w:textAlignment w:val="center"/>
              <w:rPr>
                <w:color w:val="auto"/>
                <w:highlight w:val="none"/>
              </w:rPr>
            </w:pP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continue"/>
          </w:tcPr>
          <w:p>
            <w:pPr>
              <w:jc w:val="center"/>
              <w:rPr>
                <w:color w:val="auto"/>
                <w:highlight w:val="none"/>
              </w:rPr>
            </w:pPr>
          </w:p>
        </w:tc>
        <w:tc>
          <w:tcPr>
            <w:tcW w:w="488" w:type="pct"/>
            <w:vMerge w:val="continue"/>
          </w:tcPr>
          <w:p>
            <w:pPr>
              <w:pStyle w:val="22"/>
              <w:spacing w:after="0"/>
              <w:ind w:left="0" w:leftChars="0" w:firstLine="0"/>
              <w:jc w:val="center"/>
              <w:rPr>
                <w:color w:val="auto"/>
                <w:sz w:val="21"/>
                <w:highlight w:val="none"/>
              </w:rPr>
            </w:pPr>
          </w:p>
        </w:tc>
        <w:tc>
          <w:tcPr>
            <w:tcW w:w="705" w:type="pct"/>
            <w:vAlign w:val="center"/>
          </w:tcPr>
          <w:p>
            <w:pPr>
              <w:jc w:val="center"/>
              <w:rPr>
                <w:color w:val="auto"/>
                <w:highlight w:val="none"/>
              </w:rPr>
            </w:pPr>
            <w:r>
              <w:rPr>
                <w:color w:val="auto"/>
                <w:highlight w:val="none"/>
              </w:rPr>
              <w:t>TN</w:t>
            </w:r>
          </w:p>
        </w:tc>
        <w:tc>
          <w:tcPr>
            <w:tcW w:w="605" w:type="pct"/>
            <w:vAlign w:val="center"/>
          </w:tcPr>
          <w:p>
            <w:pPr>
              <w:jc w:val="center"/>
              <w:rPr>
                <w:color w:val="auto"/>
                <w:highlight w:val="none"/>
              </w:rPr>
            </w:pPr>
            <w:r>
              <w:rPr>
                <w:color w:val="auto"/>
                <w:highlight w:val="none"/>
              </w:rPr>
              <w:t>15</w:t>
            </w:r>
          </w:p>
        </w:tc>
        <w:tc>
          <w:tcPr>
            <w:tcW w:w="797" w:type="pct"/>
            <w:vAlign w:val="center"/>
          </w:tcPr>
          <w:p>
            <w:pPr>
              <w:widowControl/>
              <w:jc w:val="center"/>
              <w:textAlignment w:val="center"/>
              <w:rPr>
                <w:color w:val="auto"/>
                <w:highlight w:val="none"/>
              </w:rPr>
            </w:pPr>
            <w:r>
              <w:rPr>
                <w:color w:val="auto"/>
                <w:kern w:val="0"/>
                <w:highlight w:val="none"/>
                <w:lang w:bidi="ar"/>
              </w:rPr>
              <w:t>54.75</w:t>
            </w:r>
          </w:p>
        </w:tc>
        <w:tc>
          <w:tcPr>
            <w:tcW w:w="720" w:type="pct"/>
            <w:vAlign w:val="center"/>
          </w:tcPr>
          <w:p>
            <w:pPr>
              <w:widowControl/>
              <w:jc w:val="center"/>
              <w:textAlignment w:val="center"/>
              <w:rPr>
                <w:color w:val="auto"/>
                <w:highlight w:val="none"/>
              </w:rPr>
            </w:pPr>
            <w:r>
              <w:rPr>
                <w:color w:val="auto"/>
                <w:kern w:val="0"/>
                <w:highlight w:val="none"/>
                <w:lang w:bidi="ar"/>
              </w:rPr>
              <w:t>54.75</w:t>
            </w:r>
          </w:p>
        </w:tc>
        <w:tc>
          <w:tcPr>
            <w:tcW w:w="632" w:type="pct"/>
            <w:vAlign w:val="center"/>
          </w:tcPr>
          <w:p>
            <w:pPr>
              <w:widowControl/>
              <w:jc w:val="center"/>
              <w:textAlignment w:val="center"/>
              <w:rPr>
                <w:color w:val="auto"/>
                <w:highlight w:val="none"/>
              </w:rPr>
            </w:pPr>
            <w:r>
              <w:rPr>
                <w:color w:val="auto"/>
                <w:kern w:val="0"/>
                <w:highlight w:val="none"/>
                <w:lang w:bidi="ar"/>
              </w:rPr>
              <w:t>0.300</w:t>
            </w:r>
          </w:p>
        </w:tc>
        <w:tc>
          <w:tcPr>
            <w:tcW w:w="748" w:type="pct"/>
            <w:vAlign w:val="center"/>
          </w:tcPr>
          <w:p>
            <w:pPr>
              <w:widowControl/>
              <w:jc w:val="center"/>
              <w:textAlignment w:val="center"/>
              <w:rPr>
                <w:color w:val="auto"/>
                <w:highlight w:val="none"/>
              </w:rPr>
            </w:pPr>
            <w:r>
              <w:rPr>
                <w:color w:val="auto"/>
                <w:kern w:val="0"/>
                <w:highlight w:val="none"/>
                <w:lang w:bidi="ar"/>
              </w:rPr>
              <w:t>109.50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Merge w:val="continue"/>
          </w:tcPr>
          <w:p>
            <w:pPr>
              <w:jc w:val="center"/>
              <w:rPr>
                <w:color w:val="auto"/>
                <w:highlight w:val="none"/>
              </w:rPr>
            </w:pPr>
          </w:p>
        </w:tc>
        <w:tc>
          <w:tcPr>
            <w:tcW w:w="488" w:type="pct"/>
            <w:vMerge w:val="continue"/>
          </w:tcPr>
          <w:p>
            <w:pPr>
              <w:pStyle w:val="22"/>
              <w:spacing w:after="0"/>
              <w:ind w:left="0" w:leftChars="0" w:firstLine="0"/>
              <w:jc w:val="center"/>
              <w:rPr>
                <w:color w:val="auto"/>
                <w:sz w:val="21"/>
                <w:highlight w:val="none"/>
              </w:rPr>
            </w:pPr>
          </w:p>
        </w:tc>
        <w:tc>
          <w:tcPr>
            <w:tcW w:w="705" w:type="pct"/>
            <w:vAlign w:val="center"/>
          </w:tcPr>
          <w:p>
            <w:pPr>
              <w:jc w:val="center"/>
              <w:rPr>
                <w:color w:val="auto"/>
                <w:highlight w:val="none"/>
              </w:rPr>
            </w:pPr>
            <w:r>
              <w:rPr>
                <w:color w:val="auto"/>
                <w:highlight w:val="none"/>
              </w:rPr>
              <w:t>TP</w:t>
            </w:r>
          </w:p>
        </w:tc>
        <w:tc>
          <w:tcPr>
            <w:tcW w:w="605" w:type="pct"/>
            <w:vAlign w:val="center"/>
          </w:tcPr>
          <w:p>
            <w:pPr>
              <w:jc w:val="center"/>
              <w:rPr>
                <w:color w:val="auto"/>
                <w:highlight w:val="none"/>
              </w:rPr>
            </w:pPr>
            <w:r>
              <w:rPr>
                <w:color w:val="auto"/>
                <w:highlight w:val="none"/>
              </w:rPr>
              <w:t>0.5</w:t>
            </w:r>
          </w:p>
        </w:tc>
        <w:tc>
          <w:tcPr>
            <w:tcW w:w="797" w:type="pct"/>
            <w:vAlign w:val="center"/>
          </w:tcPr>
          <w:p>
            <w:pPr>
              <w:widowControl/>
              <w:jc w:val="center"/>
              <w:textAlignment w:val="center"/>
              <w:rPr>
                <w:color w:val="auto"/>
                <w:highlight w:val="none"/>
              </w:rPr>
            </w:pPr>
            <w:r>
              <w:rPr>
                <w:color w:val="auto"/>
                <w:kern w:val="0"/>
                <w:highlight w:val="none"/>
                <w:lang w:bidi="ar"/>
              </w:rPr>
              <w:t>1.825</w:t>
            </w:r>
          </w:p>
        </w:tc>
        <w:tc>
          <w:tcPr>
            <w:tcW w:w="720" w:type="pct"/>
            <w:vAlign w:val="center"/>
          </w:tcPr>
          <w:p>
            <w:pPr>
              <w:widowControl/>
              <w:jc w:val="center"/>
              <w:textAlignment w:val="center"/>
              <w:rPr>
                <w:color w:val="auto"/>
                <w:highlight w:val="none"/>
              </w:rPr>
            </w:pPr>
            <w:r>
              <w:rPr>
                <w:color w:val="auto"/>
                <w:kern w:val="0"/>
                <w:highlight w:val="none"/>
                <w:lang w:bidi="ar"/>
              </w:rPr>
              <w:t>1.825</w:t>
            </w:r>
          </w:p>
        </w:tc>
        <w:tc>
          <w:tcPr>
            <w:tcW w:w="632" w:type="pct"/>
            <w:vAlign w:val="center"/>
          </w:tcPr>
          <w:p>
            <w:pPr>
              <w:widowControl/>
              <w:jc w:val="center"/>
              <w:textAlignment w:val="center"/>
              <w:rPr>
                <w:color w:val="auto"/>
                <w:highlight w:val="none"/>
              </w:rPr>
            </w:pPr>
            <w:r>
              <w:rPr>
                <w:color w:val="auto"/>
                <w:kern w:val="0"/>
                <w:highlight w:val="none"/>
                <w:lang w:bidi="ar"/>
              </w:rPr>
              <w:t>0.010</w:t>
            </w:r>
          </w:p>
        </w:tc>
        <w:tc>
          <w:tcPr>
            <w:tcW w:w="748" w:type="pct"/>
            <w:vAlign w:val="center"/>
          </w:tcPr>
          <w:p>
            <w:pPr>
              <w:widowControl/>
              <w:jc w:val="center"/>
              <w:textAlignment w:val="center"/>
              <w:rPr>
                <w:color w:val="auto"/>
                <w:highlight w:val="none"/>
              </w:rPr>
            </w:pPr>
            <w:r>
              <w:rPr>
                <w:color w:val="auto"/>
                <w:kern w:val="0"/>
                <w:highlight w:val="none"/>
                <w:lang w:bidi="ar"/>
              </w:rPr>
              <w:t>3.650</w:t>
            </w:r>
          </w:p>
        </w:tc>
      </w:tr>
    </w:tbl>
    <w:p>
      <w:pPr>
        <w:pStyle w:val="22"/>
        <w:spacing w:after="0" w:line="360" w:lineRule="auto"/>
        <w:ind w:left="0" w:leftChars="0"/>
        <w:jc w:val="center"/>
        <w:rPr>
          <w:color w:val="auto"/>
          <w:sz w:val="24"/>
          <w:szCs w:val="36"/>
          <w:highlight w:val="none"/>
        </w:rPr>
      </w:pPr>
      <w:r>
        <w:rPr>
          <w:rFonts w:eastAsia="黑体"/>
          <w:color w:val="auto"/>
          <w:sz w:val="21"/>
          <w:highlight w:val="none"/>
        </w:rPr>
        <w:t>表</w:t>
      </w:r>
      <w:r>
        <w:rPr>
          <w:rFonts w:hint="eastAsia" w:eastAsia="黑体"/>
          <w:color w:val="auto"/>
          <w:sz w:val="21"/>
          <w:highlight w:val="none"/>
          <w:lang w:val="en-US" w:eastAsia="zh-CN"/>
        </w:rPr>
        <w:t>8-4</w:t>
      </w:r>
      <w:r>
        <w:rPr>
          <w:rFonts w:hint="eastAsia" w:eastAsia="黑体"/>
          <w:color w:val="auto"/>
          <w:sz w:val="21"/>
          <w:highlight w:val="none"/>
        </w:rPr>
        <w:t xml:space="preserve"> </w:t>
      </w:r>
      <w:r>
        <w:rPr>
          <w:rFonts w:eastAsia="黑体"/>
          <w:color w:val="auto"/>
          <w:sz w:val="21"/>
          <w:highlight w:val="none"/>
        </w:rPr>
        <w:t>水污染物排放信息表（改建、扩建项目）</w:t>
      </w:r>
    </w:p>
    <w:tbl>
      <w:tblPr>
        <w:tblStyle w:val="23"/>
        <w:tblpPr w:leftFromText="180" w:rightFromText="180" w:vertAnchor="text" w:tblpXSpec="center" w:tblpY="1"/>
        <w:tblOverlap w:val="never"/>
        <w:tblW w:w="499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93"/>
        <w:gridCol w:w="961"/>
        <w:gridCol w:w="1420"/>
        <w:gridCol w:w="1160"/>
        <w:gridCol w:w="1493"/>
        <w:gridCol w:w="1495"/>
        <w:gridCol w:w="1245"/>
        <w:gridCol w:w="14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tcBorders>
              <w:top w:val="single" w:color="auto" w:sz="6" w:space="0"/>
              <w:right w:val="single" w:color="auto" w:sz="6" w:space="0"/>
            </w:tcBorders>
            <w:vAlign w:val="center"/>
          </w:tcPr>
          <w:p>
            <w:pPr>
              <w:jc w:val="center"/>
              <w:rPr>
                <w:b/>
                <w:bCs/>
                <w:color w:val="auto"/>
                <w:highlight w:val="none"/>
              </w:rPr>
            </w:pPr>
            <w:r>
              <w:rPr>
                <w:b/>
                <w:bCs/>
                <w:color w:val="auto"/>
                <w:highlight w:val="none"/>
              </w:rPr>
              <w:t>序号</w:t>
            </w:r>
          </w:p>
        </w:tc>
        <w:tc>
          <w:tcPr>
            <w:tcW w:w="488" w:type="pct"/>
            <w:tcBorders>
              <w:top w:val="single" w:color="auto" w:sz="6" w:space="0"/>
              <w:left w:val="single" w:color="auto" w:sz="6" w:space="0"/>
              <w:right w:val="single" w:color="auto" w:sz="6" w:space="0"/>
            </w:tcBorders>
            <w:vAlign w:val="center"/>
          </w:tcPr>
          <w:p>
            <w:pPr>
              <w:pStyle w:val="22"/>
              <w:spacing w:after="0"/>
              <w:ind w:left="0" w:leftChars="0" w:firstLine="0"/>
              <w:jc w:val="center"/>
              <w:rPr>
                <w:b/>
                <w:bCs/>
                <w:color w:val="auto"/>
                <w:sz w:val="21"/>
                <w:highlight w:val="none"/>
              </w:rPr>
            </w:pPr>
            <w:r>
              <w:rPr>
                <w:b/>
                <w:bCs/>
                <w:color w:val="auto"/>
                <w:sz w:val="21"/>
                <w:highlight w:val="none"/>
              </w:rPr>
              <w:t>排口编号</w:t>
            </w:r>
          </w:p>
        </w:tc>
        <w:tc>
          <w:tcPr>
            <w:tcW w:w="721" w:type="pct"/>
            <w:tcBorders>
              <w:top w:val="single" w:color="auto" w:sz="6" w:space="0"/>
              <w:left w:val="single" w:color="auto" w:sz="6" w:space="0"/>
              <w:right w:val="single" w:color="auto" w:sz="6" w:space="0"/>
            </w:tcBorders>
            <w:vAlign w:val="center"/>
          </w:tcPr>
          <w:p>
            <w:pPr>
              <w:widowControl/>
              <w:jc w:val="center"/>
              <w:textAlignment w:val="center"/>
              <w:rPr>
                <w:b/>
                <w:bCs/>
                <w:color w:val="auto"/>
                <w:highlight w:val="none"/>
              </w:rPr>
            </w:pPr>
            <w:r>
              <w:rPr>
                <w:b/>
                <w:bCs/>
                <w:color w:val="auto"/>
                <w:highlight w:val="none"/>
              </w:rPr>
              <w:t>污染物种类</w:t>
            </w:r>
          </w:p>
        </w:tc>
        <w:tc>
          <w:tcPr>
            <w:tcW w:w="589" w:type="pct"/>
            <w:tcBorders>
              <w:top w:val="single" w:color="auto" w:sz="6" w:space="0"/>
              <w:left w:val="single" w:color="auto" w:sz="6" w:space="0"/>
              <w:right w:val="single" w:color="auto" w:sz="6" w:space="0"/>
            </w:tcBorders>
            <w:vAlign w:val="center"/>
          </w:tcPr>
          <w:p>
            <w:pPr>
              <w:jc w:val="center"/>
              <w:rPr>
                <w:b/>
                <w:bCs/>
                <w:color w:val="auto"/>
                <w:highlight w:val="none"/>
              </w:rPr>
            </w:pPr>
            <w:r>
              <w:rPr>
                <w:b/>
                <w:bCs/>
                <w:color w:val="auto"/>
                <w:highlight w:val="none"/>
              </w:rPr>
              <w:t>排放浓度（mg/L）</w:t>
            </w:r>
          </w:p>
        </w:tc>
        <w:tc>
          <w:tcPr>
            <w:tcW w:w="758" w:type="pct"/>
            <w:tcBorders>
              <w:top w:val="single" w:color="auto" w:sz="6" w:space="0"/>
              <w:left w:val="single" w:color="auto" w:sz="6" w:space="0"/>
              <w:bottom w:val="single" w:color="auto" w:sz="6" w:space="0"/>
            </w:tcBorders>
            <w:vAlign w:val="center"/>
          </w:tcPr>
          <w:p>
            <w:pPr>
              <w:jc w:val="center"/>
              <w:rPr>
                <w:b/>
                <w:bCs/>
                <w:color w:val="auto"/>
                <w:highlight w:val="none"/>
              </w:rPr>
            </w:pPr>
            <w:r>
              <w:rPr>
                <w:b/>
                <w:bCs/>
                <w:color w:val="auto"/>
                <w:highlight w:val="none"/>
              </w:rPr>
              <w:t>新增日排放量（t/d）</w:t>
            </w:r>
          </w:p>
        </w:tc>
        <w:tc>
          <w:tcPr>
            <w:tcW w:w="759" w:type="pct"/>
            <w:tcBorders>
              <w:top w:val="single" w:color="auto" w:sz="6" w:space="0"/>
              <w:left w:val="single" w:color="auto" w:sz="6" w:space="0"/>
              <w:bottom w:val="single" w:color="auto" w:sz="6" w:space="0"/>
            </w:tcBorders>
            <w:vAlign w:val="center"/>
          </w:tcPr>
          <w:p>
            <w:pPr>
              <w:jc w:val="center"/>
              <w:rPr>
                <w:b/>
                <w:bCs/>
                <w:color w:val="auto"/>
                <w:highlight w:val="none"/>
              </w:rPr>
            </w:pPr>
            <w:r>
              <w:rPr>
                <w:b/>
                <w:bCs/>
                <w:color w:val="auto"/>
                <w:highlight w:val="none"/>
              </w:rPr>
              <w:t>全厂日排放量（t/d）</w:t>
            </w:r>
          </w:p>
        </w:tc>
        <w:tc>
          <w:tcPr>
            <w:tcW w:w="632" w:type="pct"/>
            <w:tcBorders>
              <w:top w:val="single" w:color="auto" w:sz="6" w:space="0"/>
              <w:left w:val="single" w:color="auto" w:sz="6" w:space="0"/>
            </w:tcBorders>
            <w:vAlign w:val="center"/>
          </w:tcPr>
          <w:p>
            <w:pPr>
              <w:jc w:val="center"/>
              <w:rPr>
                <w:b/>
                <w:bCs/>
                <w:color w:val="auto"/>
                <w:highlight w:val="none"/>
              </w:rPr>
            </w:pPr>
            <w:r>
              <w:rPr>
                <w:b/>
                <w:bCs/>
                <w:color w:val="auto"/>
                <w:highlight w:val="none"/>
              </w:rPr>
              <w:t>新增年排放量（t/d）</w:t>
            </w:r>
          </w:p>
        </w:tc>
        <w:tc>
          <w:tcPr>
            <w:tcW w:w="748" w:type="pct"/>
            <w:tcBorders>
              <w:top w:val="single" w:color="auto" w:sz="6" w:space="0"/>
              <w:left w:val="single" w:color="auto" w:sz="6" w:space="0"/>
            </w:tcBorders>
            <w:vAlign w:val="center"/>
          </w:tcPr>
          <w:p>
            <w:pPr>
              <w:jc w:val="center"/>
              <w:rPr>
                <w:b/>
                <w:bCs/>
                <w:color w:val="auto"/>
                <w:highlight w:val="none"/>
              </w:rPr>
            </w:pPr>
            <w:r>
              <w:rPr>
                <w:b/>
                <w:bCs/>
                <w:color w:val="auto"/>
                <w:highlight w:val="none"/>
              </w:rPr>
              <w:t>全厂年排放量（t/a）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Align w:val="center"/>
          </w:tcPr>
          <w:p>
            <w:pPr>
              <w:jc w:val="center"/>
              <w:rPr>
                <w:color w:val="auto"/>
                <w:highlight w:val="none"/>
              </w:rPr>
            </w:pPr>
            <w:r>
              <w:rPr>
                <w:color w:val="auto"/>
                <w:highlight w:val="none"/>
              </w:rPr>
              <w:t>1</w:t>
            </w:r>
          </w:p>
        </w:tc>
        <w:tc>
          <w:tcPr>
            <w:tcW w:w="488" w:type="pct"/>
            <w:vMerge w:val="restart"/>
            <w:vAlign w:val="center"/>
          </w:tcPr>
          <w:p>
            <w:pPr>
              <w:pStyle w:val="22"/>
              <w:spacing w:after="0"/>
              <w:ind w:left="0" w:leftChars="0" w:firstLine="0"/>
              <w:jc w:val="center"/>
              <w:rPr>
                <w:color w:val="auto"/>
                <w:sz w:val="21"/>
                <w:highlight w:val="none"/>
              </w:rPr>
            </w:pPr>
            <w:r>
              <w:rPr>
                <w:color w:val="auto"/>
                <w:sz w:val="21"/>
                <w:highlight w:val="none"/>
              </w:rPr>
              <w:t>DW001</w:t>
            </w:r>
          </w:p>
        </w:tc>
        <w:tc>
          <w:tcPr>
            <w:tcW w:w="721" w:type="pct"/>
            <w:vAlign w:val="center"/>
          </w:tcPr>
          <w:p>
            <w:pPr>
              <w:jc w:val="center"/>
              <w:rPr>
                <w:color w:val="auto"/>
                <w:highlight w:val="none"/>
              </w:rPr>
            </w:pPr>
            <w:r>
              <w:rPr>
                <w:color w:val="auto"/>
                <w:highlight w:val="none"/>
              </w:rPr>
              <w:t>COD</w:t>
            </w:r>
          </w:p>
        </w:tc>
        <w:tc>
          <w:tcPr>
            <w:tcW w:w="589" w:type="pct"/>
            <w:vAlign w:val="center"/>
          </w:tcPr>
          <w:p>
            <w:pPr>
              <w:jc w:val="center"/>
              <w:rPr>
                <w:color w:val="auto"/>
                <w:highlight w:val="none"/>
              </w:rPr>
            </w:pPr>
            <w:r>
              <w:rPr>
                <w:color w:val="auto"/>
                <w:highlight w:val="none"/>
              </w:rPr>
              <w:t>50</w:t>
            </w:r>
          </w:p>
        </w:tc>
        <w:tc>
          <w:tcPr>
            <w:tcW w:w="758" w:type="pct"/>
            <w:vAlign w:val="center"/>
          </w:tcPr>
          <w:p>
            <w:pPr>
              <w:widowControl/>
              <w:jc w:val="center"/>
              <w:textAlignment w:val="center"/>
              <w:rPr>
                <w:color w:val="auto"/>
                <w:highlight w:val="none"/>
              </w:rPr>
            </w:pPr>
            <w:r>
              <w:rPr>
                <w:color w:val="auto"/>
                <w:kern w:val="0"/>
                <w:highlight w:val="none"/>
                <w:lang w:bidi="ar"/>
              </w:rPr>
              <w:t>0.500</w:t>
            </w:r>
          </w:p>
        </w:tc>
        <w:tc>
          <w:tcPr>
            <w:tcW w:w="759" w:type="pct"/>
            <w:vAlign w:val="center"/>
          </w:tcPr>
          <w:p>
            <w:pPr>
              <w:widowControl/>
              <w:jc w:val="center"/>
              <w:textAlignment w:val="center"/>
              <w:rPr>
                <w:color w:val="auto"/>
                <w:highlight w:val="none"/>
              </w:rPr>
            </w:pPr>
            <w:r>
              <w:rPr>
                <w:color w:val="auto"/>
                <w:kern w:val="0"/>
                <w:highlight w:val="none"/>
                <w:lang w:bidi="ar"/>
              </w:rPr>
              <w:t>1.000</w:t>
            </w:r>
          </w:p>
        </w:tc>
        <w:tc>
          <w:tcPr>
            <w:tcW w:w="632" w:type="pct"/>
            <w:vAlign w:val="center"/>
          </w:tcPr>
          <w:p>
            <w:pPr>
              <w:widowControl/>
              <w:jc w:val="center"/>
              <w:textAlignment w:val="center"/>
              <w:rPr>
                <w:color w:val="auto"/>
                <w:highlight w:val="none"/>
              </w:rPr>
            </w:pPr>
            <w:r>
              <w:rPr>
                <w:color w:val="auto"/>
                <w:kern w:val="0"/>
                <w:highlight w:val="none"/>
                <w:lang w:bidi="ar"/>
              </w:rPr>
              <w:t>182.50</w:t>
            </w:r>
          </w:p>
        </w:tc>
        <w:tc>
          <w:tcPr>
            <w:tcW w:w="748" w:type="pct"/>
            <w:vAlign w:val="center"/>
          </w:tcPr>
          <w:p>
            <w:pPr>
              <w:widowControl/>
              <w:jc w:val="center"/>
              <w:textAlignment w:val="center"/>
              <w:rPr>
                <w:color w:val="auto"/>
                <w:highlight w:val="none"/>
              </w:rPr>
            </w:pPr>
            <w:r>
              <w:rPr>
                <w:color w:val="auto"/>
                <w:kern w:val="0"/>
                <w:highlight w:val="none"/>
                <w:lang w:bidi="ar"/>
              </w:rPr>
              <w:t>365.00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Align w:val="center"/>
          </w:tcPr>
          <w:p>
            <w:pPr>
              <w:jc w:val="center"/>
              <w:rPr>
                <w:color w:val="auto"/>
                <w:highlight w:val="none"/>
              </w:rPr>
            </w:pPr>
            <w:r>
              <w:rPr>
                <w:color w:val="auto"/>
                <w:highlight w:val="none"/>
              </w:rPr>
              <w:t>2</w:t>
            </w:r>
          </w:p>
        </w:tc>
        <w:tc>
          <w:tcPr>
            <w:tcW w:w="488" w:type="pct"/>
            <w:vMerge w:val="continue"/>
            <w:vAlign w:val="center"/>
          </w:tcPr>
          <w:p>
            <w:pPr>
              <w:pStyle w:val="22"/>
              <w:spacing w:after="0"/>
              <w:ind w:left="0" w:leftChars="0" w:firstLine="0"/>
              <w:jc w:val="center"/>
              <w:rPr>
                <w:color w:val="auto"/>
                <w:sz w:val="21"/>
                <w:highlight w:val="none"/>
              </w:rPr>
            </w:pPr>
          </w:p>
        </w:tc>
        <w:tc>
          <w:tcPr>
            <w:tcW w:w="721" w:type="pct"/>
            <w:vAlign w:val="center"/>
          </w:tcPr>
          <w:p>
            <w:pPr>
              <w:jc w:val="center"/>
              <w:rPr>
                <w:color w:val="auto"/>
                <w:highlight w:val="none"/>
              </w:rPr>
            </w:pPr>
            <w:r>
              <w:rPr>
                <w:color w:val="auto"/>
                <w:highlight w:val="none"/>
              </w:rPr>
              <w:t>BOD</w:t>
            </w:r>
            <w:r>
              <w:rPr>
                <w:color w:val="auto"/>
                <w:highlight w:val="none"/>
                <w:vertAlign w:val="subscript"/>
              </w:rPr>
              <w:t>5</w:t>
            </w:r>
          </w:p>
        </w:tc>
        <w:tc>
          <w:tcPr>
            <w:tcW w:w="589" w:type="pct"/>
            <w:vAlign w:val="center"/>
          </w:tcPr>
          <w:p>
            <w:pPr>
              <w:jc w:val="center"/>
              <w:rPr>
                <w:color w:val="auto"/>
                <w:highlight w:val="none"/>
              </w:rPr>
            </w:pPr>
            <w:r>
              <w:rPr>
                <w:color w:val="auto"/>
                <w:highlight w:val="none"/>
              </w:rPr>
              <w:t>10</w:t>
            </w:r>
          </w:p>
        </w:tc>
        <w:tc>
          <w:tcPr>
            <w:tcW w:w="758" w:type="pct"/>
            <w:vAlign w:val="center"/>
          </w:tcPr>
          <w:p>
            <w:pPr>
              <w:widowControl/>
              <w:jc w:val="center"/>
              <w:textAlignment w:val="center"/>
              <w:rPr>
                <w:color w:val="auto"/>
                <w:highlight w:val="none"/>
              </w:rPr>
            </w:pPr>
            <w:r>
              <w:rPr>
                <w:color w:val="auto"/>
                <w:kern w:val="0"/>
                <w:highlight w:val="none"/>
                <w:lang w:bidi="ar"/>
              </w:rPr>
              <w:t>0.100</w:t>
            </w:r>
          </w:p>
        </w:tc>
        <w:tc>
          <w:tcPr>
            <w:tcW w:w="759" w:type="pct"/>
            <w:vAlign w:val="center"/>
          </w:tcPr>
          <w:p>
            <w:pPr>
              <w:widowControl/>
              <w:jc w:val="center"/>
              <w:textAlignment w:val="center"/>
              <w:rPr>
                <w:color w:val="auto"/>
                <w:highlight w:val="none"/>
              </w:rPr>
            </w:pPr>
            <w:r>
              <w:rPr>
                <w:color w:val="auto"/>
                <w:kern w:val="0"/>
                <w:highlight w:val="none"/>
                <w:lang w:bidi="ar"/>
              </w:rPr>
              <w:t>0.200</w:t>
            </w:r>
          </w:p>
        </w:tc>
        <w:tc>
          <w:tcPr>
            <w:tcW w:w="632" w:type="pct"/>
            <w:vAlign w:val="center"/>
          </w:tcPr>
          <w:p>
            <w:pPr>
              <w:widowControl/>
              <w:jc w:val="center"/>
              <w:textAlignment w:val="center"/>
              <w:rPr>
                <w:color w:val="auto"/>
                <w:highlight w:val="none"/>
              </w:rPr>
            </w:pPr>
            <w:r>
              <w:rPr>
                <w:color w:val="auto"/>
                <w:kern w:val="0"/>
                <w:highlight w:val="none"/>
                <w:lang w:bidi="ar"/>
              </w:rPr>
              <w:t>36.50</w:t>
            </w:r>
          </w:p>
        </w:tc>
        <w:tc>
          <w:tcPr>
            <w:tcW w:w="748" w:type="pct"/>
            <w:vAlign w:val="center"/>
          </w:tcPr>
          <w:p>
            <w:pPr>
              <w:widowControl/>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Align w:val="center"/>
          </w:tcPr>
          <w:p>
            <w:pPr>
              <w:jc w:val="center"/>
              <w:rPr>
                <w:color w:val="auto"/>
                <w:highlight w:val="none"/>
              </w:rPr>
            </w:pPr>
            <w:r>
              <w:rPr>
                <w:color w:val="auto"/>
                <w:highlight w:val="none"/>
              </w:rPr>
              <w:t>3</w:t>
            </w:r>
          </w:p>
        </w:tc>
        <w:tc>
          <w:tcPr>
            <w:tcW w:w="488" w:type="pct"/>
            <w:vMerge w:val="continue"/>
            <w:vAlign w:val="center"/>
          </w:tcPr>
          <w:p>
            <w:pPr>
              <w:pStyle w:val="22"/>
              <w:spacing w:after="0"/>
              <w:ind w:left="0" w:leftChars="0" w:firstLine="0"/>
              <w:jc w:val="center"/>
              <w:rPr>
                <w:color w:val="auto"/>
                <w:sz w:val="21"/>
                <w:highlight w:val="none"/>
              </w:rPr>
            </w:pPr>
          </w:p>
        </w:tc>
        <w:tc>
          <w:tcPr>
            <w:tcW w:w="721" w:type="pct"/>
            <w:vAlign w:val="center"/>
          </w:tcPr>
          <w:p>
            <w:pPr>
              <w:jc w:val="center"/>
              <w:rPr>
                <w:color w:val="auto"/>
                <w:highlight w:val="none"/>
              </w:rPr>
            </w:pPr>
            <w:r>
              <w:rPr>
                <w:color w:val="auto"/>
                <w:highlight w:val="none"/>
              </w:rPr>
              <w:t>SS</w:t>
            </w:r>
          </w:p>
        </w:tc>
        <w:tc>
          <w:tcPr>
            <w:tcW w:w="589" w:type="pct"/>
            <w:vAlign w:val="center"/>
          </w:tcPr>
          <w:p>
            <w:pPr>
              <w:jc w:val="center"/>
              <w:rPr>
                <w:color w:val="auto"/>
                <w:highlight w:val="none"/>
              </w:rPr>
            </w:pPr>
            <w:r>
              <w:rPr>
                <w:color w:val="auto"/>
                <w:highlight w:val="none"/>
              </w:rPr>
              <w:t>10</w:t>
            </w:r>
          </w:p>
        </w:tc>
        <w:tc>
          <w:tcPr>
            <w:tcW w:w="758" w:type="pct"/>
            <w:vAlign w:val="center"/>
          </w:tcPr>
          <w:p>
            <w:pPr>
              <w:widowControl/>
              <w:jc w:val="center"/>
              <w:textAlignment w:val="center"/>
              <w:rPr>
                <w:color w:val="auto"/>
                <w:highlight w:val="none"/>
              </w:rPr>
            </w:pPr>
            <w:r>
              <w:rPr>
                <w:color w:val="auto"/>
                <w:kern w:val="0"/>
                <w:highlight w:val="none"/>
                <w:lang w:bidi="ar"/>
              </w:rPr>
              <w:t>0.100</w:t>
            </w:r>
          </w:p>
        </w:tc>
        <w:tc>
          <w:tcPr>
            <w:tcW w:w="759" w:type="pct"/>
            <w:vAlign w:val="center"/>
          </w:tcPr>
          <w:p>
            <w:pPr>
              <w:widowControl/>
              <w:jc w:val="center"/>
              <w:textAlignment w:val="center"/>
              <w:rPr>
                <w:color w:val="auto"/>
                <w:highlight w:val="none"/>
              </w:rPr>
            </w:pPr>
            <w:r>
              <w:rPr>
                <w:color w:val="auto"/>
                <w:kern w:val="0"/>
                <w:highlight w:val="none"/>
                <w:lang w:bidi="ar"/>
              </w:rPr>
              <w:t>0.200</w:t>
            </w:r>
          </w:p>
        </w:tc>
        <w:tc>
          <w:tcPr>
            <w:tcW w:w="632" w:type="pct"/>
            <w:vAlign w:val="center"/>
          </w:tcPr>
          <w:p>
            <w:pPr>
              <w:widowControl/>
              <w:jc w:val="center"/>
              <w:textAlignment w:val="center"/>
              <w:rPr>
                <w:color w:val="auto"/>
                <w:highlight w:val="none"/>
              </w:rPr>
            </w:pPr>
            <w:r>
              <w:rPr>
                <w:color w:val="auto"/>
                <w:kern w:val="0"/>
                <w:highlight w:val="none"/>
                <w:lang w:bidi="ar"/>
              </w:rPr>
              <w:t>36.50</w:t>
            </w:r>
          </w:p>
        </w:tc>
        <w:tc>
          <w:tcPr>
            <w:tcW w:w="748" w:type="pct"/>
            <w:vAlign w:val="center"/>
          </w:tcPr>
          <w:p>
            <w:pPr>
              <w:widowControl/>
              <w:jc w:val="center"/>
              <w:textAlignment w:val="center"/>
              <w:rPr>
                <w:color w:val="auto"/>
                <w:highlight w:val="none"/>
              </w:rPr>
            </w:pPr>
            <w:r>
              <w:rPr>
                <w:color w:val="auto"/>
                <w:kern w:val="0"/>
                <w:highlight w:val="none"/>
                <w:lang w:bidi="ar"/>
              </w:rPr>
              <w:t>73.00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vAlign w:val="center"/>
          </w:tcPr>
          <w:p>
            <w:pPr>
              <w:jc w:val="center"/>
              <w:rPr>
                <w:color w:val="auto"/>
                <w:highlight w:val="none"/>
              </w:rPr>
            </w:pPr>
            <w:r>
              <w:rPr>
                <w:color w:val="auto"/>
                <w:highlight w:val="none"/>
              </w:rPr>
              <w:t>4</w:t>
            </w:r>
          </w:p>
        </w:tc>
        <w:tc>
          <w:tcPr>
            <w:tcW w:w="488" w:type="pct"/>
            <w:vMerge w:val="continue"/>
            <w:vAlign w:val="center"/>
          </w:tcPr>
          <w:p>
            <w:pPr>
              <w:pStyle w:val="22"/>
              <w:spacing w:after="0"/>
              <w:ind w:left="0" w:leftChars="0" w:firstLine="0"/>
              <w:jc w:val="center"/>
              <w:rPr>
                <w:color w:val="auto"/>
                <w:sz w:val="21"/>
                <w:highlight w:val="none"/>
              </w:rPr>
            </w:pPr>
          </w:p>
        </w:tc>
        <w:tc>
          <w:tcPr>
            <w:tcW w:w="721" w:type="pct"/>
            <w:vAlign w:val="center"/>
          </w:tcPr>
          <w:p>
            <w:pPr>
              <w:jc w:val="center"/>
              <w:rPr>
                <w:color w:val="auto"/>
                <w:highlight w:val="none"/>
              </w:rPr>
            </w:pPr>
            <w:r>
              <w:rPr>
                <w:bCs/>
                <w:color w:val="auto"/>
                <w:highlight w:val="none"/>
              </w:rPr>
              <w:t>NH</w:t>
            </w:r>
            <w:r>
              <w:rPr>
                <w:bCs/>
                <w:color w:val="auto"/>
                <w:highlight w:val="none"/>
                <w:vertAlign w:val="subscript"/>
              </w:rPr>
              <w:t>3</w:t>
            </w:r>
            <w:r>
              <w:rPr>
                <w:bCs/>
                <w:color w:val="auto"/>
                <w:highlight w:val="none"/>
              </w:rPr>
              <w:t>-N</w:t>
            </w:r>
          </w:p>
        </w:tc>
        <w:tc>
          <w:tcPr>
            <w:tcW w:w="589" w:type="pct"/>
            <w:vAlign w:val="center"/>
          </w:tcPr>
          <w:p>
            <w:pPr>
              <w:jc w:val="center"/>
              <w:rPr>
                <w:color w:val="auto"/>
                <w:highlight w:val="none"/>
              </w:rPr>
            </w:pPr>
            <w:r>
              <w:rPr>
                <w:color w:val="auto"/>
                <w:highlight w:val="none"/>
              </w:rPr>
              <w:t>5</w:t>
            </w:r>
          </w:p>
        </w:tc>
        <w:tc>
          <w:tcPr>
            <w:tcW w:w="758" w:type="pct"/>
            <w:vAlign w:val="center"/>
          </w:tcPr>
          <w:p>
            <w:pPr>
              <w:widowControl/>
              <w:jc w:val="center"/>
              <w:textAlignment w:val="center"/>
              <w:rPr>
                <w:color w:val="auto"/>
                <w:highlight w:val="none"/>
              </w:rPr>
            </w:pPr>
            <w:r>
              <w:rPr>
                <w:color w:val="auto"/>
                <w:kern w:val="0"/>
                <w:highlight w:val="none"/>
                <w:lang w:bidi="ar"/>
              </w:rPr>
              <w:t>0.050</w:t>
            </w:r>
          </w:p>
        </w:tc>
        <w:tc>
          <w:tcPr>
            <w:tcW w:w="759" w:type="pct"/>
            <w:vAlign w:val="center"/>
          </w:tcPr>
          <w:p>
            <w:pPr>
              <w:widowControl/>
              <w:jc w:val="center"/>
              <w:textAlignment w:val="center"/>
              <w:rPr>
                <w:color w:val="auto"/>
                <w:highlight w:val="none"/>
              </w:rPr>
            </w:pPr>
            <w:r>
              <w:rPr>
                <w:color w:val="auto"/>
                <w:kern w:val="0"/>
                <w:highlight w:val="none"/>
                <w:lang w:bidi="ar"/>
              </w:rPr>
              <w:t>0.100</w:t>
            </w:r>
          </w:p>
        </w:tc>
        <w:tc>
          <w:tcPr>
            <w:tcW w:w="632" w:type="pct"/>
            <w:vAlign w:val="center"/>
          </w:tcPr>
          <w:p>
            <w:pPr>
              <w:widowControl/>
              <w:jc w:val="center"/>
              <w:textAlignment w:val="center"/>
              <w:rPr>
                <w:color w:val="auto"/>
                <w:highlight w:val="none"/>
              </w:rPr>
            </w:pPr>
            <w:r>
              <w:rPr>
                <w:color w:val="auto"/>
                <w:kern w:val="0"/>
                <w:highlight w:val="none"/>
                <w:lang w:bidi="ar"/>
              </w:rPr>
              <w:t>18.25</w:t>
            </w:r>
          </w:p>
        </w:tc>
        <w:tc>
          <w:tcPr>
            <w:tcW w:w="748" w:type="pct"/>
            <w:vAlign w:val="center"/>
          </w:tcPr>
          <w:p>
            <w:pPr>
              <w:widowControl/>
              <w:jc w:val="center"/>
              <w:textAlignment w:val="center"/>
              <w:rPr>
                <w:color w:val="auto"/>
                <w:highlight w:val="none"/>
              </w:rPr>
            </w:pPr>
            <w:r>
              <w:rPr>
                <w:color w:val="auto"/>
                <w:kern w:val="0"/>
                <w:highlight w:val="none"/>
                <w:lang w:bidi="ar"/>
              </w:rPr>
              <w:t>36.50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tcPr>
          <w:p>
            <w:pPr>
              <w:jc w:val="center"/>
              <w:rPr>
                <w:color w:val="auto"/>
                <w:highlight w:val="none"/>
              </w:rPr>
            </w:pPr>
            <w:r>
              <w:rPr>
                <w:color w:val="auto"/>
                <w:highlight w:val="none"/>
              </w:rPr>
              <w:t>5</w:t>
            </w:r>
          </w:p>
        </w:tc>
        <w:tc>
          <w:tcPr>
            <w:tcW w:w="488" w:type="pct"/>
            <w:vMerge w:val="continue"/>
          </w:tcPr>
          <w:p>
            <w:pPr>
              <w:pStyle w:val="22"/>
              <w:spacing w:after="0"/>
              <w:ind w:left="0" w:leftChars="0" w:firstLine="0"/>
              <w:jc w:val="center"/>
              <w:rPr>
                <w:color w:val="auto"/>
                <w:sz w:val="21"/>
                <w:highlight w:val="none"/>
              </w:rPr>
            </w:pPr>
          </w:p>
        </w:tc>
        <w:tc>
          <w:tcPr>
            <w:tcW w:w="721" w:type="pct"/>
            <w:vAlign w:val="center"/>
          </w:tcPr>
          <w:p>
            <w:pPr>
              <w:jc w:val="center"/>
              <w:rPr>
                <w:color w:val="auto"/>
                <w:highlight w:val="none"/>
              </w:rPr>
            </w:pPr>
            <w:r>
              <w:rPr>
                <w:color w:val="auto"/>
                <w:highlight w:val="none"/>
              </w:rPr>
              <w:t>TN</w:t>
            </w:r>
          </w:p>
        </w:tc>
        <w:tc>
          <w:tcPr>
            <w:tcW w:w="589" w:type="pct"/>
            <w:vAlign w:val="center"/>
          </w:tcPr>
          <w:p>
            <w:pPr>
              <w:jc w:val="center"/>
              <w:rPr>
                <w:color w:val="auto"/>
                <w:highlight w:val="none"/>
              </w:rPr>
            </w:pPr>
            <w:r>
              <w:rPr>
                <w:color w:val="auto"/>
                <w:highlight w:val="none"/>
              </w:rPr>
              <w:t>15</w:t>
            </w:r>
          </w:p>
        </w:tc>
        <w:tc>
          <w:tcPr>
            <w:tcW w:w="758" w:type="pct"/>
            <w:vAlign w:val="center"/>
          </w:tcPr>
          <w:p>
            <w:pPr>
              <w:widowControl/>
              <w:jc w:val="center"/>
              <w:textAlignment w:val="center"/>
              <w:rPr>
                <w:color w:val="auto"/>
                <w:highlight w:val="none"/>
              </w:rPr>
            </w:pPr>
            <w:r>
              <w:rPr>
                <w:color w:val="auto"/>
                <w:kern w:val="0"/>
                <w:highlight w:val="none"/>
                <w:lang w:bidi="ar"/>
              </w:rPr>
              <w:t>0.150</w:t>
            </w:r>
          </w:p>
        </w:tc>
        <w:tc>
          <w:tcPr>
            <w:tcW w:w="759" w:type="pct"/>
            <w:vAlign w:val="center"/>
          </w:tcPr>
          <w:p>
            <w:pPr>
              <w:widowControl/>
              <w:jc w:val="center"/>
              <w:textAlignment w:val="center"/>
              <w:rPr>
                <w:color w:val="auto"/>
                <w:highlight w:val="none"/>
              </w:rPr>
            </w:pPr>
            <w:r>
              <w:rPr>
                <w:color w:val="auto"/>
                <w:kern w:val="0"/>
                <w:highlight w:val="none"/>
                <w:lang w:bidi="ar"/>
              </w:rPr>
              <w:t>0.300</w:t>
            </w:r>
          </w:p>
        </w:tc>
        <w:tc>
          <w:tcPr>
            <w:tcW w:w="632" w:type="pct"/>
            <w:vAlign w:val="center"/>
          </w:tcPr>
          <w:p>
            <w:pPr>
              <w:widowControl/>
              <w:jc w:val="center"/>
              <w:textAlignment w:val="center"/>
              <w:rPr>
                <w:color w:val="auto"/>
                <w:highlight w:val="none"/>
              </w:rPr>
            </w:pPr>
            <w:r>
              <w:rPr>
                <w:color w:val="auto"/>
                <w:kern w:val="0"/>
                <w:highlight w:val="none"/>
                <w:lang w:bidi="ar"/>
              </w:rPr>
              <w:t>54.75</w:t>
            </w:r>
          </w:p>
        </w:tc>
        <w:tc>
          <w:tcPr>
            <w:tcW w:w="748" w:type="pct"/>
            <w:vAlign w:val="center"/>
          </w:tcPr>
          <w:p>
            <w:pPr>
              <w:widowControl/>
              <w:jc w:val="center"/>
              <w:textAlignment w:val="center"/>
              <w:rPr>
                <w:color w:val="auto"/>
                <w:highlight w:val="none"/>
              </w:rPr>
            </w:pPr>
            <w:r>
              <w:rPr>
                <w:color w:val="auto"/>
                <w:kern w:val="0"/>
                <w:highlight w:val="none"/>
                <w:lang w:bidi="ar"/>
              </w:rPr>
              <w:t>109.50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 w:type="pct"/>
          </w:tcPr>
          <w:p>
            <w:pPr>
              <w:jc w:val="center"/>
              <w:rPr>
                <w:color w:val="auto"/>
                <w:highlight w:val="none"/>
              </w:rPr>
            </w:pPr>
            <w:r>
              <w:rPr>
                <w:color w:val="auto"/>
                <w:highlight w:val="none"/>
              </w:rPr>
              <w:t>6</w:t>
            </w:r>
          </w:p>
        </w:tc>
        <w:tc>
          <w:tcPr>
            <w:tcW w:w="488" w:type="pct"/>
            <w:vMerge w:val="continue"/>
          </w:tcPr>
          <w:p>
            <w:pPr>
              <w:pStyle w:val="22"/>
              <w:spacing w:after="0"/>
              <w:ind w:left="0" w:leftChars="0" w:firstLine="0"/>
              <w:jc w:val="center"/>
              <w:rPr>
                <w:color w:val="auto"/>
                <w:sz w:val="21"/>
                <w:highlight w:val="none"/>
              </w:rPr>
            </w:pPr>
          </w:p>
        </w:tc>
        <w:tc>
          <w:tcPr>
            <w:tcW w:w="721" w:type="pct"/>
            <w:vAlign w:val="center"/>
          </w:tcPr>
          <w:p>
            <w:pPr>
              <w:jc w:val="center"/>
              <w:rPr>
                <w:color w:val="auto"/>
                <w:highlight w:val="none"/>
              </w:rPr>
            </w:pPr>
            <w:r>
              <w:rPr>
                <w:color w:val="auto"/>
                <w:highlight w:val="none"/>
              </w:rPr>
              <w:t>TP</w:t>
            </w:r>
          </w:p>
        </w:tc>
        <w:tc>
          <w:tcPr>
            <w:tcW w:w="589" w:type="pct"/>
            <w:vAlign w:val="center"/>
          </w:tcPr>
          <w:p>
            <w:pPr>
              <w:jc w:val="center"/>
              <w:rPr>
                <w:color w:val="auto"/>
                <w:highlight w:val="none"/>
              </w:rPr>
            </w:pPr>
            <w:r>
              <w:rPr>
                <w:color w:val="auto"/>
                <w:highlight w:val="none"/>
              </w:rPr>
              <w:t>0.5</w:t>
            </w:r>
          </w:p>
        </w:tc>
        <w:tc>
          <w:tcPr>
            <w:tcW w:w="758" w:type="pct"/>
            <w:vAlign w:val="center"/>
          </w:tcPr>
          <w:p>
            <w:pPr>
              <w:widowControl/>
              <w:jc w:val="center"/>
              <w:textAlignment w:val="center"/>
              <w:rPr>
                <w:color w:val="auto"/>
                <w:highlight w:val="none"/>
              </w:rPr>
            </w:pPr>
            <w:r>
              <w:rPr>
                <w:color w:val="auto"/>
                <w:kern w:val="0"/>
                <w:highlight w:val="none"/>
                <w:lang w:bidi="ar"/>
              </w:rPr>
              <w:t>0.005</w:t>
            </w:r>
          </w:p>
        </w:tc>
        <w:tc>
          <w:tcPr>
            <w:tcW w:w="759" w:type="pct"/>
            <w:vAlign w:val="center"/>
          </w:tcPr>
          <w:p>
            <w:pPr>
              <w:widowControl/>
              <w:jc w:val="center"/>
              <w:textAlignment w:val="center"/>
              <w:rPr>
                <w:color w:val="auto"/>
                <w:highlight w:val="none"/>
              </w:rPr>
            </w:pPr>
            <w:r>
              <w:rPr>
                <w:color w:val="auto"/>
                <w:kern w:val="0"/>
                <w:highlight w:val="none"/>
                <w:lang w:bidi="ar"/>
              </w:rPr>
              <w:t>0.010</w:t>
            </w:r>
          </w:p>
        </w:tc>
        <w:tc>
          <w:tcPr>
            <w:tcW w:w="632" w:type="pct"/>
            <w:vAlign w:val="center"/>
          </w:tcPr>
          <w:p>
            <w:pPr>
              <w:widowControl/>
              <w:jc w:val="center"/>
              <w:textAlignment w:val="center"/>
              <w:rPr>
                <w:color w:val="auto"/>
                <w:highlight w:val="none"/>
              </w:rPr>
            </w:pPr>
            <w:r>
              <w:rPr>
                <w:color w:val="auto"/>
                <w:kern w:val="0"/>
                <w:highlight w:val="none"/>
                <w:lang w:bidi="ar"/>
              </w:rPr>
              <w:t>1.825</w:t>
            </w:r>
          </w:p>
        </w:tc>
        <w:tc>
          <w:tcPr>
            <w:tcW w:w="748" w:type="pct"/>
            <w:vAlign w:val="center"/>
          </w:tcPr>
          <w:p>
            <w:pPr>
              <w:widowControl/>
              <w:jc w:val="center"/>
              <w:textAlignment w:val="center"/>
              <w:rPr>
                <w:color w:val="auto"/>
                <w:highlight w:val="none"/>
              </w:rPr>
            </w:pPr>
            <w:r>
              <w:rPr>
                <w:color w:val="auto"/>
                <w:kern w:val="0"/>
                <w:highlight w:val="none"/>
                <w:lang w:bidi="ar"/>
              </w:rPr>
              <w:t>3.650</w:t>
            </w:r>
          </w:p>
        </w:tc>
      </w:tr>
    </w:tbl>
    <w:p>
      <w:pPr>
        <w:pStyle w:val="35"/>
        <w:pageBreakBefore w:val="0"/>
        <w:kinsoku/>
        <w:wordWrap/>
        <w:bidi w:val="0"/>
        <w:spacing w:line="360" w:lineRule="auto"/>
        <w:ind w:left="0" w:leftChars="0" w:right="0"/>
        <w:outlineLvl w:val="1"/>
        <w:rPr>
          <w:rFonts w:hint="default" w:ascii="Times New Roman" w:hAnsi="Times New Roman" w:cs="Times New Roman"/>
          <w:b/>
          <w:bCs/>
          <w:color w:val="auto"/>
          <w:highlight w:val="none"/>
          <w:lang w:val="en-US" w:eastAsia="zh-CN"/>
        </w:rPr>
        <w:sectPr>
          <w:pgSz w:w="11906" w:h="16838"/>
          <w:pgMar w:top="1440" w:right="1134" w:bottom="1440" w:left="1134" w:header="851" w:footer="992" w:gutter="0"/>
          <w:cols w:space="0" w:num="1"/>
          <w:docGrid w:type="lines" w:linePitch="312" w:charSpace="0"/>
        </w:sectPr>
      </w:pPr>
    </w:p>
    <w:p>
      <w:pPr>
        <w:pStyle w:val="35"/>
        <w:pageBreakBefore w:val="0"/>
        <w:kinsoku/>
        <w:wordWrap/>
        <w:bidi w:val="0"/>
        <w:spacing w:line="360" w:lineRule="auto"/>
        <w:ind w:left="0" w:leftChars="0" w:right="0"/>
        <w:outlineLvl w:val="1"/>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.3 地表水环境影响评价自查表</w:t>
      </w:r>
    </w:p>
    <w:p>
      <w:pPr>
        <w:pStyle w:val="22"/>
        <w:pageBreakBefore w:val="0"/>
        <w:kinsoku/>
        <w:wordWrap/>
        <w:topLinePunct w:val="0"/>
        <w:bidi w:val="0"/>
        <w:spacing w:after="0" w:line="360" w:lineRule="auto"/>
        <w:ind w:left="0" w:leftChars="0" w:right="0" w:rightChars="0" w:firstLine="480" w:firstLineChars="200"/>
        <w:rPr>
          <w:color w:val="auto"/>
          <w:sz w:val="24"/>
          <w:szCs w:val="36"/>
          <w:highlight w:val="none"/>
        </w:rPr>
      </w:pPr>
      <w:r>
        <w:rPr>
          <w:color w:val="auto"/>
          <w:sz w:val="24"/>
          <w:szCs w:val="24"/>
          <w:highlight w:val="none"/>
        </w:rPr>
        <w:t>地表水环境影响评价自查表见表</w:t>
      </w:r>
      <w:r>
        <w:rPr>
          <w:rFonts w:hint="eastAsia"/>
          <w:color w:val="auto"/>
          <w:sz w:val="24"/>
          <w:szCs w:val="24"/>
          <w:highlight w:val="none"/>
          <w:lang w:val="en-US" w:eastAsia="zh-CN"/>
        </w:rPr>
        <w:t>8-5</w:t>
      </w:r>
      <w:r>
        <w:rPr>
          <w:color w:val="auto"/>
          <w:sz w:val="24"/>
          <w:szCs w:val="24"/>
          <w:highlight w:val="none"/>
        </w:rPr>
        <w:t>。</w:t>
      </w:r>
    </w:p>
    <w:p>
      <w:pPr>
        <w:pStyle w:val="68"/>
        <w:pageBreakBefore w:val="0"/>
        <w:kinsoku/>
        <w:wordWrap/>
        <w:topLinePunct w:val="0"/>
        <w:bidi w:val="0"/>
        <w:ind w:left="0" w:leftChars="0" w:right="0" w:rightChars="0"/>
        <w:jc w:val="center"/>
        <w:rPr>
          <w:rFonts w:ascii="Times New Roman" w:eastAsia="黑体" w:cs="Times New Roman"/>
          <w:color w:val="auto"/>
          <w:kern w:val="2"/>
          <w:sz w:val="21"/>
          <w:szCs w:val="21"/>
          <w:highlight w:val="none"/>
        </w:rPr>
      </w:pPr>
      <w:r>
        <w:rPr>
          <w:rFonts w:ascii="Times New Roman" w:eastAsia="黑体" w:cs="Times New Roman"/>
          <w:color w:val="auto"/>
          <w:kern w:val="2"/>
          <w:sz w:val="21"/>
          <w:szCs w:val="21"/>
          <w:highlight w:val="none"/>
        </w:rPr>
        <w:t>表</w:t>
      </w:r>
      <w:r>
        <w:rPr>
          <w:rFonts w:hint="eastAsia" w:ascii="Times New Roman" w:eastAsia="黑体" w:cs="Times New Roman"/>
          <w:color w:val="auto"/>
          <w:kern w:val="2"/>
          <w:sz w:val="21"/>
          <w:szCs w:val="21"/>
          <w:highlight w:val="none"/>
          <w:lang w:val="en-US" w:eastAsia="zh-CN"/>
        </w:rPr>
        <w:t>8-5</w:t>
      </w:r>
      <w:r>
        <w:rPr>
          <w:rFonts w:hint="eastAsia" w:ascii="Times New Roman" w:eastAsia="黑体" w:cs="Times New Roman"/>
          <w:color w:val="auto"/>
          <w:kern w:val="2"/>
          <w:sz w:val="21"/>
          <w:szCs w:val="21"/>
          <w:highlight w:val="none"/>
        </w:rPr>
        <w:t xml:space="preserve"> </w:t>
      </w:r>
      <w:r>
        <w:rPr>
          <w:rFonts w:ascii="Times New Roman" w:eastAsia="黑体" w:cs="Times New Roman"/>
          <w:color w:val="auto"/>
          <w:kern w:val="2"/>
          <w:sz w:val="21"/>
          <w:szCs w:val="21"/>
          <w:highlight w:val="none"/>
        </w:rPr>
        <w:t>建设项目地表水环境影响评价自查表</w:t>
      </w:r>
    </w:p>
    <w:tbl>
      <w:tblPr>
        <w:tblStyle w:val="23"/>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836"/>
        <w:gridCol w:w="2484"/>
        <w:gridCol w:w="1137"/>
        <w:gridCol w:w="1556"/>
        <w:gridCol w:w="900"/>
        <w:gridCol w:w="925"/>
        <w:gridCol w:w="1802"/>
        <w:gridCol w:w="201"/>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86" w:type="pct"/>
            <w:gridSpan w:val="2"/>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工作内容</w:t>
            </w:r>
          </w:p>
        </w:tc>
        <w:tc>
          <w:tcPr>
            <w:tcW w:w="4113" w:type="pct"/>
            <w:gridSpan w:val="8"/>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影响识别</w:t>
            </w: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影响类型</w:t>
            </w:r>
          </w:p>
        </w:tc>
        <w:tc>
          <w:tcPr>
            <w:tcW w:w="4113" w:type="pct"/>
            <w:gridSpan w:val="8"/>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水污染影响型</w:t>
            </w:r>
            <w:r>
              <w:rPr>
                <w:color w:val="auto"/>
                <w:sz w:val="18"/>
                <w:szCs w:val="18"/>
                <w:highlight w:val="none"/>
              </w:rPr>
              <w:sym w:font="Wingdings 2" w:char="0052"/>
            </w:r>
            <w:r>
              <w:rPr>
                <w:color w:val="auto"/>
                <w:sz w:val="18"/>
                <w:szCs w:val="18"/>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水环境保护目标</w:t>
            </w:r>
          </w:p>
        </w:tc>
        <w:tc>
          <w:tcPr>
            <w:tcW w:w="4113" w:type="pct"/>
            <w:gridSpan w:val="8"/>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饮用水水源保护区□；饮用水取水□；涉水的自然保护区□；重要湿地□；重点保护与珍稀水生生物的栖息地□；重要水生生物的自然产卵场及索饵场、越冬场和洄游通道、天然渔场等渔业水体□；涉水的风景名胜区□；其他</w:t>
            </w:r>
            <w:r>
              <w:rPr>
                <w:color w:val="auto"/>
                <w:sz w:val="18"/>
                <w:szCs w:val="18"/>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影响途径</w:t>
            </w: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水污染影响型</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直接排放</w:t>
            </w:r>
            <w:r>
              <w:rPr>
                <w:color w:val="auto"/>
                <w:sz w:val="18"/>
                <w:szCs w:val="18"/>
                <w:highlight w:val="none"/>
              </w:rPr>
              <w:sym w:font="Wingdings 2" w:char="0052"/>
            </w:r>
            <w:r>
              <w:rPr>
                <w:color w:val="auto"/>
                <w:sz w:val="18"/>
                <w:szCs w:val="18"/>
                <w:highlight w:val="none"/>
              </w:rPr>
              <w:t>；间接排放□；其他□</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影响因子</w:t>
            </w: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持久性污染物□；有毒有害污染物□；非持久性污染物</w:t>
            </w:r>
            <w:r>
              <w:rPr>
                <w:color w:val="auto"/>
                <w:sz w:val="18"/>
                <w:szCs w:val="18"/>
                <w:highlight w:val="none"/>
              </w:rPr>
              <w:sym w:font="Wingdings 2" w:char="0052"/>
            </w:r>
            <w:r>
              <w:rPr>
                <w:color w:val="auto"/>
                <w:sz w:val="18"/>
                <w:szCs w:val="18"/>
                <w:highlight w:val="none"/>
              </w:rPr>
              <w:t>；pH值□；热污染□；富营养化□；其他□</w:t>
            </w:r>
          </w:p>
        </w:tc>
        <w:tc>
          <w:tcPr>
            <w:tcW w:w="1964"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水温□；水位（水深）□；流速□；流量□；其他□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86" w:type="pct"/>
            <w:gridSpan w:val="2"/>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评价等级</w:t>
            </w: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水污染影响型</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86" w:type="pct"/>
            <w:gridSpan w:val="2"/>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一级□；二级</w:t>
            </w:r>
            <w:r>
              <w:rPr>
                <w:color w:val="auto"/>
                <w:sz w:val="18"/>
                <w:szCs w:val="18"/>
                <w:highlight w:val="none"/>
              </w:rPr>
              <w:sym w:font="Wingdings 2" w:char="0052"/>
            </w:r>
            <w:r>
              <w:rPr>
                <w:color w:val="auto"/>
                <w:sz w:val="18"/>
                <w:szCs w:val="18"/>
                <w:highlight w:val="none"/>
              </w:rPr>
              <w:t>；三级A□；三级B□</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现状调查</w:t>
            </w: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区域污染源</w:t>
            </w: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调查项目</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1280"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已建</w:t>
            </w:r>
            <w:r>
              <w:rPr>
                <w:color w:val="auto"/>
                <w:sz w:val="18"/>
                <w:szCs w:val="18"/>
                <w:highlight w:val="none"/>
              </w:rPr>
              <w:sym w:font="Wingdings 2" w:char="0052"/>
            </w:r>
            <w:r>
              <w:rPr>
                <w:color w:val="auto"/>
                <w:sz w:val="18"/>
                <w:szCs w:val="18"/>
                <w:highlight w:val="none"/>
              </w:rPr>
              <w:t>；在建□；拟建□；其他□</w:t>
            </w:r>
          </w:p>
        </w:tc>
        <w:tc>
          <w:tcPr>
            <w:tcW w:w="867"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拟替代的污染源□</w:t>
            </w:r>
          </w:p>
        </w:tc>
        <w:tc>
          <w:tcPr>
            <w:tcW w:w="1964"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排污许可证□；环评□；环保验收□；既有实测□；现场监测□；入河排放口数据□；其他□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受影响水体水环境质量</w:t>
            </w: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调查时期</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丰水期□；平水期□；枯水期</w:t>
            </w:r>
            <w:r>
              <w:rPr>
                <w:color w:val="auto"/>
                <w:sz w:val="18"/>
                <w:szCs w:val="18"/>
                <w:highlight w:val="none"/>
              </w:rPr>
              <w:sym w:font="Wingdings 2" w:char="0052"/>
            </w:r>
            <w:r>
              <w:rPr>
                <w:color w:val="auto"/>
                <w:sz w:val="18"/>
                <w:szCs w:val="18"/>
                <w:highlight w:val="none"/>
              </w:rPr>
              <w:t>；冰封期□；春季□；夏季□；秋季□；冬季□</w:t>
            </w:r>
          </w:p>
        </w:tc>
        <w:tc>
          <w:tcPr>
            <w:tcW w:w="1964"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生态环境保护主管部门</w:t>
            </w:r>
            <w:r>
              <w:rPr>
                <w:color w:val="auto"/>
                <w:sz w:val="18"/>
                <w:szCs w:val="18"/>
                <w:highlight w:val="none"/>
              </w:rPr>
              <w:sym w:font="Wingdings 2" w:char="0052"/>
            </w:r>
            <w:r>
              <w:rPr>
                <w:color w:val="auto"/>
                <w:sz w:val="18"/>
                <w:szCs w:val="18"/>
                <w:highlight w:val="none"/>
              </w:rPr>
              <w:t>；补充监测□；其他□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区域水资源开发利用状况</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未开发□；开发量40%以下□；开发量40%以上□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水文情势调查</w:t>
            </w: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调查时期</w:t>
            </w:r>
          </w:p>
        </w:tc>
        <w:tc>
          <w:tcPr>
            <w:tcW w:w="1964"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2148" w:type="pct"/>
            <w:gridSpan w:val="4"/>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丰水期□；平水期□；枯水期□；冰封期□；春季□；夏季□；秋季□；冬季□</w:t>
            </w:r>
          </w:p>
        </w:tc>
        <w:tc>
          <w:tcPr>
            <w:tcW w:w="1964"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水行政主管部门</w:t>
            </w:r>
            <w:r>
              <w:rPr>
                <w:color w:val="auto"/>
                <w:sz w:val="18"/>
                <w:szCs w:val="18"/>
                <w:highlight w:val="none"/>
              </w:rPr>
              <w:sym w:font="Wingdings 2" w:char="0052"/>
            </w:r>
            <w:r>
              <w:rPr>
                <w:color w:val="auto"/>
                <w:sz w:val="18"/>
                <w:szCs w:val="18"/>
                <w:highlight w:val="none"/>
              </w:rPr>
              <w:t>；补充监测</w:t>
            </w:r>
            <w:r>
              <w:rPr>
                <w:color w:val="auto"/>
                <w:sz w:val="18"/>
                <w:szCs w:val="18"/>
                <w:highlight w:val="none"/>
              </w:rPr>
              <w:sym w:font="Wingdings 2" w:char="0052"/>
            </w:r>
            <w:r>
              <w:rPr>
                <w:color w:val="auto"/>
                <w:sz w:val="18"/>
                <w:szCs w:val="18"/>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补充监测</w:t>
            </w:r>
          </w:p>
        </w:tc>
        <w:tc>
          <w:tcPr>
            <w:tcW w:w="2148"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监测时期</w:t>
            </w:r>
          </w:p>
        </w:tc>
        <w:tc>
          <w:tcPr>
            <w:tcW w:w="964"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监测因子</w:t>
            </w:r>
          </w:p>
        </w:tc>
        <w:tc>
          <w:tcPr>
            <w:tcW w:w="1000"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2148"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丰水期□；平水期</w:t>
            </w:r>
            <w:r>
              <w:rPr>
                <w:color w:val="auto"/>
                <w:sz w:val="18"/>
                <w:szCs w:val="18"/>
                <w:highlight w:val="none"/>
              </w:rPr>
              <w:sym w:font="Wingdings 2" w:char="0052"/>
            </w:r>
            <w:r>
              <w:rPr>
                <w:color w:val="auto"/>
                <w:sz w:val="18"/>
                <w:szCs w:val="18"/>
                <w:highlight w:val="none"/>
              </w:rPr>
              <w:t>；枯水期□；冰封期□；春季□；夏季□；秋季□；冬季□</w:t>
            </w:r>
          </w:p>
        </w:tc>
        <w:tc>
          <w:tcPr>
            <w:tcW w:w="964"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pH、化学需氧量、五日生化需氧量、溶解氧、氨氮、总磷、总氮、石油类、阴离子表面活性剂、粪大肠菌群</w:t>
            </w:r>
          </w:p>
        </w:tc>
        <w:tc>
          <w:tcPr>
            <w:tcW w:w="1000"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监测断面或点位个数（2）个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现状评价</w:t>
            </w: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评价范围</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河流：长度（27.5）km；湖库、河口及近岸海域：面积（）km</w:t>
            </w:r>
            <w:r>
              <w:rPr>
                <w:color w:val="auto"/>
                <w:sz w:val="18"/>
                <w:szCs w:val="18"/>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评价因子</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pH、化学需氧量、五日生化需氧量、溶解氧、氨氮、总磷、石油类、阴离子表面活性剂、粪大肠菌群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评价标准</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河流、湖库、河口：I类□；Ⅱ类□；Ⅲ类</w:t>
            </w:r>
            <w:r>
              <w:rPr>
                <w:color w:val="auto"/>
                <w:sz w:val="18"/>
                <w:szCs w:val="18"/>
                <w:highlight w:val="none"/>
              </w:rPr>
              <w:sym w:font="Wingdings 2" w:char="0052"/>
            </w:r>
            <w:r>
              <w:rPr>
                <w:color w:val="auto"/>
                <w:sz w:val="18"/>
                <w:szCs w:val="18"/>
                <w:highlight w:val="none"/>
              </w:rPr>
              <w:t>；Ⅳ类□；V类□</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近岸海域：第一类□；第二类□；第三类□；第四类□</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评价时期</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丰水期□；平水期□；枯水期□；冰封期□；春季□；夏季□；秋季□；冬季□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评价结论</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水环境功能区或水功能区、近岸海域环境功能区水质达标状况：达标□；不达标□</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水环境控制单元或断面水质达标状况：达标□；不达标□</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水环境保护目标质量状况：达标□；不达标□</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对照断面、控制断面等代表性断面的水质状况：达标□；不达标□</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底泥污染评价□</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水资源与开发利用程度及其水文情势评价□</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水环境质量回顾评价□</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流域（区域）水资源（包括水能资源）与开发利用总体状况、生态流量管理要求与现状满足程度、建设项目占用水域空间的水流状况与河湖演变状况□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影响预测</w:t>
            </w: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预测范围</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河流：长度（27.5）km；湖库、河口及近岸海域：面积（）km</w:t>
            </w:r>
            <w:r>
              <w:rPr>
                <w:color w:val="auto"/>
                <w:sz w:val="18"/>
                <w:szCs w:val="18"/>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预测因子</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（COD、NH</w:t>
            </w:r>
            <w:r>
              <w:rPr>
                <w:color w:val="auto"/>
                <w:sz w:val="18"/>
                <w:szCs w:val="18"/>
                <w:highlight w:val="none"/>
                <w:vertAlign w:val="subscript"/>
              </w:rPr>
              <w:t>3</w:t>
            </w:r>
            <w:r>
              <w:rPr>
                <w:color w:val="auto"/>
                <w:sz w:val="18"/>
                <w:szCs w:val="18"/>
                <w:highlight w:val="none"/>
              </w:rPr>
              <w:t>-N、TP）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预测时期</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丰水期□；平水期□；枯水期</w:t>
            </w:r>
            <w:r>
              <w:rPr>
                <w:color w:val="auto"/>
                <w:sz w:val="18"/>
                <w:szCs w:val="18"/>
                <w:highlight w:val="none"/>
              </w:rPr>
              <w:sym w:font="Wingdings 2" w:char="0052"/>
            </w:r>
            <w:r>
              <w:rPr>
                <w:color w:val="auto"/>
                <w:sz w:val="18"/>
                <w:szCs w:val="18"/>
                <w:highlight w:val="none"/>
              </w:rPr>
              <w:t>；冰封期□；春季□；夏季□；秋季□；冬季□；设计水文条件□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预测情景</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建设期□；生产运行期</w:t>
            </w:r>
            <w:r>
              <w:rPr>
                <w:color w:val="auto"/>
                <w:sz w:val="18"/>
                <w:szCs w:val="18"/>
                <w:highlight w:val="none"/>
              </w:rPr>
              <w:sym w:font="Wingdings 2" w:char="0052"/>
            </w:r>
            <w:r>
              <w:rPr>
                <w:color w:val="auto"/>
                <w:sz w:val="18"/>
                <w:szCs w:val="18"/>
                <w:highlight w:val="none"/>
              </w:rPr>
              <w:t>；服务期满后□</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正常工况</w:t>
            </w:r>
            <w:r>
              <w:rPr>
                <w:color w:val="auto"/>
                <w:sz w:val="18"/>
                <w:szCs w:val="18"/>
                <w:highlight w:val="none"/>
              </w:rPr>
              <w:sym w:font="Wingdings 2" w:char="0052"/>
            </w:r>
            <w:r>
              <w:rPr>
                <w:color w:val="auto"/>
                <w:sz w:val="18"/>
                <w:szCs w:val="18"/>
                <w:highlight w:val="none"/>
              </w:rPr>
              <w:t>；非正常工况</w:t>
            </w:r>
            <w:r>
              <w:rPr>
                <w:color w:val="auto"/>
                <w:sz w:val="18"/>
                <w:szCs w:val="18"/>
                <w:highlight w:val="none"/>
              </w:rPr>
              <w:sym w:font="Wingdings 2" w:char="0052"/>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污染控制和减缓措施方案□</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区（流）域环境质量改善目标要求情景□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预测方法</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数值解□：解析解□；其他□</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导则推荐模式</w:t>
            </w:r>
            <w:r>
              <w:rPr>
                <w:color w:val="auto"/>
                <w:sz w:val="18"/>
                <w:szCs w:val="18"/>
                <w:highlight w:val="none"/>
              </w:rPr>
              <w:sym w:font="Wingdings 2" w:char="0052"/>
            </w:r>
            <w:r>
              <w:rPr>
                <w:color w:val="auto"/>
                <w:sz w:val="18"/>
                <w:szCs w:val="18"/>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影响评价</w:t>
            </w: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水污染控制和水环境影响减缓措施有效性评价</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区（流）域水环境质量改善目标□；替代削减源□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水环境影响评价</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排放口混合区外满足水环境管理要求</w:t>
            </w:r>
            <w:r>
              <w:rPr>
                <w:color w:val="auto"/>
                <w:sz w:val="18"/>
                <w:szCs w:val="18"/>
                <w:highlight w:val="none"/>
              </w:rPr>
              <w:sym w:font="Wingdings 2" w:char="0052"/>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水环境功能区或水功能区、近岸海域环境功能区水质达标</w:t>
            </w:r>
            <w:r>
              <w:rPr>
                <w:color w:val="auto"/>
                <w:sz w:val="18"/>
                <w:szCs w:val="18"/>
                <w:highlight w:val="none"/>
              </w:rPr>
              <w:sym w:font="Wingdings 2" w:char="0052"/>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满足水环境保护目标水域水环境质量要求□</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水环境控制单元或断面水质达标□</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满足重点水污染物排放总量控制指标要求，重点行业建设项目，主要污染物排放满足等量或减量替代要求□</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满足区（流）域水环境质量改善目标要求□</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水文要素影响型建设项目同时应包括水文情势变化评价、主要水文特征值影响评价、生态流量符合性评价□</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对于新设或调整入河（湖库、近岸海域）排放口的建设项目，应包括排放口设置的环境合理性评价□</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满足生态保护红线、水环境质量底线、资源利用上线和环境准入清单管理要求□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污染源排放量核算</w:t>
            </w: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污染物名称</w:t>
            </w:r>
          </w:p>
        </w:tc>
        <w:tc>
          <w:tcPr>
            <w:tcW w:w="1597"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排放量（t/a）</w:t>
            </w:r>
          </w:p>
        </w:tc>
        <w:tc>
          <w:tcPr>
            <w:tcW w:w="1636" w:type="pct"/>
            <w:gridSpan w:val="3"/>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COD、NH</w:t>
            </w:r>
            <w:r>
              <w:rPr>
                <w:color w:val="auto"/>
                <w:sz w:val="18"/>
                <w:szCs w:val="18"/>
                <w:highlight w:val="none"/>
                <w:vertAlign w:val="subscript"/>
              </w:rPr>
              <w:t>3</w:t>
            </w:r>
            <w:r>
              <w:rPr>
                <w:color w:val="auto"/>
                <w:sz w:val="18"/>
                <w:szCs w:val="18"/>
                <w:highlight w:val="none"/>
              </w:rPr>
              <w:t>-N、TP、TN</w:t>
            </w:r>
          </w:p>
        </w:tc>
        <w:tc>
          <w:tcPr>
            <w:tcW w:w="1597"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365.0、36.50、3.650、109.50</w:t>
            </w:r>
          </w:p>
        </w:tc>
        <w:tc>
          <w:tcPr>
            <w:tcW w:w="1636" w:type="pct"/>
            <w:gridSpan w:val="3"/>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50mg/L、5mg/L、0.5mg/L、15mg/L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替代源排放情况</w:t>
            </w: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污染源名称</w:t>
            </w:r>
          </w:p>
        </w:tc>
        <w:tc>
          <w:tcPr>
            <w:tcW w:w="952"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排污许可证编号</w:t>
            </w:r>
          </w:p>
        </w:tc>
        <w:tc>
          <w:tcPr>
            <w:tcW w:w="644"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污染物名称</w:t>
            </w:r>
          </w:p>
        </w:tc>
        <w:tc>
          <w:tcPr>
            <w:tcW w:w="708"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排放量（t/a）</w:t>
            </w:r>
          </w:p>
        </w:tc>
        <w:tc>
          <w:tcPr>
            <w:tcW w:w="92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排放浓度（mg/m</w:t>
            </w:r>
            <w:r>
              <w:rPr>
                <w:color w:val="auto"/>
                <w:sz w:val="18"/>
                <w:szCs w:val="18"/>
                <w:highlight w:val="none"/>
                <w:vertAlign w:val="superscript"/>
              </w:rPr>
              <w:t>3</w:t>
            </w:r>
            <w:r>
              <w:rPr>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w:t>
            </w:r>
          </w:p>
        </w:tc>
        <w:tc>
          <w:tcPr>
            <w:tcW w:w="952"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w:t>
            </w:r>
          </w:p>
        </w:tc>
        <w:tc>
          <w:tcPr>
            <w:tcW w:w="644"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w:t>
            </w:r>
          </w:p>
        </w:tc>
        <w:tc>
          <w:tcPr>
            <w:tcW w:w="708" w:type="pct"/>
            <w:gridSpan w:val="2"/>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w:t>
            </w:r>
          </w:p>
        </w:tc>
        <w:tc>
          <w:tcPr>
            <w:tcW w:w="92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生态流量确定</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生态流量：一般水期（）m</w:t>
            </w:r>
            <w:r>
              <w:rPr>
                <w:color w:val="auto"/>
                <w:sz w:val="18"/>
                <w:szCs w:val="18"/>
                <w:highlight w:val="none"/>
                <w:vertAlign w:val="superscript"/>
              </w:rPr>
              <w:t>3</w:t>
            </w:r>
            <w:r>
              <w:rPr>
                <w:color w:val="auto"/>
                <w:sz w:val="18"/>
                <w:szCs w:val="18"/>
                <w:highlight w:val="none"/>
              </w:rPr>
              <w:t>/s；鱼类繁殖期（）m</w:t>
            </w:r>
            <w:r>
              <w:rPr>
                <w:color w:val="auto"/>
                <w:sz w:val="18"/>
                <w:szCs w:val="18"/>
                <w:highlight w:val="none"/>
                <w:vertAlign w:val="superscript"/>
              </w:rPr>
              <w:t>3</w:t>
            </w:r>
            <w:r>
              <w:rPr>
                <w:color w:val="auto"/>
                <w:sz w:val="18"/>
                <w:szCs w:val="18"/>
                <w:highlight w:val="none"/>
              </w:rPr>
              <w:t>/s；其他（）m</w:t>
            </w:r>
            <w:r>
              <w:rPr>
                <w:color w:val="auto"/>
                <w:sz w:val="18"/>
                <w:szCs w:val="18"/>
                <w:highlight w:val="none"/>
                <w:vertAlign w:val="superscript"/>
              </w:rPr>
              <w:t>3</w:t>
            </w:r>
            <w:r>
              <w:rPr>
                <w:color w:val="auto"/>
                <w:sz w:val="18"/>
                <w:szCs w:val="18"/>
                <w:highlight w:val="none"/>
              </w:rPr>
              <w:t>/s</w:t>
            </w:r>
          </w:p>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防治措施</w:t>
            </w: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环保措施</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污水处理设施</w:t>
            </w:r>
            <w:r>
              <w:rPr>
                <w:color w:val="auto"/>
                <w:sz w:val="18"/>
                <w:szCs w:val="18"/>
                <w:highlight w:val="none"/>
              </w:rPr>
              <w:sym w:font="Wingdings 2" w:char="0052"/>
            </w:r>
            <w:r>
              <w:rPr>
                <w:color w:val="auto"/>
                <w:sz w:val="18"/>
                <w:szCs w:val="18"/>
                <w:highlight w:val="none"/>
              </w:rPr>
              <w:t>；水文减缓设施□；生态流量保障设施□；区域削减□；依托其他工程措施□；其他□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restar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监测计划</w:t>
            </w: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p>
        </w:tc>
        <w:tc>
          <w:tcPr>
            <w:tcW w:w="1597"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环境质量</w:t>
            </w:r>
          </w:p>
        </w:tc>
        <w:tc>
          <w:tcPr>
            <w:tcW w:w="1636" w:type="pct"/>
            <w:gridSpan w:val="3"/>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监测方式</w:t>
            </w:r>
          </w:p>
        </w:tc>
        <w:tc>
          <w:tcPr>
            <w:tcW w:w="1597"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手动</w:t>
            </w:r>
            <w:r>
              <w:rPr>
                <w:color w:val="auto"/>
                <w:sz w:val="18"/>
                <w:szCs w:val="18"/>
                <w:highlight w:val="none"/>
              </w:rPr>
              <w:sym w:font="Wingdings 2" w:char="0052"/>
            </w:r>
            <w:r>
              <w:rPr>
                <w:color w:val="auto"/>
                <w:sz w:val="18"/>
                <w:szCs w:val="18"/>
                <w:highlight w:val="none"/>
              </w:rPr>
              <w:t>；自动□；无监测□</w:t>
            </w:r>
          </w:p>
        </w:tc>
        <w:tc>
          <w:tcPr>
            <w:tcW w:w="1636" w:type="pct"/>
            <w:gridSpan w:val="3"/>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手动</w:t>
            </w:r>
            <w:r>
              <w:rPr>
                <w:color w:val="auto"/>
                <w:sz w:val="18"/>
                <w:szCs w:val="18"/>
                <w:highlight w:val="none"/>
              </w:rPr>
              <w:sym w:font="Wingdings 2" w:char="0052"/>
            </w:r>
            <w:r>
              <w:rPr>
                <w:color w:val="auto"/>
                <w:sz w:val="18"/>
                <w:szCs w:val="18"/>
                <w:highlight w:val="none"/>
              </w:rPr>
              <w:t>；自动</w:t>
            </w:r>
            <w:r>
              <w:rPr>
                <w:color w:val="auto"/>
                <w:sz w:val="18"/>
                <w:szCs w:val="18"/>
                <w:highlight w:val="none"/>
              </w:rPr>
              <w:sym w:font="Wingdings 2" w:char="0052"/>
            </w:r>
            <w:r>
              <w:rPr>
                <w:color w:val="auto"/>
                <w:sz w:val="18"/>
                <w:szCs w:val="18"/>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监测点位</w:t>
            </w:r>
          </w:p>
        </w:tc>
        <w:tc>
          <w:tcPr>
            <w:tcW w:w="1597"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（排口上游500m，下游1500m）</w:t>
            </w:r>
          </w:p>
        </w:tc>
        <w:tc>
          <w:tcPr>
            <w:tcW w:w="1636" w:type="pct"/>
            <w:gridSpan w:val="3"/>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878" w:type="pct"/>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监测因子</w:t>
            </w:r>
          </w:p>
        </w:tc>
        <w:tc>
          <w:tcPr>
            <w:tcW w:w="1597" w:type="pct"/>
            <w:gridSpan w:val="4"/>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（pH、COD、NH</w:t>
            </w:r>
            <w:r>
              <w:rPr>
                <w:color w:val="auto"/>
                <w:sz w:val="18"/>
                <w:szCs w:val="18"/>
                <w:highlight w:val="none"/>
                <w:vertAlign w:val="subscript"/>
              </w:rPr>
              <w:t>3</w:t>
            </w:r>
            <w:r>
              <w:rPr>
                <w:color w:val="auto"/>
                <w:sz w:val="18"/>
                <w:szCs w:val="18"/>
                <w:highlight w:val="none"/>
              </w:rPr>
              <w:t>-N、TP、TN、石油类、粪大肠菌群）</w:t>
            </w:r>
          </w:p>
        </w:tc>
        <w:tc>
          <w:tcPr>
            <w:tcW w:w="1636" w:type="pct"/>
            <w:gridSpan w:val="3"/>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（流量、pH值、水温、化学需氧量、氨氮、总磷、总氮、悬浮物、色度、五日生化需氧量、动植物油、石油类、阴离子表面活性剂、粪大肠菌群、总镉、总铬、总汞、总铅、总砷、六价铬、烷基汞等）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37" w:type="pct"/>
            <w:vMerge w:val="continue"/>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p>
        </w:tc>
        <w:tc>
          <w:tcPr>
            <w:tcW w:w="648" w:type="pct"/>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污染物排放清单</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86" w:type="pct"/>
            <w:gridSpan w:val="2"/>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评价结论</w:t>
            </w:r>
          </w:p>
        </w:tc>
        <w:tc>
          <w:tcPr>
            <w:tcW w:w="4113" w:type="pct"/>
            <w:gridSpan w:val="8"/>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可以接受</w:t>
            </w:r>
            <w:r>
              <w:rPr>
                <w:color w:val="auto"/>
                <w:sz w:val="18"/>
                <w:szCs w:val="18"/>
                <w:highlight w:val="none"/>
              </w:rPr>
              <w:sym w:font="Wingdings 2" w:char="0052"/>
            </w:r>
            <w:r>
              <w:rPr>
                <w:color w:val="auto"/>
                <w:sz w:val="18"/>
                <w:szCs w:val="18"/>
                <w:highlight w:val="none"/>
              </w:rPr>
              <w:t>；不可以接受□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000" w:type="pct"/>
            <w:gridSpan w:val="10"/>
            <w:shd w:val="clear" w:color="auto" w:fill="auto"/>
            <w:vAlign w:val="center"/>
          </w:tcPr>
          <w:p>
            <w:pPr>
              <w:pageBreakBefore w:val="0"/>
              <w:kinsoku/>
              <w:wordWrap/>
              <w:topLinePunct w:val="0"/>
              <w:bidi w:val="0"/>
              <w:ind w:left="0" w:leftChars="0" w:right="0" w:rightChars="0"/>
              <w:jc w:val="center"/>
              <w:rPr>
                <w:color w:val="auto"/>
                <w:sz w:val="18"/>
                <w:szCs w:val="18"/>
                <w:highlight w:val="none"/>
              </w:rPr>
            </w:pPr>
            <w:r>
              <w:rPr>
                <w:color w:val="auto"/>
                <w:sz w:val="18"/>
                <w:szCs w:val="18"/>
                <w:highlight w:val="none"/>
              </w:rPr>
              <w:t>注：“□”为勾选项，可√；“（）”为内容填写项；“备注”为其他补充内容</w:t>
            </w:r>
          </w:p>
        </w:tc>
      </w:tr>
    </w:tbl>
    <w:p>
      <w:pPr>
        <w:pStyle w:val="34"/>
        <w:pageBreakBefore w:val="0"/>
        <w:kinsoku/>
        <w:wordWrap/>
        <w:topLinePunct w:val="0"/>
        <w:bidi w:val="0"/>
        <w:spacing w:line="360" w:lineRule="auto"/>
        <w:ind w:left="0" w:leftChars="0" w:right="0" w:rightChars="0" w:firstLine="480" w:firstLineChars="200"/>
        <w:jc w:val="both"/>
        <w:outlineLvl w:val="9"/>
        <w:rPr>
          <w:rFonts w:hint="eastAsia" w:cs="Times New Roman"/>
          <w:b w:val="0"/>
          <w:color w:val="auto"/>
          <w:kern w:val="2"/>
          <w:sz w:val="24"/>
          <w:szCs w:val="24"/>
          <w:highlight w:val="none"/>
          <w:lang w:val="en-US" w:eastAsia="zh-CN" w:bidi="ar"/>
        </w:rPr>
      </w:pPr>
    </w:p>
    <w:p>
      <w:pPr>
        <w:pStyle w:val="34"/>
        <w:pageBreakBefore w:val="0"/>
        <w:kinsoku/>
        <w:wordWrap/>
        <w:topLinePunct w:val="0"/>
        <w:bidi w:val="0"/>
        <w:spacing w:line="360" w:lineRule="auto"/>
        <w:ind w:left="0" w:leftChars="0" w:right="0" w:rightChars="0" w:firstLine="562" w:firstLineChars="200"/>
        <w:jc w:val="both"/>
        <w:outlineLvl w:val="9"/>
        <w:rPr>
          <w:color w:val="auto"/>
          <w:highlight w:val="none"/>
        </w:rPr>
      </w:pPr>
    </w:p>
    <w:sectPr>
      <w:pgSz w:w="16838" w:h="11906" w:orient="landscape"/>
      <w:pgMar w:top="1134" w:right="1440" w:bottom="1134"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小标宋简体">
    <w:altName w:val="Arial Unicode MS"/>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097812"/>
    <w:multiLevelType w:val="singleLevel"/>
    <w:tmpl w:val="D2097812"/>
    <w:lvl w:ilvl="0" w:tentative="0">
      <w:start w:val="2"/>
      <w:numFmt w:val="chineseCounting"/>
      <w:suff w:val="nothing"/>
      <w:lvlText w:val="（%1）"/>
      <w:lvlJc w:val="left"/>
      <w:rPr>
        <w:rFonts w:hint="eastAsia"/>
      </w:rPr>
    </w:lvl>
  </w:abstractNum>
  <w:abstractNum w:abstractNumId="1">
    <w:nsid w:val="DE5E87A9"/>
    <w:multiLevelType w:val="singleLevel"/>
    <w:tmpl w:val="DE5E87A9"/>
    <w:lvl w:ilvl="0" w:tentative="0">
      <w:start w:val="4"/>
      <w:numFmt w:val="decimal"/>
      <w:suff w:val="nothing"/>
      <w:lvlText w:val="%1、"/>
      <w:lvlJc w:val="left"/>
    </w:lvl>
  </w:abstractNum>
  <w:abstractNum w:abstractNumId="2">
    <w:nsid w:val="0EB433B1"/>
    <w:multiLevelType w:val="multilevel"/>
    <w:tmpl w:val="0EB433B1"/>
    <w:lvl w:ilvl="0" w:tentative="0">
      <w:start w:val="1"/>
      <w:numFmt w:val="decimal"/>
      <w:pStyle w:val="3"/>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34919927"/>
    <w:multiLevelType w:val="multilevel"/>
    <w:tmpl w:val="3491992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65FD2F14"/>
    <w:multiLevelType w:val="singleLevel"/>
    <w:tmpl w:val="65FD2F14"/>
    <w:lvl w:ilvl="0" w:tentative="0">
      <w:start w:val="2"/>
      <w:numFmt w:val="decimal"/>
      <w:suff w:val="nothing"/>
      <w:lvlText w:val="%1、"/>
      <w:lvlJc w:val="left"/>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4ODAwMTJiZjk0MzE5ODE1ODU3ZDdjYWQ4NTY1MzYifQ=="/>
  </w:docVars>
  <w:rsids>
    <w:rsidRoot w:val="00172A27"/>
    <w:rsid w:val="000206F1"/>
    <w:rsid w:val="00172A27"/>
    <w:rsid w:val="00186BF0"/>
    <w:rsid w:val="001B0862"/>
    <w:rsid w:val="002127A5"/>
    <w:rsid w:val="0026200C"/>
    <w:rsid w:val="0027113A"/>
    <w:rsid w:val="00294817"/>
    <w:rsid w:val="00297558"/>
    <w:rsid w:val="004B71FF"/>
    <w:rsid w:val="00517636"/>
    <w:rsid w:val="00527D19"/>
    <w:rsid w:val="00584058"/>
    <w:rsid w:val="005A0E41"/>
    <w:rsid w:val="005A672D"/>
    <w:rsid w:val="005C1DDD"/>
    <w:rsid w:val="00604129"/>
    <w:rsid w:val="007448C7"/>
    <w:rsid w:val="00760DF0"/>
    <w:rsid w:val="007629F2"/>
    <w:rsid w:val="00844285"/>
    <w:rsid w:val="008B7D2A"/>
    <w:rsid w:val="009B3961"/>
    <w:rsid w:val="00A34891"/>
    <w:rsid w:val="00A434C3"/>
    <w:rsid w:val="00A87252"/>
    <w:rsid w:val="00AE2218"/>
    <w:rsid w:val="00B23A42"/>
    <w:rsid w:val="00B44ECB"/>
    <w:rsid w:val="00BC69A3"/>
    <w:rsid w:val="00BC791B"/>
    <w:rsid w:val="00BF6600"/>
    <w:rsid w:val="00C76964"/>
    <w:rsid w:val="00CC2186"/>
    <w:rsid w:val="00D5158C"/>
    <w:rsid w:val="00D816E8"/>
    <w:rsid w:val="00DF72AA"/>
    <w:rsid w:val="00EB1295"/>
    <w:rsid w:val="00F0523A"/>
    <w:rsid w:val="00F63C38"/>
    <w:rsid w:val="00F76805"/>
    <w:rsid w:val="010A1426"/>
    <w:rsid w:val="011B2BC5"/>
    <w:rsid w:val="01206E29"/>
    <w:rsid w:val="0140783C"/>
    <w:rsid w:val="01633B8F"/>
    <w:rsid w:val="01A0313A"/>
    <w:rsid w:val="01A2719B"/>
    <w:rsid w:val="01AB4ACA"/>
    <w:rsid w:val="01DA5D05"/>
    <w:rsid w:val="01DE3478"/>
    <w:rsid w:val="01E66929"/>
    <w:rsid w:val="01F71904"/>
    <w:rsid w:val="01FB240E"/>
    <w:rsid w:val="02054FD0"/>
    <w:rsid w:val="020D3AA8"/>
    <w:rsid w:val="0210580B"/>
    <w:rsid w:val="023149C2"/>
    <w:rsid w:val="02473794"/>
    <w:rsid w:val="025C4C54"/>
    <w:rsid w:val="027156A0"/>
    <w:rsid w:val="02810A7C"/>
    <w:rsid w:val="02927175"/>
    <w:rsid w:val="02B25246"/>
    <w:rsid w:val="02B32C00"/>
    <w:rsid w:val="02BF0AAE"/>
    <w:rsid w:val="02CE17E8"/>
    <w:rsid w:val="02D16A26"/>
    <w:rsid w:val="02DF3514"/>
    <w:rsid w:val="02E334E5"/>
    <w:rsid w:val="02F4186E"/>
    <w:rsid w:val="02FB2DAB"/>
    <w:rsid w:val="033945C7"/>
    <w:rsid w:val="03443858"/>
    <w:rsid w:val="035A4274"/>
    <w:rsid w:val="036F54F5"/>
    <w:rsid w:val="03773099"/>
    <w:rsid w:val="037F2679"/>
    <w:rsid w:val="038764C0"/>
    <w:rsid w:val="038D3451"/>
    <w:rsid w:val="03B15391"/>
    <w:rsid w:val="03C74BB5"/>
    <w:rsid w:val="03E501A5"/>
    <w:rsid w:val="03F8645D"/>
    <w:rsid w:val="041616A2"/>
    <w:rsid w:val="0433379B"/>
    <w:rsid w:val="043A0AD1"/>
    <w:rsid w:val="043E1FEF"/>
    <w:rsid w:val="043E3628"/>
    <w:rsid w:val="0440480D"/>
    <w:rsid w:val="04455AD9"/>
    <w:rsid w:val="044F2995"/>
    <w:rsid w:val="0455213A"/>
    <w:rsid w:val="046C12B8"/>
    <w:rsid w:val="04786D35"/>
    <w:rsid w:val="048C2F87"/>
    <w:rsid w:val="049006D3"/>
    <w:rsid w:val="049A7F93"/>
    <w:rsid w:val="04D83DED"/>
    <w:rsid w:val="04E60A4D"/>
    <w:rsid w:val="04EB548B"/>
    <w:rsid w:val="04F55751"/>
    <w:rsid w:val="05017805"/>
    <w:rsid w:val="051200B1"/>
    <w:rsid w:val="05143E2A"/>
    <w:rsid w:val="052832D6"/>
    <w:rsid w:val="053E038E"/>
    <w:rsid w:val="053E7BB0"/>
    <w:rsid w:val="05690402"/>
    <w:rsid w:val="0575419C"/>
    <w:rsid w:val="05786A6C"/>
    <w:rsid w:val="058F34B0"/>
    <w:rsid w:val="05A60D08"/>
    <w:rsid w:val="05AB10D4"/>
    <w:rsid w:val="05AE3E83"/>
    <w:rsid w:val="05C42018"/>
    <w:rsid w:val="05FB0B46"/>
    <w:rsid w:val="060B668D"/>
    <w:rsid w:val="061B377B"/>
    <w:rsid w:val="06255BC2"/>
    <w:rsid w:val="062F6A41"/>
    <w:rsid w:val="06450013"/>
    <w:rsid w:val="064D1BE8"/>
    <w:rsid w:val="0655616C"/>
    <w:rsid w:val="06694317"/>
    <w:rsid w:val="06772950"/>
    <w:rsid w:val="068376C5"/>
    <w:rsid w:val="06A82B4A"/>
    <w:rsid w:val="06B31420"/>
    <w:rsid w:val="06C8694B"/>
    <w:rsid w:val="06CC6FF0"/>
    <w:rsid w:val="06D7523A"/>
    <w:rsid w:val="06EC2165"/>
    <w:rsid w:val="06F3181D"/>
    <w:rsid w:val="07137B4F"/>
    <w:rsid w:val="073F50CC"/>
    <w:rsid w:val="075952DC"/>
    <w:rsid w:val="07682834"/>
    <w:rsid w:val="078B7A03"/>
    <w:rsid w:val="078D1C71"/>
    <w:rsid w:val="07961BBB"/>
    <w:rsid w:val="079E79DA"/>
    <w:rsid w:val="07B137EF"/>
    <w:rsid w:val="07B731E4"/>
    <w:rsid w:val="07E00A19"/>
    <w:rsid w:val="07E45E6A"/>
    <w:rsid w:val="07E757DD"/>
    <w:rsid w:val="07E850FA"/>
    <w:rsid w:val="07EC2C66"/>
    <w:rsid w:val="081A78CC"/>
    <w:rsid w:val="08330197"/>
    <w:rsid w:val="08447468"/>
    <w:rsid w:val="084F1E4E"/>
    <w:rsid w:val="085A5212"/>
    <w:rsid w:val="08662D0C"/>
    <w:rsid w:val="086955C6"/>
    <w:rsid w:val="0880536B"/>
    <w:rsid w:val="08A52E38"/>
    <w:rsid w:val="08D322B9"/>
    <w:rsid w:val="08EE786F"/>
    <w:rsid w:val="08F52605"/>
    <w:rsid w:val="090E5BA6"/>
    <w:rsid w:val="091F6B2B"/>
    <w:rsid w:val="092D370C"/>
    <w:rsid w:val="0966277A"/>
    <w:rsid w:val="097A4477"/>
    <w:rsid w:val="0985741A"/>
    <w:rsid w:val="098B4508"/>
    <w:rsid w:val="099F15D7"/>
    <w:rsid w:val="09A518EA"/>
    <w:rsid w:val="09BD1E08"/>
    <w:rsid w:val="09FF478C"/>
    <w:rsid w:val="0A0F3741"/>
    <w:rsid w:val="0A6423D8"/>
    <w:rsid w:val="0A861C52"/>
    <w:rsid w:val="0AAC240E"/>
    <w:rsid w:val="0ABC6086"/>
    <w:rsid w:val="0AC4542D"/>
    <w:rsid w:val="0AC557E6"/>
    <w:rsid w:val="0AE33940"/>
    <w:rsid w:val="0AEC7E43"/>
    <w:rsid w:val="0AFB6FF6"/>
    <w:rsid w:val="0B1F63F1"/>
    <w:rsid w:val="0B275F39"/>
    <w:rsid w:val="0B6B22C9"/>
    <w:rsid w:val="0B8A2CF5"/>
    <w:rsid w:val="0B8E7D91"/>
    <w:rsid w:val="0B9F707E"/>
    <w:rsid w:val="0BB43C70"/>
    <w:rsid w:val="0BC41A42"/>
    <w:rsid w:val="0BCF264C"/>
    <w:rsid w:val="0BDE4D19"/>
    <w:rsid w:val="0BFE455B"/>
    <w:rsid w:val="0C0F70F9"/>
    <w:rsid w:val="0C214E6B"/>
    <w:rsid w:val="0C375060"/>
    <w:rsid w:val="0C3B5C66"/>
    <w:rsid w:val="0C4157C9"/>
    <w:rsid w:val="0C4B11C9"/>
    <w:rsid w:val="0C6115A3"/>
    <w:rsid w:val="0C932445"/>
    <w:rsid w:val="0C98608F"/>
    <w:rsid w:val="0CC41D3B"/>
    <w:rsid w:val="0CEE0318"/>
    <w:rsid w:val="0CF30828"/>
    <w:rsid w:val="0D074274"/>
    <w:rsid w:val="0D083DF0"/>
    <w:rsid w:val="0D140E7B"/>
    <w:rsid w:val="0D1E275D"/>
    <w:rsid w:val="0D2E6B85"/>
    <w:rsid w:val="0D3E31C7"/>
    <w:rsid w:val="0D40049F"/>
    <w:rsid w:val="0D934A94"/>
    <w:rsid w:val="0DB3138B"/>
    <w:rsid w:val="0DB53CD0"/>
    <w:rsid w:val="0E1E1875"/>
    <w:rsid w:val="0E3811EE"/>
    <w:rsid w:val="0E544711"/>
    <w:rsid w:val="0E727929"/>
    <w:rsid w:val="0E763125"/>
    <w:rsid w:val="0E812471"/>
    <w:rsid w:val="0E855450"/>
    <w:rsid w:val="0E8F6022"/>
    <w:rsid w:val="0E9F5A87"/>
    <w:rsid w:val="0EC464CF"/>
    <w:rsid w:val="0EC73CBB"/>
    <w:rsid w:val="0EDE70FD"/>
    <w:rsid w:val="0EE31618"/>
    <w:rsid w:val="0EF91B74"/>
    <w:rsid w:val="0EFE3967"/>
    <w:rsid w:val="0F011723"/>
    <w:rsid w:val="0F0200F5"/>
    <w:rsid w:val="0F064724"/>
    <w:rsid w:val="0F073DDF"/>
    <w:rsid w:val="0F0847B9"/>
    <w:rsid w:val="0F096081"/>
    <w:rsid w:val="0F102B00"/>
    <w:rsid w:val="0F102FA9"/>
    <w:rsid w:val="0F3D3F7D"/>
    <w:rsid w:val="0F490F27"/>
    <w:rsid w:val="0F4A59E2"/>
    <w:rsid w:val="0F73064C"/>
    <w:rsid w:val="0F8349EB"/>
    <w:rsid w:val="0F8B53FA"/>
    <w:rsid w:val="0FBA7763"/>
    <w:rsid w:val="0FCE0E92"/>
    <w:rsid w:val="0FDD306A"/>
    <w:rsid w:val="0FEB2FFC"/>
    <w:rsid w:val="0FF24D67"/>
    <w:rsid w:val="0FF9736B"/>
    <w:rsid w:val="0FFD294E"/>
    <w:rsid w:val="1001422A"/>
    <w:rsid w:val="10086339"/>
    <w:rsid w:val="10280C0E"/>
    <w:rsid w:val="103E5A9F"/>
    <w:rsid w:val="104A05C4"/>
    <w:rsid w:val="10716125"/>
    <w:rsid w:val="10747027"/>
    <w:rsid w:val="108035FE"/>
    <w:rsid w:val="10857989"/>
    <w:rsid w:val="10A33CD2"/>
    <w:rsid w:val="10A833DA"/>
    <w:rsid w:val="10C5551B"/>
    <w:rsid w:val="10D47789"/>
    <w:rsid w:val="10D52E6F"/>
    <w:rsid w:val="10D97CD5"/>
    <w:rsid w:val="10E723F2"/>
    <w:rsid w:val="11103548"/>
    <w:rsid w:val="11260209"/>
    <w:rsid w:val="112F4256"/>
    <w:rsid w:val="11567578"/>
    <w:rsid w:val="11585DA9"/>
    <w:rsid w:val="1162023A"/>
    <w:rsid w:val="11955292"/>
    <w:rsid w:val="11977184"/>
    <w:rsid w:val="11A41E98"/>
    <w:rsid w:val="11E93504"/>
    <w:rsid w:val="11EA1A5C"/>
    <w:rsid w:val="11EC57E6"/>
    <w:rsid w:val="12046FD4"/>
    <w:rsid w:val="120571D2"/>
    <w:rsid w:val="12074553"/>
    <w:rsid w:val="1212080A"/>
    <w:rsid w:val="12163CE1"/>
    <w:rsid w:val="121A05A5"/>
    <w:rsid w:val="1243615B"/>
    <w:rsid w:val="126B2BAF"/>
    <w:rsid w:val="127754F6"/>
    <w:rsid w:val="128114D6"/>
    <w:rsid w:val="128A6758"/>
    <w:rsid w:val="12935EEF"/>
    <w:rsid w:val="12A460C1"/>
    <w:rsid w:val="12AA0EAB"/>
    <w:rsid w:val="12B24C82"/>
    <w:rsid w:val="12BC0EF8"/>
    <w:rsid w:val="12DF1A87"/>
    <w:rsid w:val="12E44576"/>
    <w:rsid w:val="12E64FF5"/>
    <w:rsid w:val="12F80AB7"/>
    <w:rsid w:val="130F0CEA"/>
    <w:rsid w:val="13180F89"/>
    <w:rsid w:val="133C1AEB"/>
    <w:rsid w:val="13457C17"/>
    <w:rsid w:val="13701C79"/>
    <w:rsid w:val="13852398"/>
    <w:rsid w:val="139D323C"/>
    <w:rsid w:val="139D3C46"/>
    <w:rsid w:val="13AC16D1"/>
    <w:rsid w:val="13BD10C8"/>
    <w:rsid w:val="140D6614"/>
    <w:rsid w:val="14110F35"/>
    <w:rsid w:val="141C0A1B"/>
    <w:rsid w:val="141E7D3A"/>
    <w:rsid w:val="142257E9"/>
    <w:rsid w:val="143C7841"/>
    <w:rsid w:val="143E5A6B"/>
    <w:rsid w:val="145E4837"/>
    <w:rsid w:val="147B4FD6"/>
    <w:rsid w:val="14B922F8"/>
    <w:rsid w:val="14D42C8D"/>
    <w:rsid w:val="14F275B8"/>
    <w:rsid w:val="14F97DD0"/>
    <w:rsid w:val="15216A1E"/>
    <w:rsid w:val="15235F67"/>
    <w:rsid w:val="15245973"/>
    <w:rsid w:val="152A65E1"/>
    <w:rsid w:val="15337535"/>
    <w:rsid w:val="1537060D"/>
    <w:rsid w:val="15487DD6"/>
    <w:rsid w:val="154C5AEB"/>
    <w:rsid w:val="155A19C1"/>
    <w:rsid w:val="15637FC7"/>
    <w:rsid w:val="15714980"/>
    <w:rsid w:val="159B030A"/>
    <w:rsid w:val="159E1785"/>
    <w:rsid w:val="15CB0145"/>
    <w:rsid w:val="15DA3F5B"/>
    <w:rsid w:val="15E47940"/>
    <w:rsid w:val="16005D04"/>
    <w:rsid w:val="16253B1A"/>
    <w:rsid w:val="162A44F8"/>
    <w:rsid w:val="1635775C"/>
    <w:rsid w:val="163D4862"/>
    <w:rsid w:val="16500A3A"/>
    <w:rsid w:val="165110B9"/>
    <w:rsid w:val="165225CD"/>
    <w:rsid w:val="16551A40"/>
    <w:rsid w:val="16847ADA"/>
    <w:rsid w:val="16932DAA"/>
    <w:rsid w:val="16A707D1"/>
    <w:rsid w:val="16BD4F6D"/>
    <w:rsid w:val="16C760F1"/>
    <w:rsid w:val="16D27BE2"/>
    <w:rsid w:val="16D60144"/>
    <w:rsid w:val="16DB6903"/>
    <w:rsid w:val="16DB6AC8"/>
    <w:rsid w:val="16EA49EA"/>
    <w:rsid w:val="1726591C"/>
    <w:rsid w:val="17562080"/>
    <w:rsid w:val="175F02F7"/>
    <w:rsid w:val="176C3D80"/>
    <w:rsid w:val="17A10E21"/>
    <w:rsid w:val="17AF1790"/>
    <w:rsid w:val="17B005EC"/>
    <w:rsid w:val="17B66C3A"/>
    <w:rsid w:val="17DC3DC5"/>
    <w:rsid w:val="17DF2075"/>
    <w:rsid w:val="1800023D"/>
    <w:rsid w:val="18067B9A"/>
    <w:rsid w:val="182932F0"/>
    <w:rsid w:val="18371EB1"/>
    <w:rsid w:val="18624515"/>
    <w:rsid w:val="186C02C4"/>
    <w:rsid w:val="187451A2"/>
    <w:rsid w:val="187A58AA"/>
    <w:rsid w:val="18827A4C"/>
    <w:rsid w:val="188350F6"/>
    <w:rsid w:val="18842AE0"/>
    <w:rsid w:val="188835AB"/>
    <w:rsid w:val="18B4496E"/>
    <w:rsid w:val="18C834B8"/>
    <w:rsid w:val="18DC4EA1"/>
    <w:rsid w:val="18E022AE"/>
    <w:rsid w:val="18E13BCB"/>
    <w:rsid w:val="190B6AC8"/>
    <w:rsid w:val="19336378"/>
    <w:rsid w:val="194B373A"/>
    <w:rsid w:val="195725A1"/>
    <w:rsid w:val="195C2DE5"/>
    <w:rsid w:val="19791440"/>
    <w:rsid w:val="19936C6F"/>
    <w:rsid w:val="19F45D1F"/>
    <w:rsid w:val="19FA51C2"/>
    <w:rsid w:val="1A0E09F0"/>
    <w:rsid w:val="1A3F53E4"/>
    <w:rsid w:val="1A522E26"/>
    <w:rsid w:val="1A655351"/>
    <w:rsid w:val="1A6C7B89"/>
    <w:rsid w:val="1AAC09E7"/>
    <w:rsid w:val="1ACB68E1"/>
    <w:rsid w:val="1B041BC6"/>
    <w:rsid w:val="1B045CD3"/>
    <w:rsid w:val="1B0E7032"/>
    <w:rsid w:val="1B102545"/>
    <w:rsid w:val="1B123C98"/>
    <w:rsid w:val="1B1469DB"/>
    <w:rsid w:val="1B1E1342"/>
    <w:rsid w:val="1B207004"/>
    <w:rsid w:val="1B381E4B"/>
    <w:rsid w:val="1B3F1135"/>
    <w:rsid w:val="1B4D6C7B"/>
    <w:rsid w:val="1B523561"/>
    <w:rsid w:val="1B612718"/>
    <w:rsid w:val="1B682680"/>
    <w:rsid w:val="1B84582A"/>
    <w:rsid w:val="1B95289F"/>
    <w:rsid w:val="1BA50EE0"/>
    <w:rsid w:val="1BAE3446"/>
    <w:rsid w:val="1BC97744"/>
    <w:rsid w:val="1BD27D1B"/>
    <w:rsid w:val="1C021D32"/>
    <w:rsid w:val="1C150DD6"/>
    <w:rsid w:val="1C171C7E"/>
    <w:rsid w:val="1C2C6540"/>
    <w:rsid w:val="1C3E2C90"/>
    <w:rsid w:val="1C3F6CF1"/>
    <w:rsid w:val="1C4C1CA3"/>
    <w:rsid w:val="1C746B04"/>
    <w:rsid w:val="1C857701"/>
    <w:rsid w:val="1C8B33CB"/>
    <w:rsid w:val="1CA1517C"/>
    <w:rsid w:val="1CA8347B"/>
    <w:rsid w:val="1CA83640"/>
    <w:rsid w:val="1CB83281"/>
    <w:rsid w:val="1CC07161"/>
    <w:rsid w:val="1CC630D7"/>
    <w:rsid w:val="1D554CD2"/>
    <w:rsid w:val="1D764EFD"/>
    <w:rsid w:val="1D8308D1"/>
    <w:rsid w:val="1D8E3FE2"/>
    <w:rsid w:val="1D9A07EC"/>
    <w:rsid w:val="1D9E39AF"/>
    <w:rsid w:val="1DB37E6F"/>
    <w:rsid w:val="1DC50CC6"/>
    <w:rsid w:val="1DC63FBA"/>
    <w:rsid w:val="1DD243E0"/>
    <w:rsid w:val="1DDC2BB3"/>
    <w:rsid w:val="1DE2466D"/>
    <w:rsid w:val="1DE3206D"/>
    <w:rsid w:val="1DEA6BA0"/>
    <w:rsid w:val="1DFB452B"/>
    <w:rsid w:val="1DFD738A"/>
    <w:rsid w:val="1E0433D8"/>
    <w:rsid w:val="1E0B5246"/>
    <w:rsid w:val="1E177E1E"/>
    <w:rsid w:val="1E1F10C7"/>
    <w:rsid w:val="1E21054D"/>
    <w:rsid w:val="1E2A7DC2"/>
    <w:rsid w:val="1E3E78AC"/>
    <w:rsid w:val="1E433AAF"/>
    <w:rsid w:val="1E524B92"/>
    <w:rsid w:val="1E5E59CA"/>
    <w:rsid w:val="1E666F5E"/>
    <w:rsid w:val="1E751D37"/>
    <w:rsid w:val="1E7964C4"/>
    <w:rsid w:val="1E7F253B"/>
    <w:rsid w:val="1E921EBF"/>
    <w:rsid w:val="1EA13AFF"/>
    <w:rsid w:val="1EAF51A6"/>
    <w:rsid w:val="1EB3334C"/>
    <w:rsid w:val="1EB7274A"/>
    <w:rsid w:val="1EE32653"/>
    <w:rsid w:val="1EE35706"/>
    <w:rsid w:val="1EED151B"/>
    <w:rsid w:val="1F132604"/>
    <w:rsid w:val="1F3D6340"/>
    <w:rsid w:val="1F4466F6"/>
    <w:rsid w:val="1F4C72C9"/>
    <w:rsid w:val="1F5F6ADA"/>
    <w:rsid w:val="1F763E6F"/>
    <w:rsid w:val="1F9574BD"/>
    <w:rsid w:val="1F9D6C76"/>
    <w:rsid w:val="1FAB1FB4"/>
    <w:rsid w:val="1FBE07C2"/>
    <w:rsid w:val="1FCA360B"/>
    <w:rsid w:val="1FE55271"/>
    <w:rsid w:val="1FE9242C"/>
    <w:rsid w:val="200A54D4"/>
    <w:rsid w:val="200B777F"/>
    <w:rsid w:val="20200F8C"/>
    <w:rsid w:val="203207A1"/>
    <w:rsid w:val="20387251"/>
    <w:rsid w:val="20511636"/>
    <w:rsid w:val="20592EC7"/>
    <w:rsid w:val="20664C7C"/>
    <w:rsid w:val="206C4CD9"/>
    <w:rsid w:val="207922E0"/>
    <w:rsid w:val="208C7D22"/>
    <w:rsid w:val="208D5A7D"/>
    <w:rsid w:val="20BE6C95"/>
    <w:rsid w:val="20C24D63"/>
    <w:rsid w:val="20E70C92"/>
    <w:rsid w:val="20F53E39"/>
    <w:rsid w:val="210B5C89"/>
    <w:rsid w:val="21142811"/>
    <w:rsid w:val="213F0832"/>
    <w:rsid w:val="214C2AFA"/>
    <w:rsid w:val="2154271C"/>
    <w:rsid w:val="215632AB"/>
    <w:rsid w:val="215F7486"/>
    <w:rsid w:val="217C5E51"/>
    <w:rsid w:val="21BE65EB"/>
    <w:rsid w:val="21BF4251"/>
    <w:rsid w:val="21CB5781"/>
    <w:rsid w:val="21DC4F15"/>
    <w:rsid w:val="21DF35AE"/>
    <w:rsid w:val="21E6673E"/>
    <w:rsid w:val="21F677E6"/>
    <w:rsid w:val="21F82C05"/>
    <w:rsid w:val="21FA7AAB"/>
    <w:rsid w:val="21FE6338"/>
    <w:rsid w:val="221626E5"/>
    <w:rsid w:val="222B1769"/>
    <w:rsid w:val="224650EC"/>
    <w:rsid w:val="224B3EF8"/>
    <w:rsid w:val="22557E77"/>
    <w:rsid w:val="226650A3"/>
    <w:rsid w:val="22786DCD"/>
    <w:rsid w:val="227A01F3"/>
    <w:rsid w:val="22877C26"/>
    <w:rsid w:val="22910410"/>
    <w:rsid w:val="229A609C"/>
    <w:rsid w:val="229C1803"/>
    <w:rsid w:val="22A9622E"/>
    <w:rsid w:val="22C81CCC"/>
    <w:rsid w:val="22CB5EF2"/>
    <w:rsid w:val="22EA05C1"/>
    <w:rsid w:val="22FA779A"/>
    <w:rsid w:val="23027D4E"/>
    <w:rsid w:val="230C5350"/>
    <w:rsid w:val="23203542"/>
    <w:rsid w:val="232052B3"/>
    <w:rsid w:val="232313F5"/>
    <w:rsid w:val="235C0774"/>
    <w:rsid w:val="235D44E2"/>
    <w:rsid w:val="236857C8"/>
    <w:rsid w:val="2379775D"/>
    <w:rsid w:val="238D3D60"/>
    <w:rsid w:val="2393640A"/>
    <w:rsid w:val="239D3B02"/>
    <w:rsid w:val="23BF54F9"/>
    <w:rsid w:val="23C15FD1"/>
    <w:rsid w:val="23D15E6F"/>
    <w:rsid w:val="2402075F"/>
    <w:rsid w:val="240A6118"/>
    <w:rsid w:val="242B6FA0"/>
    <w:rsid w:val="243C203B"/>
    <w:rsid w:val="2493685C"/>
    <w:rsid w:val="24A563F4"/>
    <w:rsid w:val="24AB4FD9"/>
    <w:rsid w:val="24E964E8"/>
    <w:rsid w:val="251716E4"/>
    <w:rsid w:val="255045B2"/>
    <w:rsid w:val="255B3C04"/>
    <w:rsid w:val="25622C13"/>
    <w:rsid w:val="25754083"/>
    <w:rsid w:val="257B36FC"/>
    <w:rsid w:val="259B2616"/>
    <w:rsid w:val="259C77F7"/>
    <w:rsid w:val="259D1937"/>
    <w:rsid w:val="25B1070F"/>
    <w:rsid w:val="25B12B77"/>
    <w:rsid w:val="25BC3BB6"/>
    <w:rsid w:val="25D23219"/>
    <w:rsid w:val="25DA68FE"/>
    <w:rsid w:val="25ED205C"/>
    <w:rsid w:val="25FB35B9"/>
    <w:rsid w:val="260131EA"/>
    <w:rsid w:val="26435B6E"/>
    <w:rsid w:val="264F6618"/>
    <w:rsid w:val="26575474"/>
    <w:rsid w:val="265754CC"/>
    <w:rsid w:val="26615CD4"/>
    <w:rsid w:val="26705224"/>
    <w:rsid w:val="26940379"/>
    <w:rsid w:val="26A06E73"/>
    <w:rsid w:val="26AA7CF2"/>
    <w:rsid w:val="26B156D4"/>
    <w:rsid w:val="26DC0EAD"/>
    <w:rsid w:val="26DD7A00"/>
    <w:rsid w:val="2731497E"/>
    <w:rsid w:val="27693709"/>
    <w:rsid w:val="27753B88"/>
    <w:rsid w:val="27921D1A"/>
    <w:rsid w:val="2797304A"/>
    <w:rsid w:val="27A13903"/>
    <w:rsid w:val="27B22093"/>
    <w:rsid w:val="27B5740A"/>
    <w:rsid w:val="27B70844"/>
    <w:rsid w:val="27B92076"/>
    <w:rsid w:val="27D9000A"/>
    <w:rsid w:val="27EC00AA"/>
    <w:rsid w:val="27F52DCC"/>
    <w:rsid w:val="27FB5F98"/>
    <w:rsid w:val="280E35D2"/>
    <w:rsid w:val="28180C8B"/>
    <w:rsid w:val="2844693A"/>
    <w:rsid w:val="28552A8B"/>
    <w:rsid w:val="287D6BEE"/>
    <w:rsid w:val="28814A83"/>
    <w:rsid w:val="2886198F"/>
    <w:rsid w:val="28A0231E"/>
    <w:rsid w:val="28B5314E"/>
    <w:rsid w:val="28B86975"/>
    <w:rsid w:val="28B97DC4"/>
    <w:rsid w:val="28BD180D"/>
    <w:rsid w:val="28C7783A"/>
    <w:rsid w:val="28E534E7"/>
    <w:rsid w:val="28F0787D"/>
    <w:rsid w:val="29014CDB"/>
    <w:rsid w:val="292E01A8"/>
    <w:rsid w:val="293D1D0B"/>
    <w:rsid w:val="29420B46"/>
    <w:rsid w:val="295E5D81"/>
    <w:rsid w:val="296D7344"/>
    <w:rsid w:val="296E704B"/>
    <w:rsid w:val="29780591"/>
    <w:rsid w:val="29934A6D"/>
    <w:rsid w:val="29B042E4"/>
    <w:rsid w:val="29C70504"/>
    <w:rsid w:val="29C73352"/>
    <w:rsid w:val="29D3130E"/>
    <w:rsid w:val="29E96D83"/>
    <w:rsid w:val="29ED2424"/>
    <w:rsid w:val="29F0497A"/>
    <w:rsid w:val="2A00650F"/>
    <w:rsid w:val="2A3F341C"/>
    <w:rsid w:val="2A683E43"/>
    <w:rsid w:val="2A874F90"/>
    <w:rsid w:val="2A924AAB"/>
    <w:rsid w:val="2A9D0851"/>
    <w:rsid w:val="2AA902C1"/>
    <w:rsid w:val="2AC5115D"/>
    <w:rsid w:val="2AFD2916"/>
    <w:rsid w:val="2AFE7BD8"/>
    <w:rsid w:val="2B172C77"/>
    <w:rsid w:val="2B1871F3"/>
    <w:rsid w:val="2B2255E3"/>
    <w:rsid w:val="2B5B47F7"/>
    <w:rsid w:val="2B6366C1"/>
    <w:rsid w:val="2B6B6580"/>
    <w:rsid w:val="2B8A1EA0"/>
    <w:rsid w:val="2BA96DE4"/>
    <w:rsid w:val="2BB41EF3"/>
    <w:rsid w:val="2BC05A58"/>
    <w:rsid w:val="2C015989"/>
    <w:rsid w:val="2C0B23D8"/>
    <w:rsid w:val="2C165D5E"/>
    <w:rsid w:val="2C2450CC"/>
    <w:rsid w:val="2C283529"/>
    <w:rsid w:val="2C365F2E"/>
    <w:rsid w:val="2C4604BD"/>
    <w:rsid w:val="2C580FBB"/>
    <w:rsid w:val="2C820DC9"/>
    <w:rsid w:val="2C9452EB"/>
    <w:rsid w:val="2C972AC7"/>
    <w:rsid w:val="2C995E28"/>
    <w:rsid w:val="2C9D5C03"/>
    <w:rsid w:val="2CAB47C4"/>
    <w:rsid w:val="2CBF6E23"/>
    <w:rsid w:val="2CDE3948"/>
    <w:rsid w:val="2CE06447"/>
    <w:rsid w:val="2CEA17AA"/>
    <w:rsid w:val="2CFD3EB0"/>
    <w:rsid w:val="2D032C37"/>
    <w:rsid w:val="2D0E0013"/>
    <w:rsid w:val="2D2135EE"/>
    <w:rsid w:val="2D3D3057"/>
    <w:rsid w:val="2D4608E8"/>
    <w:rsid w:val="2D6F134E"/>
    <w:rsid w:val="2D724CA7"/>
    <w:rsid w:val="2DA12B22"/>
    <w:rsid w:val="2DB1558B"/>
    <w:rsid w:val="2DB85F9A"/>
    <w:rsid w:val="2DDA3736"/>
    <w:rsid w:val="2DDC09C5"/>
    <w:rsid w:val="2DF45EAB"/>
    <w:rsid w:val="2DFD2DFD"/>
    <w:rsid w:val="2E144AF5"/>
    <w:rsid w:val="2E1819E5"/>
    <w:rsid w:val="2E293517"/>
    <w:rsid w:val="2E65120C"/>
    <w:rsid w:val="2E6E02D1"/>
    <w:rsid w:val="2EA41AE0"/>
    <w:rsid w:val="2EA77975"/>
    <w:rsid w:val="2EA9431C"/>
    <w:rsid w:val="2EB07460"/>
    <w:rsid w:val="2EB122C1"/>
    <w:rsid w:val="2EBF73AF"/>
    <w:rsid w:val="2EDC0C65"/>
    <w:rsid w:val="2EE16EB1"/>
    <w:rsid w:val="2EE26446"/>
    <w:rsid w:val="2EEC3F58"/>
    <w:rsid w:val="2F155475"/>
    <w:rsid w:val="2F29178F"/>
    <w:rsid w:val="2F3A3EF1"/>
    <w:rsid w:val="2F486E57"/>
    <w:rsid w:val="2F4C0B9C"/>
    <w:rsid w:val="2F520F27"/>
    <w:rsid w:val="2F572C17"/>
    <w:rsid w:val="2F596FF1"/>
    <w:rsid w:val="2F6351F5"/>
    <w:rsid w:val="2F8F38A1"/>
    <w:rsid w:val="2F994DA8"/>
    <w:rsid w:val="2FB52526"/>
    <w:rsid w:val="2FBD4D02"/>
    <w:rsid w:val="2FCC3360"/>
    <w:rsid w:val="2FCD159E"/>
    <w:rsid w:val="2FCF3979"/>
    <w:rsid w:val="2FD011B3"/>
    <w:rsid w:val="2FF63FA8"/>
    <w:rsid w:val="30086895"/>
    <w:rsid w:val="302F50C4"/>
    <w:rsid w:val="303334FA"/>
    <w:rsid w:val="303F4207"/>
    <w:rsid w:val="30414686"/>
    <w:rsid w:val="305C2BB0"/>
    <w:rsid w:val="305D1B42"/>
    <w:rsid w:val="3085660D"/>
    <w:rsid w:val="30972FEE"/>
    <w:rsid w:val="30A21A3A"/>
    <w:rsid w:val="30AC57B4"/>
    <w:rsid w:val="30BC18E0"/>
    <w:rsid w:val="30C45E54"/>
    <w:rsid w:val="30E624CF"/>
    <w:rsid w:val="30EF226D"/>
    <w:rsid w:val="312468F3"/>
    <w:rsid w:val="313B4DED"/>
    <w:rsid w:val="313B7B5E"/>
    <w:rsid w:val="314D5E4A"/>
    <w:rsid w:val="31562CFE"/>
    <w:rsid w:val="315D0875"/>
    <w:rsid w:val="315F198E"/>
    <w:rsid w:val="316311C9"/>
    <w:rsid w:val="31666E5A"/>
    <w:rsid w:val="317844FC"/>
    <w:rsid w:val="319A0963"/>
    <w:rsid w:val="31D614B9"/>
    <w:rsid w:val="31D76D98"/>
    <w:rsid w:val="31E3055C"/>
    <w:rsid w:val="31E80CC4"/>
    <w:rsid w:val="321F0859"/>
    <w:rsid w:val="32495490"/>
    <w:rsid w:val="326F1BEE"/>
    <w:rsid w:val="328937F6"/>
    <w:rsid w:val="328C0BF4"/>
    <w:rsid w:val="32AF739F"/>
    <w:rsid w:val="32B11D6B"/>
    <w:rsid w:val="32B819E9"/>
    <w:rsid w:val="32B85545"/>
    <w:rsid w:val="32BF6412"/>
    <w:rsid w:val="32C739DA"/>
    <w:rsid w:val="32DA3AFE"/>
    <w:rsid w:val="32F01183"/>
    <w:rsid w:val="33087974"/>
    <w:rsid w:val="330D6E01"/>
    <w:rsid w:val="33214207"/>
    <w:rsid w:val="33451189"/>
    <w:rsid w:val="33521F74"/>
    <w:rsid w:val="336E5173"/>
    <w:rsid w:val="33AE06F6"/>
    <w:rsid w:val="33C11698"/>
    <w:rsid w:val="33E34843"/>
    <w:rsid w:val="33FB23A5"/>
    <w:rsid w:val="340547BA"/>
    <w:rsid w:val="340D6E22"/>
    <w:rsid w:val="340E1496"/>
    <w:rsid w:val="341B5D8B"/>
    <w:rsid w:val="34475FA0"/>
    <w:rsid w:val="34845AD1"/>
    <w:rsid w:val="3499622F"/>
    <w:rsid w:val="349B5E4F"/>
    <w:rsid w:val="34A57D4B"/>
    <w:rsid w:val="34AC32ED"/>
    <w:rsid w:val="34B7551F"/>
    <w:rsid w:val="34F80FB8"/>
    <w:rsid w:val="3500231B"/>
    <w:rsid w:val="350031D3"/>
    <w:rsid w:val="353D5303"/>
    <w:rsid w:val="357F2070"/>
    <w:rsid w:val="358113B5"/>
    <w:rsid w:val="3581329E"/>
    <w:rsid w:val="358A2628"/>
    <w:rsid w:val="35941D23"/>
    <w:rsid w:val="35BB3842"/>
    <w:rsid w:val="35EA1E4C"/>
    <w:rsid w:val="35EE2046"/>
    <w:rsid w:val="361975F0"/>
    <w:rsid w:val="36260F6E"/>
    <w:rsid w:val="362A7D2D"/>
    <w:rsid w:val="362C50F3"/>
    <w:rsid w:val="36413AA3"/>
    <w:rsid w:val="3665224C"/>
    <w:rsid w:val="36666714"/>
    <w:rsid w:val="369045E0"/>
    <w:rsid w:val="369B459C"/>
    <w:rsid w:val="374E0226"/>
    <w:rsid w:val="376C52A2"/>
    <w:rsid w:val="37721F02"/>
    <w:rsid w:val="3786057F"/>
    <w:rsid w:val="378671F7"/>
    <w:rsid w:val="37A8139A"/>
    <w:rsid w:val="37B94697"/>
    <w:rsid w:val="37D6799F"/>
    <w:rsid w:val="37D92540"/>
    <w:rsid w:val="37ED0850"/>
    <w:rsid w:val="37F25055"/>
    <w:rsid w:val="38177737"/>
    <w:rsid w:val="38293B60"/>
    <w:rsid w:val="382D72D9"/>
    <w:rsid w:val="38342C58"/>
    <w:rsid w:val="38AA3B82"/>
    <w:rsid w:val="38CB4782"/>
    <w:rsid w:val="38D330D8"/>
    <w:rsid w:val="38EC2374"/>
    <w:rsid w:val="38F201D7"/>
    <w:rsid w:val="39041B17"/>
    <w:rsid w:val="391C5366"/>
    <w:rsid w:val="3923325A"/>
    <w:rsid w:val="39697599"/>
    <w:rsid w:val="397A08A5"/>
    <w:rsid w:val="39B54B0D"/>
    <w:rsid w:val="39BA4569"/>
    <w:rsid w:val="39D45192"/>
    <w:rsid w:val="39FA1E0C"/>
    <w:rsid w:val="3A211C0B"/>
    <w:rsid w:val="3A2F6D7D"/>
    <w:rsid w:val="3A407A2E"/>
    <w:rsid w:val="3A571AC6"/>
    <w:rsid w:val="3A626A76"/>
    <w:rsid w:val="3A696247"/>
    <w:rsid w:val="3A6A49E2"/>
    <w:rsid w:val="3A875FCD"/>
    <w:rsid w:val="3AB17012"/>
    <w:rsid w:val="3AC84793"/>
    <w:rsid w:val="3B155E3F"/>
    <w:rsid w:val="3B157ECD"/>
    <w:rsid w:val="3B2B0729"/>
    <w:rsid w:val="3B380C0D"/>
    <w:rsid w:val="3B4A3312"/>
    <w:rsid w:val="3B516536"/>
    <w:rsid w:val="3B5F0C53"/>
    <w:rsid w:val="3B693880"/>
    <w:rsid w:val="3B854432"/>
    <w:rsid w:val="3BAA1905"/>
    <w:rsid w:val="3BAE3989"/>
    <w:rsid w:val="3BAF3257"/>
    <w:rsid w:val="3BB650FD"/>
    <w:rsid w:val="3BB85D78"/>
    <w:rsid w:val="3BC041DC"/>
    <w:rsid w:val="3BC35686"/>
    <w:rsid w:val="3BD43417"/>
    <w:rsid w:val="3BE05EF3"/>
    <w:rsid w:val="3C025A83"/>
    <w:rsid w:val="3C1214E2"/>
    <w:rsid w:val="3C145496"/>
    <w:rsid w:val="3C18631A"/>
    <w:rsid w:val="3C340332"/>
    <w:rsid w:val="3C37397E"/>
    <w:rsid w:val="3C812767"/>
    <w:rsid w:val="3C934705"/>
    <w:rsid w:val="3C977C82"/>
    <w:rsid w:val="3CA20495"/>
    <w:rsid w:val="3CBD5607"/>
    <w:rsid w:val="3CEA63B8"/>
    <w:rsid w:val="3D265397"/>
    <w:rsid w:val="3D484A54"/>
    <w:rsid w:val="3D51039F"/>
    <w:rsid w:val="3D746BA0"/>
    <w:rsid w:val="3D861A33"/>
    <w:rsid w:val="3D997F87"/>
    <w:rsid w:val="3DA12F7D"/>
    <w:rsid w:val="3DE87D1F"/>
    <w:rsid w:val="3DE9514C"/>
    <w:rsid w:val="3DF17B5D"/>
    <w:rsid w:val="3E025C06"/>
    <w:rsid w:val="3E0F0E93"/>
    <w:rsid w:val="3E29379B"/>
    <w:rsid w:val="3E501767"/>
    <w:rsid w:val="3E6253B4"/>
    <w:rsid w:val="3E6E73FF"/>
    <w:rsid w:val="3E7171C3"/>
    <w:rsid w:val="3E894239"/>
    <w:rsid w:val="3E9D0594"/>
    <w:rsid w:val="3EA90A54"/>
    <w:rsid w:val="3EBB305E"/>
    <w:rsid w:val="3ED656D0"/>
    <w:rsid w:val="3EDD3770"/>
    <w:rsid w:val="3EED5B01"/>
    <w:rsid w:val="3EF36CB8"/>
    <w:rsid w:val="3F0A537A"/>
    <w:rsid w:val="3F1B5FEF"/>
    <w:rsid w:val="3F2A41F9"/>
    <w:rsid w:val="3F3D51BC"/>
    <w:rsid w:val="3F442F49"/>
    <w:rsid w:val="3F5B3E28"/>
    <w:rsid w:val="3F795F1D"/>
    <w:rsid w:val="3F9A1D8B"/>
    <w:rsid w:val="3F9C6E2B"/>
    <w:rsid w:val="3FB765D7"/>
    <w:rsid w:val="3FF725DA"/>
    <w:rsid w:val="400C0C7E"/>
    <w:rsid w:val="40123F0E"/>
    <w:rsid w:val="40364CA5"/>
    <w:rsid w:val="40707CC2"/>
    <w:rsid w:val="40761110"/>
    <w:rsid w:val="40856FC5"/>
    <w:rsid w:val="40864F8F"/>
    <w:rsid w:val="4087290F"/>
    <w:rsid w:val="409361C4"/>
    <w:rsid w:val="409B3CAE"/>
    <w:rsid w:val="40AE2CE9"/>
    <w:rsid w:val="40C31A4B"/>
    <w:rsid w:val="40DA6C81"/>
    <w:rsid w:val="40E34290"/>
    <w:rsid w:val="41040A5E"/>
    <w:rsid w:val="411057B1"/>
    <w:rsid w:val="412014A7"/>
    <w:rsid w:val="412A3AB2"/>
    <w:rsid w:val="414B6B2E"/>
    <w:rsid w:val="41605725"/>
    <w:rsid w:val="416965B3"/>
    <w:rsid w:val="416C126A"/>
    <w:rsid w:val="416E6CBE"/>
    <w:rsid w:val="41847666"/>
    <w:rsid w:val="41984F07"/>
    <w:rsid w:val="41C8080C"/>
    <w:rsid w:val="41FA7324"/>
    <w:rsid w:val="41FE4209"/>
    <w:rsid w:val="42106896"/>
    <w:rsid w:val="425B1BB9"/>
    <w:rsid w:val="427F7E2D"/>
    <w:rsid w:val="428142D4"/>
    <w:rsid w:val="42815953"/>
    <w:rsid w:val="42A44D37"/>
    <w:rsid w:val="42C52901"/>
    <w:rsid w:val="42C812F1"/>
    <w:rsid w:val="42F20F80"/>
    <w:rsid w:val="42F468B7"/>
    <w:rsid w:val="430D7573"/>
    <w:rsid w:val="43144A19"/>
    <w:rsid w:val="431A0CC7"/>
    <w:rsid w:val="4320516C"/>
    <w:rsid w:val="43410FD0"/>
    <w:rsid w:val="43454BD3"/>
    <w:rsid w:val="43491251"/>
    <w:rsid w:val="434A053E"/>
    <w:rsid w:val="435272F0"/>
    <w:rsid w:val="439F5B10"/>
    <w:rsid w:val="43A0005B"/>
    <w:rsid w:val="43B41C41"/>
    <w:rsid w:val="43BB30E7"/>
    <w:rsid w:val="43DE620A"/>
    <w:rsid w:val="43E46B37"/>
    <w:rsid w:val="44042A61"/>
    <w:rsid w:val="4407106E"/>
    <w:rsid w:val="4407282D"/>
    <w:rsid w:val="440A6D66"/>
    <w:rsid w:val="441D041C"/>
    <w:rsid w:val="442224C6"/>
    <w:rsid w:val="442A23A5"/>
    <w:rsid w:val="444162D1"/>
    <w:rsid w:val="446E1F07"/>
    <w:rsid w:val="449432F8"/>
    <w:rsid w:val="449F0E14"/>
    <w:rsid w:val="44A658DB"/>
    <w:rsid w:val="44B21FBC"/>
    <w:rsid w:val="44B85878"/>
    <w:rsid w:val="44CB0CC9"/>
    <w:rsid w:val="44F308DD"/>
    <w:rsid w:val="450373A3"/>
    <w:rsid w:val="45195EC5"/>
    <w:rsid w:val="456F5F37"/>
    <w:rsid w:val="45885A62"/>
    <w:rsid w:val="45B32999"/>
    <w:rsid w:val="45FE7882"/>
    <w:rsid w:val="46316B9A"/>
    <w:rsid w:val="46353A90"/>
    <w:rsid w:val="463E3B5B"/>
    <w:rsid w:val="46504038"/>
    <w:rsid w:val="466B5997"/>
    <w:rsid w:val="467F1009"/>
    <w:rsid w:val="46936020"/>
    <w:rsid w:val="46B07049"/>
    <w:rsid w:val="46BA1434"/>
    <w:rsid w:val="46C47518"/>
    <w:rsid w:val="46D149CF"/>
    <w:rsid w:val="46F31E5A"/>
    <w:rsid w:val="47044DA5"/>
    <w:rsid w:val="4719443C"/>
    <w:rsid w:val="472C432F"/>
    <w:rsid w:val="472E709C"/>
    <w:rsid w:val="476164D0"/>
    <w:rsid w:val="477B4D9F"/>
    <w:rsid w:val="478D621F"/>
    <w:rsid w:val="47BA667F"/>
    <w:rsid w:val="47F90E64"/>
    <w:rsid w:val="480E00CC"/>
    <w:rsid w:val="48266353"/>
    <w:rsid w:val="482A21EF"/>
    <w:rsid w:val="483100AC"/>
    <w:rsid w:val="487344BE"/>
    <w:rsid w:val="48907B7D"/>
    <w:rsid w:val="48C83770"/>
    <w:rsid w:val="48D93A13"/>
    <w:rsid w:val="48E5096A"/>
    <w:rsid w:val="491F7C74"/>
    <w:rsid w:val="492273B8"/>
    <w:rsid w:val="493267ED"/>
    <w:rsid w:val="493F3E51"/>
    <w:rsid w:val="494D6479"/>
    <w:rsid w:val="495C7150"/>
    <w:rsid w:val="49691D6D"/>
    <w:rsid w:val="496B2C2B"/>
    <w:rsid w:val="497A426C"/>
    <w:rsid w:val="498A4BF8"/>
    <w:rsid w:val="499917D4"/>
    <w:rsid w:val="49A50DAC"/>
    <w:rsid w:val="49AB21BF"/>
    <w:rsid w:val="49AF73F4"/>
    <w:rsid w:val="49BF64BD"/>
    <w:rsid w:val="49C445A1"/>
    <w:rsid w:val="49C6619F"/>
    <w:rsid w:val="49D8310C"/>
    <w:rsid w:val="49FA6CF3"/>
    <w:rsid w:val="4A0D040E"/>
    <w:rsid w:val="4A1807EF"/>
    <w:rsid w:val="4A3D0AF3"/>
    <w:rsid w:val="4A402CC2"/>
    <w:rsid w:val="4A5E5ECC"/>
    <w:rsid w:val="4A75688F"/>
    <w:rsid w:val="4A9753A6"/>
    <w:rsid w:val="4AAC61EB"/>
    <w:rsid w:val="4AB703EF"/>
    <w:rsid w:val="4ADF55D9"/>
    <w:rsid w:val="4AE0056A"/>
    <w:rsid w:val="4AE60CF3"/>
    <w:rsid w:val="4B054C48"/>
    <w:rsid w:val="4B337ABC"/>
    <w:rsid w:val="4B383B38"/>
    <w:rsid w:val="4B3B78E8"/>
    <w:rsid w:val="4B434D6C"/>
    <w:rsid w:val="4B5F43D1"/>
    <w:rsid w:val="4B6338E3"/>
    <w:rsid w:val="4B7452C3"/>
    <w:rsid w:val="4B831796"/>
    <w:rsid w:val="4B9E4145"/>
    <w:rsid w:val="4BC12737"/>
    <w:rsid w:val="4BD17F74"/>
    <w:rsid w:val="4BD5286C"/>
    <w:rsid w:val="4BE80C94"/>
    <w:rsid w:val="4BF54CBC"/>
    <w:rsid w:val="4C117B7D"/>
    <w:rsid w:val="4C461C46"/>
    <w:rsid w:val="4C62061F"/>
    <w:rsid w:val="4CA54934"/>
    <w:rsid w:val="4CB94B39"/>
    <w:rsid w:val="4CC96874"/>
    <w:rsid w:val="4CF907DC"/>
    <w:rsid w:val="4D0B421B"/>
    <w:rsid w:val="4D235AFB"/>
    <w:rsid w:val="4D2524E2"/>
    <w:rsid w:val="4D261F37"/>
    <w:rsid w:val="4D2A6229"/>
    <w:rsid w:val="4D2D62EB"/>
    <w:rsid w:val="4D3A4F19"/>
    <w:rsid w:val="4D3B16E3"/>
    <w:rsid w:val="4D457224"/>
    <w:rsid w:val="4D4E1D66"/>
    <w:rsid w:val="4D724051"/>
    <w:rsid w:val="4D804F8C"/>
    <w:rsid w:val="4D8E61FB"/>
    <w:rsid w:val="4D9B1A27"/>
    <w:rsid w:val="4D9D79DA"/>
    <w:rsid w:val="4DA12297"/>
    <w:rsid w:val="4DCB3F26"/>
    <w:rsid w:val="4DD22288"/>
    <w:rsid w:val="4DDA2D9C"/>
    <w:rsid w:val="4DE80728"/>
    <w:rsid w:val="4DEC6898"/>
    <w:rsid w:val="4DED632E"/>
    <w:rsid w:val="4DF63991"/>
    <w:rsid w:val="4DFE1A81"/>
    <w:rsid w:val="4E13108B"/>
    <w:rsid w:val="4E185B3D"/>
    <w:rsid w:val="4E2515A1"/>
    <w:rsid w:val="4E2B4C4C"/>
    <w:rsid w:val="4E3F7DE0"/>
    <w:rsid w:val="4E554222"/>
    <w:rsid w:val="4E5972CE"/>
    <w:rsid w:val="4E6313FB"/>
    <w:rsid w:val="4E6B160F"/>
    <w:rsid w:val="4E8B74A0"/>
    <w:rsid w:val="4E9F322F"/>
    <w:rsid w:val="4EB156B2"/>
    <w:rsid w:val="4EC2658F"/>
    <w:rsid w:val="4EC73261"/>
    <w:rsid w:val="4ECD5240"/>
    <w:rsid w:val="4ED15823"/>
    <w:rsid w:val="4EED094E"/>
    <w:rsid w:val="4F0948DA"/>
    <w:rsid w:val="4F257D84"/>
    <w:rsid w:val="4F2E690C"/>
    <w:rsid w:val="4F343D4D"/>
    <w:rsid w:val="4F460A77"/>
    <w:rsid w:val="4F4A55D4"/>
    <w:rsid w:val="4F747B77"/>
    <w:rsid w:val="4F791856"/>
    <w:rsid w:val="4F91170B"/>
    <w:rsid w:val="4FA966B4"/>
    <w:rsid w:val="4FB84810"/>
    <w:rsid w:val="4FB95338"/>
    <w:rsid w:val="4FBA0DCA"/>
    <w:rsid w:val="4FBE4762"/>
    <w:rsid w:val="4FFA3C5B"/>
    <w:rsid w:val="501F462F"/>
    <w:rsid w:val="502C27BD"/>
    <w:rsid w:val="502F2E92"/>
    <w:rsid w:val="5039786D"/>
    <w:rsid w:val="50403561"/>
    <w:rsid w:val="50586EC8"/>
    <w:rsid w:val="505C6D00"/>
    <w:rsid w:val="50753B17"/>
    <w:rsid w:val="507C2595"/>
    <w:rsid w:val="508B0928"/>
    <w:rsid w:val="508C6AA6"/>
    <w:rsid w:val="50BB2978"/>
    <w:rsid w:val="50DB3EB6"/>
    <w:rsid w:val="50DB47D9"/>
    <w:rsid w:val="50DB6B76"/>
    <w:rsid w:val="50E05C1F"/>
    <w:rsid w:val="50F454EC"/>
    <w:rsid w:val="5103143F"/>
    <w:rsid w:val="51062C1B"/>
    <w:rsid w:val="511A4495"/>
    <w:rsid w:val="512E314A"/>
    <w:rsid w:val="513059A2"/>
    <w:rsid w:val="513E2C61"/>
    <w:rsid w:val="514951D3"/>
    <w:rsid w:val="51542485"/>
    <w:rsid w:val="51894669"/>
    <w:rsid w:val="51AE7DE7"/>
    <w:rsid w:val="51BF443D"/>
    <w:rsid w:val="51D50DD6"/>
    <w:rsid w:val="51D57A6A"/>
    <w:rsid w:val="51E07226"/>
    <w:rsid w:val="51EE4F7D"/>
    <w:rsid w:val="51FD272C"/>
    <w:rsid w:val="523D1F17"/>
    <w:rsid w:val="52417FA5"/>
    <w:rsid w:val="524721A3"/>
    <w:rsid w:val="52493BE5"/>
    <w:rsid w:val="52952D55"/>
    <w:rsid w:val="52976ACD"/>
    <w:rsid w:val="529E3BED"/>
    <w:rsid w:val="52A37C3C"/>
    <w:rsid w:val="52B21B59"/>
    <w:rsid w:val="52DD5552"/>
    <w:rsid w:val="52EB65EF"/>
    <w:rsid w:val="52EC6E19"/>
    <w:rsid w:val="52ED535B"/>
    <w:rsid w:val="52F80F6C"/>
    <w:rsid w:val="52FB05DD"/>
    <w:rsid w:val="53110C93"/>
    <w:rsid w:val="5316459C"/>
    <w:rsid w:val="532B1A01"/>
    <w:rsid w:val="5339717F"/>
    <w:rsid w:val="533D0066"/>
    <w:rsid w:val="534702D4"/>
    <w:rsid w:val="53682151"/>
    <w:rsid w:val="536A7EC7"/>
    <w:rsid w:val="537E34C3"/>
    <w:rsid w:val="53960EF5"/>
    <w:rsid w:val="53962933"/>
    <w:rsid w:val="53970F8F"/>
    <w:rsid w:val="539B581E"/>
    <w:rsid w:val="53B0087D"/>
    <w:rsid w:val="53BB2150"/>
    <w:rsid w:val="53F00B8B"/>
    <w:rsid w:val="540A3C52"/>
    <w:rsid w:val="541127E8"/>
    <w:rsid w:val="542362A5"/>
    <w:rsid w:val="54273085"/>
    <w:rsid w:val="543A42B8"/>
    <w:rsid w:val="543D5452"/>
    <w:rsid w:val="54461978"/>
    <w:rsid w:val="544B6073"/>
    <w:rsid w:val="54512D1B"/>
    <w:rsid w:val="54540320"/>
    <w:rsid w:val="54684D4C"/>
    <w:rsid w:val="54A75C14"/>
    <w:rsid w:val="54E12281"/>
    <w:rsid w:val="54E7373D"/>
    <w:rsid w:val="54EB4EAE"/>
    <w:rsid w:val="54F31AB6"/>
    <w:rsid w:val="54FE3FF1"/>
    <w:rsid w:val="55262A58"/>
    <w:rsid w:val="55326F81"/>
    <w:rsid w:val="5534072D"/>
    <w:rsid w:val="55517502"/>
    <w:rsid w:val="55530C3C"/>
    <w:rsid w:val="55A37293"/>
    <w:rsid w:val="55BA31FE"/>
    <w:rsid w:val="55FD3462"/>
    <w:rsid w:val="56146FEB"/>
    <w:rsid w:val="562468CA"/>
    <w:rsid w:val="562966B1"/>
    <w:rsid w:val="56327239"/>
    <w:rsid w:val="56362DB6"/>
    <w:rsid w:val="56396D87"/>
    <w:rsid w:val="566C73E3"/>
    <w:rsid w:val="56803504"/>
    <w:rsid w:val="56A42F7F"/>
    <w:rsid w:val="56A562FD"/>
    <w:rsid w:val="56B74568"/>
    <w:rsid w:val="56D314B6"/>
    <w:rsid w:val="56E458CB"/>
    <w:rsid w:val="56E568B0"/>
    <w:rsid w:val="56EC52F3"/>
    <w:rsid w:val="573E39BB"/>
    <w:rsid w:val="57517DC9"/>
    <w:rsid w:val="57521BC7"/>
    <w:rsid w:val="575D4A77"/>
    <w:rsid w:val="576B4E8E"/>
    <w:rsid w:val="57803B24"/>
    <w:rsid w:val="57803FD4"/>
    <w:rsid w:val="57972CB8"/>
    <w:rsid w:val="579F1F13"/>
    <w:rsid w:val="57B91DA5"/>
    <w:rsid w:val="57DC2A49"/>
    <w:rsid w:val="57F91240"/>
    <w:rsid w:val="580C6D7B"/>
    <w:rsid w:val="58255BFA"/>
    <w:rsid w:val="582C4EC1"/>
    <w:rsid w:val="58536FD9"/>
    <w:rsid w:val="58622941"/>
    <w:rsid w:val="58643B01"/>
    <w:rsid w:val="586B7496"/>
    <w:rsid w:val="587C531E"/>
    <w:rsid w:val="58815057"/>
    <w:rsid w:val="58947D5E"/>
    <w:rsid w:val="58AB6E2E"/>
    <w:rsid w:val="58B214FA"/>
    <w:rsid w:val="58C34E88"/>
    <w:rsid w:val="58D31068"/>
    <w:rsid w:val="58D86244"/>
    <w:rsid w:val="58EB1921"/>
    <w:rsid w:val="58EB2CD9"/>
    <w:rsid w:val="59013E59"/>
    <w:rsid w:val="5919023C"/>
    <w:rsid w:val="591C1458"/>
    <w:rsid w:val="59392F0E"/>
    <w:rsid w:val="594C6615"/>
    <w:rsid w:val="59543B16"/>
    <w:rsid w:val="59635CB0"/>
    <w:rsid w:val="5963738C"/>
    <w:rsid w:val="59876129"/>
    <w:rsid w:val="59967ADE"/>
    <w:rsid w:val="599F0FC0"/>
    <w:rsid w:val="59DA32C4"/>
    <w:rsid w:val="59ED4F22"/>
    <w:rsid w:val="5A0A5DD6"/>
    <w:rsid w:val="5A1F6956"/>
    <w:rsid w:val="5A2412FA"/>
    <w:rsid w:val="5A3966BC"/>
    <w:rsid w:val="5A4C2893"/>
    <w:rsid w:val="5A4C63EF"/>
    <w:rsid w:val="5A5534F6"/>
    <w:rsid w:val="5A796118"/>
    <w:rsid w:val="5AA12BDF"/>
    <w:rsid w:val="5AA12E24"/>
    <w:rsid w:val="5ABE0331"/>
    <w:rsid w:val="5ADD27D0"/>
    <w:rsid w:val="5AE20B01"/>
    <w:rsid w:val="5AEC2A00"/>
    <w:rsid w:val="5B1038C0"/>
    <w:rsid w:val="5B311173"/>
    <w:rsid w:val="5B411CCC"/>
    <w:rsid w:val="5B4160B0"/>
    <w:rsid w:val="5B42323E"/>
    <w:rsid w:val="5B4E481E"/>
    <w:rsid w:val="5B4F6A8E"/>
    <w:rsid w:val="5B646ED1"/>
    <w:rsid w:val="5B676976"/>
    <w:rsid w:val="5BB719F9"/>
    <w:rsid w:val="5BBA4800"/>
    <w:rsid w:val="5BD32D6E"/>
    <w:rsid w:val="5BD65D5C"/>
    <w:rsid w:val="5BD82550"/>
    <w:rsid w:val="5BF46E77"/>
    <w:rsid w:val="5BF97E99"/>
    <w:rsid w:val="5BFA1949"/>
    <w:rsid w:val="5C05719D"/>
    <w:rsid w:val="5C0F29D8"/>
    <w:rsid w:val="5C2C05D9"/>
    <w:rsid w:val="5C4759BF"/>
    <w:rsid w:val="5C556E53"/>
    <w:rsid w:val="5C8258D8"/>
    <w:rsid w:val="5C866A3F"/>
    <w:rsid w:val="5CA83425"/>
    <w:rsid w:val="5CAD11D1"/>
    <w:rsid w:val="5CB12D31"/>
    <w:rsid w:val="5CB8619A"/>
    <w:rsid w:val="5CCF76C9"/>
    <w:rsid w:val="5D04115A"/>
    <w:rsid w:val="5D0B1600"/>
    <w:rsid w:val="5D181A00"/>
    <w:rsid w:val="5D227A80"/>
    <w:rsid w:val="5D2C3D36"/>
    <w:rsid w:val="5D2E5EA8"/>
    <w:rsid w:val="5D3F048D"/>
    <w:rsid w:val="5D6F56A9"/>
    <w:rsid w:val="5D7B4A1E"/>
    <w:rsid w:val="5D8748D3"/>
    <w:rsid w:val="5D973E25"/>
    <w:rsid w:val="5DA531DF"/>
    <w:rsid w:val="5DF272AD"/>
    <w:rsid w:val="5DFE1287"/>
    <w:rsid w:val="5E0D2B1E"/>
    <w:rsid w:val="5E197CFB"/>
    <w:rsid w:val="5E3C677A"/>
    <w:rsid w:val="5E404D1C"/>
    <w:rsid w:val="5E441119"/>
    <w:rsid w:val="5E604A71"/>
    <w:rsid w:val="5E6229F6"/>
    <w:rsid w:val="5E701F85"/>
    <w:rsid w:val="5EB50A07"/>
    <w:rsid w:val="5ECE56D2"/>
    <w:rsid w:val="5EDD3F73"/>
    <w:rsid w:val="5EDF45D6"/>
    <w:rsid w:val="5EE000A3"/>
    <w:rsid w:val="5EE61F33"/>
    <w:rsid w:val="5EF3065B"/>
    <w:rsid w:val="5F033E46"/>
    <w:rsid w:val="5F10721B"/>
    <w:rsid w:val="5F192375"/>
    <w:rsid w:val="5F386D8E"/>
    <w:rsid w:val="5F3A0F0C"/>
    <w:rsid w:val="5F49114F"/>
    <w:rsid w:val="5F5E4080"/>
    <w:rsid w:val="5F683CCB"/>
    <w:rsid w:val="5F813C55"/>
    <w:rsid w:val="5F851ACB"/>
    <w:rsid w:val="5FA25B22"/>
    <w:rsid w:val="5FBC0493"/>
    <w:rsid w:val="5FE349C2"/>
    <w:rsid w:val="5FE60E0B"/>
    <w:rsid w:val="5FFE462F"/>
    <w:rsid w:val="604A19DC"/>
    <w:rsid w:val="60523186"/>
    <w:rsid w:val="60536729"/>
    <w:rsid w:val="606D6DE0"/>
    <w:rsid w:val="607641C6"/>
    <w:rsid w:val="60A35690"/>
    <w:rsid w:val="60BE5811"/>
    <w:rsid w:val="60F35816"/>
    <w:rsid w:val="61302E64"/>
    <w:rsid w:val="61437B7E"/>
    <w:rsid w:val="615238B1"/>
    <w:rsid w:val="6175447D"/>
    <w:rsid w:val="61882403"/>
    <w:rsid w:val="619E175B"/>
    <w:rsid w:val="61A151B6"/>
    <w:rsid w:val="61C3343B"/>
    <w:rsid w:val="61CB0AD4"/>
    <w:rsid w:val="620463B1"/>
    <w:rsid w:val="6208119A"/>
    <w:rsid w:val="62153852"/>
    <w:rsid w:val="621565A3"/>
    <w:rsid w:val="62223D7A"/>
    <w:rsid w:val="622D7DC7"/>
    <w:rsid w:val="62594F2C"/>
    <w:rsid w:val="62736998"/>
    <w:rsid w:val="628F2C23"/>
    <w:rsid w:val="62963B64"/>
    <w:rsid w:val="62B861C5"/>
    <w:rsid w:val="62C42F92"/>
    <w:rsid w:val="62C7728A"/>
    <w:rsid w:val="62CE7C65"/>
    <w:rsid w:val="62ED08B8"/>
    <w:rsid w:val="62F6339C"/>
    <w:rsid w:val="63252675"/>
    <w:rsid w:val="632F7C3B"/>
    <w:rsid w:val="63316ACA"/>
    <w:rsid w:val="63472FA8"/>
    <w:rsid w:val="636A603A"/>
    <w:rsid w:val="6371394A"/>
    <w:rsid w:val="637E4F78"/>
    <w:rsid w:val="639B3D7F"/>
    <w:rsid w:val="639F19FC"/>
    <w:rsid w:val="63A8247C"/>
    <w:rsid w:val="63C0151E"/>
    <w:rsid w:val="63C740FD"/>
    <w:rsid w:val="63CB07F7"/>
    <w:rsid w:val="63CB2A7A"/>
    <w:rsid w:val="63CB4828"/>
    <w:rsid w:val="63E97089"/>
    <w:rsid w:val="63EA36CE"/>
    <w:rsid w:val="63EA66EC"/>
    <w:rsid w:val="63FA3360"/>
    <w:rsid w:val="64397DD4"/>
    <w:rsid w:val="64403998"/>
    <w:rsid w:val="64433A80"/>
    <w:rsid w:val="644B5969"/>
    <w:rsid w:val="647357A6"/>
    <w:rsid w:val="647452F7"/>
    <w:rsid w:val="647E7B51"/>
    <w:rsid w:val="647F035E"/>
    <w:rsid w:val="64B45039"/>
    <w:rsid w:val="64E421D7"/>
    <w:rsid w:val="64FB1B3C"/>
    <w:rsid w:val="650A75D2"/>
    <w:rsid w:val="65297A59"/>
    <w:rsid w:val="65604124"/>
    <w:rsid w:val="656A38BF"/>
    <w:rsid w:val="65824191"/>
    <w:rsid w:val="65856F1D"/>
    <w:rsid w:val="658579FE"/>
    <w:rsid w:val="65A33FC7"/>
    <w:rsid w:val="65B27D31"/>
    <w:rsid w:val="65B66A7F"/>
    <w:rsid w:val="65DE1993"/>
    <w:rsid w:val="66287D10"/>
    <w:rsid w:val="664E23F6"/>
    <w:rsid w:val="66615387"/>
    <w:rsid w:val="666676F7"/>
    <w:rsid w:val="667A54D2"/>
    <w:rsid w:val="66810F6F"/>
    <w:rsid w:val="668313EA"/>
    <w:rsid w:val="66894CCC"/>
    <w:rsid w:val="66A80E51"/>
    <w:rsid w:val="66B56861"/>
    <w:rsid w:val="66B96DA9"/>
    <w:rsid w:val="66E20A12"/>
    <w:rsid w:val="670378F6"/>
    <w:rsid w:val="67044C14"/>
    <w:rsid w:val="671B5305"/>
    <w:rsid w:val="671E15F6"/>
    <w:rsid w:val="672A1360"/>
    <w:rsid w:val="67425793"/>
    <w:rsid w:val="6742769D"/>
    <w:rsid w:val="674414D9"/>
    <w:rsid w:val="67674868"/>
    <w:rsid w:val="676C5425"/>
    <w:rsid w:val="677C3AAE"/>
    <w:rsid w:val="67945075"/>
    <w:rsid w:val="67971869"/>
    <w:rsid w:val="67C95523"/>
    <w:rsid w:val="67DD4B02"/>
    <w:rsid w:val="67E5641F"/>
    <w:rsid w:val="68055A67"/>
    <w:rsid w:val="681220D8"/>
    <w:rsid w:val="68255AF2"/>
    <w:rsid w:val="68595EE4"/>
    <w:rsid w:val="685A7522"/>
    <w:rsid w:val="68617E5A"/>
    <w:rsid w:val="68630320"/>
    <w:rsid w:val="689C2C37"/>
    <w:rsid w:val="68CA0341"/>
    <w:rsid w:val="68CE3453"/>
    <w:rsid w:val="68F32214"/>
    <w:rsid w:val="69074ABA"/>
    <w:rsid w:val="693C3264"/>
    <w:rsid w:val="694B5BC5"/>
    <w:rsid w:val="694B7F95"/>
    <w:rsid w:val="6955518E"/>
    <w:rsid w:val="6958090C"/>
    <w:rsid w:val="69621F1C"/>
    <w:rsid w:val="69704EEF"/>
    <w:rsid w:val="69860E7C"/>
    <w:rsid w:val="699D4495"/>
    <w:rsid w:val="69AE4A9D"/>
    <w:rsid w:val="69C46D1A"/>
    <w:rsid w:val="69C75A92"/>
    <w:rsid w:val="69E95A08"/>
    <w:rsid w:val="69EA4DEB"/>
    <w:rsid w:val="6A310DC4"/>
    <w:rsid w:val="6A386564"/>
    <w:rsid w:val="6A4470E3"/>
    <w:rsid w:val="6A660D2C"/>
    <w:rsid w:val="6A7433A9"/>
    <w:rsid w:val="6A8708A6"/>
    <w:rsid w:val="6AA85390"/>
    <w:rsid w:val="6AAF57BB"/>
    <w:rsid w:val="6AB34F41"/>
    <w:rsid w:val="6AC029BD"/>
    <w:rsid w:val="6AD761A9"/>
    <w:rsid w:val="6AF15240"/>
    <w:rsid w:val="6AFF4E74"/>
    <w:rsid w:val="6B17205A"/>
    <w:rsid w:val="6B261E4C"/>
    <w:rsid w:val="6B453112"/>
    <w:rsid w:val="6B4B024C"/>
    <w:rsid w:val="6B6C4B43"/>
    <w:rsid w:val="6B6F7992"/>
    <w:rsid w:val="6B785296"/>
    <w:rsid w:val="6B836826"/>
    <w:rsid w:val="6B894F68"/>
    <w:rsid w:val="6B945E48"/>
    <w:rsid w:val="6BA51CB8"/>
    <w:rsid w:val="6BB246E2"/>
    <w:rsid w:val="6BB86D64"/>
    <w:rsid w:val="6BC65577"/>
    <w:rsid w:val="6BC9782A"/>
    <w:rsid w:val="6BD2256C"/>
    <w:rsid w:val="6BD35F2D"/>
    <w:rsid w:val="6BE32FA2"/>
    <w:rsid w:val="6C247DB6"/>
    <w:rsid w:val="6C3A079D"/>
    <w:rsid w:val="6C4663A0"/>
    <w:rsid w:val="6C696788"/>
    <w:rsid w:val="6C7A39C9"/>
    <w:rsid w:val="6C7D5292"/>
    <w:rsid w:val="6CA44DF2"/>
    <w:rsid w:val="6CA7448E"/>
    <w:rsid w:val="6CAB169B"/>
    <w:rsid w:val="6CB02608"/>
    <w:rsid w:val="6CBE654B"/>
    <w:rsid w:val="6CD91C43"/>
    <w:rsid w:val="6D03446E"/>
    <w:rsid w:val="6D1C566E"/>
    <w:rsid w:val="6D1F075D"/>
    <w:rsid w:val="6D257FA0"/>
    <w:rsid w:val="6D3614F2"/>
    <w:rsid w:val="6D3E2288"/>
    <w:rsid w:val="6D473593"/>
    <w:rsid w:val="6D487E19"/>
    <w:rsid w:val="6D843221"/>
    <w:rsid w:val="6D856E62"/>
    <w:rsid w:val="6DC35806"/>
    <w:rsid w:val="6DC40E88"/>
    <w:rsid w:val="6DC87DFA"/>
    <w:rsid w:val="6DCA0C8F"/>
    <w:rsid w:val="6DE244ED"/>
    <w:rsid w:val="6DF8036A"/>
    <w:rsid w:val="6E0B7DC6"/>
    <w:rsid w:val="6E35746E"/>
    <w:rsid w:val="6E492F1A"/>
    <w:rsid w:val="6E4B6F06"/>
    <w:rsid w:val="6E647AAD"/>
    <w:rsid w:val="6E736112"/>
    <w:rsid w:val="6E831551"/>
    <w:rsid w:val="6EAF213F"/>
    <w:rsid w:val="6ECC3C23"/>
    <w:rsid w:val="6EDE16AE"/>
    <w:rsid w:val="6EF624C7"/>
    <w:rsid w:val="6F2254EC"/>
    <w:rsid w:val="6F5B2DE1"/>
    <w:rsid w:val="6F5E33EE"/>
    <w:rsid w:val="6F5F1413"/>
    <w:rsid w:val="6F6D70DC"/>
    <w:rsid w:val="6F702498"/>
    <w:rsid w:val="6F741089"/>
    <w:rsid w:val="6F8A16D6"/>
    <w:rsid w:val="6F8B4A66"/>
    <w:rsid w:val="6F9F7EFF"/>
    <w:rsid w:val="6FE262EA"/>
    <w:rsid w:val="6FEA467B"/>
    <w:rsid w:val="6FFB3825"/>
    <w:rsid w:val="700100A9"/>
    <w:rsid w:val="705A19BC"/>
    <w:rsid w:val="706B41B2"/>
    <w:rsid w:val="70972B53"/>
    <w:rsid w:val="70974A76"/>
    <w:rsid w:val="709A1F51"/>
    <w:rsid w:val="70A041E3"/>
    <w:rsid w:val="70A258B2"/>
    <w:rsid w:val="70B05559"/>
    <w:rsid w:val="70BC338B"/>
    <w:rsid w:val="70BD199D"/>
    <w:rsid w:val="70DF585A"/>
    <w:rsid w:val="70E15655"/>
    <w:rsid w:val="70EB0869"/>
    <w:rsid w:val="70EB2734"/>
    <w:rsid w:val="70F52EE5"/>
    <w:rsid w:val="70F74EAF"/>
    <w:rsid w:val="71236203"/>
    <w:rsid w:val="7155456C"/>
    <w:rsid w:val="71585A2B"/>
    <w:rsid w:val="716A5126"/>
    <w:rsid w:val="716F2C97"/>
    <w:rsid w:val="718B3FA1"/>
    <w:rsid w:val="71B374B1"/>
    <w:rsid w:val="71D926BA"/>
    <w:rsid w:val="71DC074F"/>
    <w:rsid w:val="723D4EC0"/>
    <w:rsid w:val="72855F71"/>
    <w:rsid w:val="728B7AEA"/>
    <w:rsid w:val="728E25C5"/>
    <w:rsid w:val="728E51D7"/>
    <w:rsid w:val="72CD6775"/>
    <w:rsid w:val="72E8347E"/>
    <w:rsid w:val="73233821"/>
    <w:rsid w:val="732857F3"/>
    <w:rsid w:val="732918BB"/>
    <w:rsid w:val="735B493E"/>
    <w:rsid w:val="738A0204"/>
    <w:rsid w:val="73C65A80"/>
    <w:rsid w:val="73CE3C6E"/>
    <w:rsid w:val="73DC09EB"/>
    <w:rsid w:val="73E81110"/>
    <w:rsid w:val="741331F4"/>
    <w:rsid w:val="741B2C62"/>
    <w:rsid w:val="741D4378"/>
    <w:rsid w:val="74273CFD"/>
    <w:rsid w:val="7435737E"/>
    <w:rsid w:val="74406B6D"/>
    <w:rsid w:val="748A4B39"/>
    <w:rsid w:val="74923E43"/>
    <w:rsid w:val="749C0C4A"/>
    <w:rsid w:val="74BE2F50"/>
    <w:rsid w:val="74F11C15"/>
    <w:rsid w:val="74F34607"/>
    <w:rsid w:val="75057917"/>
    <w:rsid w:val="7507558B"/>
    <w:rsid w:val="750E00A4"/>
    <w:rsid w:val="7544268D"/>
    <w:rsid w:val="754461E9"/>
    <w:rsid w:val="758220D8"/>
    <w:rsid w:val="75995021"/>
    <w:rsid w:val="75A31992"/>
    <w:rsid w:val="75C22BA1"/>
    <w:rsid w:val="75DE5C35"/>
    <w:rsid w:val="75EA3234"/>
    <w:rsid w:val="75F964CD"/>
    <w:rsid w:val="76126652"/>
    <w:rsid w:val="76631EA4"/>
    <w:rsid w:val="767D39F0"/>
    <w:rsid w:val="76876225"/>
    <w:rsid w:val="76AF6EA2"/>
    <w:rsid w:val="76C3504D"/>
    <w:rsid w:val="76D97F91"/>
    <w:rsid w:val="76F12774"/>
    <w:rsid w:val="76F908F6"/>
    <w:rsid w:val="77073972"/>
    <w:rsid w:val="770E717F"/>
    <w:rsid w:val="770F11B3"/>
    <w:rsid w:val="7715478F"/>
    <w:rsid w:val="77444A87"/>
    <w:rsid w:val="77716800"/>
    <w:rsid w:val="77753BCB"/>
    <w:rsid w:val="778D7C68"/>
    <w:rsid w:val="77975BED"/>
    <w:rsid w:val="779F2A68"/>
    <w:rsid w:val="77A128CD"/>
    <w:rsid w:val="77C47AD8"/>
    <w:rsid w:val="77CA1AF5"/>
    <w:rsid w:val="781626AC"/>
    <w:rsid w:val="78297C63"/>
    <w:rsid w:val="783D4D13"/>
    <w:rsid w:val="783F155F"/>
    <w:rsid w:val="78462278"/>
    <w:rsid w:val="784E06B3"/>
    <w:rsid w:val="78513463"/>
    <w:rsid w:val="7855382E"/>
    <w:rsid w:val="785B4866"/>
    <w:rsid w:val="788E209D"/>
    <w:rsid w:val="78A376CA"/>
    <w:rsid w:val="78CA3E8D"/>
    <w:rsid w:val="78D33B67"/>
    <w:rsid w:val="78DC5C30"/>
    <w:rsid w:val="78EC72C3"/>
    <w:rsid w:val="7904192A"/>
    <w:rsid w:val="79175B42"/>
    <w:rsid w:val="794859CF"/>
    <w:rsid w:val="79517126"/>
    <w:rsid w:val="796D58DA"/>
    <w:rsid w:val="798219D5"/>
    <w:rsid w:val="79850DC6"/>
    <w:rsid w:val="798F62ED"/>
    <w:rsid w:val="79906F6E"/>
    <w:rsid w:val="79A272C8"/>
    <w:rsid w:val="79D46775"/>
    <w:rsid w:val="79E03564"/>
    <w:rsid w:val="7A055824"/>
    <w:rsid w:val="7A2471F6"/>
    <w:rsid w:val="7A353AAA"/>
    <w:rsid w:val="7A4432CE"/>
    <w:rsid w:val="7A614D27"/>
    <w:rsid w:val="7A7B6B83"/>
    <w:rsid w:val="7A8772A3"/>
    <w:rsid w:val="7ABF5F25"/>
    <w:rsid w:val="7AC50472"/>
    <w:rsid w:val="7ACB26BD"/>
    <w:rsid w:val="7ADB1DD7"/>
    <w:rsid w:val="7AF12AA8"/>
    <w:rsid w:val="7AF661D7"/>
    <w:rsid w:val="7B123DE2"/>
    <w:rsid w:val="7B1B5C3E"/>
    <w:rsid w:val="7B1D3764"/>
    <w:rsid w:val="7B22499A"/>
    <w:rsid w:val="7B564D14"/>
    <w:rsid w:val="7B5A2997"/>
    <w:rsid w:val="7B6964C7"/>
    <w:rsid w:val="7B7E5375"/>
    <w:rsid w:val="7BA25401"/>
    <w:rsid w:val="7BAD6B85"/>
    <w:rsid w:val="7BB377BC"/>
    <w:rsid w:val="7BC4545E"/>
    <w:rsid w:val="7BD12094"/>
    <w:rsid w:val="7BD26513"/>
    <w:rsid w:val="7BDC34AC"/>
    <w:rsid w:val="7BDF73D3"/>
    <w:rsid w:val="7C0B5CB2"/>
    <w:rsid w:val="7C541895"/>
    <w:rsid w:val="7C5510E6"/>
    <w:rsid w:val="7C613431"/>
    <w:rsid w:val="7C6158D2"/>
    <w:rsid w:val="7C6270D6"/>
    <w:rsid w:val="7C9C4B5C"/>
    <w:rsid w:val="7C9C690A"/>
    <w:rsid w:val="7C9D55F5"/>
    <w:rsid w:val="7CB579CC"/>
    <w:rsid w:val="7CBD693B"/>
    <w:rsid w:val="7CC07A8E"/>
    <w:rsid w:val="7CF82ED1"/>
    <w:rsid w:val="7D064A03"/>
    <w:rsid w:val="7D0E21FF"/>
    <w:rsid w:val="7D191836"/>
    <w:rsid w:val="7D41294B"/>
    <w:rsid w:val="7D50134A"/>
    <w:rsid w:val="7D52739A"/>
    <w:rsid w:val="7D562F5D"/>
    <w:rsid w:val="7D675E88"/>
    <w:rsid w:val="7D822167"/>
    <w:rsid w:val="7DA102C1"/>
    <w:rsid w:val="7DA5643E"/>
    <w:rsid w:val="7DAB212C"/>
    <w:rsid w:val="7DC600E3"/>
    <w:rsid w:val="7DC964CB"/>
    <w:rsid w:val="7DEC14A3"/>
    <w:rsid w:val="7DF3418F"/>
    <w:rsid w:val="7E000A2B"/>
    <w:rsid w:val="7E0471DB"/>
    <w:rsid w:val="7E056414"/>
    <w:rsid w:val="7E3E1B66"/>
    <w:rsid w:val="7E6E296F"/>
    <w:rsid w:val="7E90249F"/>
    <w:rsid w:val="7E952C57"/>
    <w:rsid w:val="7EBC1CB6"/>
    <w:rsid w:val="7EBC7D01"/>
    <w:rsid w:val="7EC03F24"/>
    <w:rsid w:val="7EDC7FBD"/>
    <w:rsid w:val="7F003179"/>
    <w:rsid w:val="7F010848"/>
    <w:rsid w:val="7F026F69"/>
    <w:rsid w:val="7F043A6F"/>
    <w:rsid w:val="7F197AD8"/>
    <w:rsid w:val="7F215EF7"/>
    <w:rsid w:val="7F751FF9"/>
    <w:rsid w:val="7F7A000F"/>
    <w:rsid w:val="7FA25D00"/>
    <w:rsid w:val="7FBE7AFA"/>
    <w:rsid w:val="7FC8565C"/>
    <w:rsid w:val="7FC91527"/>
    <w:rsid w:val="7FE002A5"/>
    <w:rsid w:val="7FF4717D"/>
    <w:rsid w:val="7FF55F15"/>
    <w:rsid w:val="7FF65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4"/>
    <w:qFormat/>
    <w:uiPriority w:val="0"/>
    <w:pPr>
      <w:numPr>
        <w:ilvl w:val="0"/>
        <w:numId w:val="1"/>
      </w:numPr>
      <w:spacing w:before="360" w:after="120" w:line="400" w:lineRule="exact"/>
      <w:outlineLvl w:val="0"/>
    </w:pPr>
    <w:rPr>
      <w:rFonts w:cs="宋体"/>
      <w:b/>
      <w:bCs/>
      <w:sz w:val="28"/>
    </w:rPr>
  </w:style>
  <w:style w:type="paragraph" w:styleId="5">
    <w:name w:val="heading 3"/>
    <w:basedOn w:val="1"/>
    <w:next w:val="1"/>
    <w:qFormat/>
    <w:uiPriority w:val="0"/>
    <w:pPr>
      <w:keepNext/>
      <w:keepLines/>
      <w:numPr>
        <w:ilvl w:val="2"/>
        <w:numId w:val="2"/>
      </w:numPr>
      <w:spacing w:before="120" w:after="120"/>
      <w:textAlignment w:val="baseline"/>
      <w:outlineLvl w:val="2"/>
    </w:pPr>
    <w:rPr>
      <w:b/>
      <w:kern w:val="0"/>
      <w:sz w:val="28"/>
      <w:szCs w:val="20"/>
    </w:rPr>
  </w:style>
  <w:style w:type="paragraph" w:styleId="6">
    <w:name w:val="heading 5"/>
    <w:basedOn w:val="1"/>
    <w:next w:val="1"/>
    <w:unhideWhenUsed/>
    <w:qFormat/>
    <w:uiPriority w:val="0"/>
    <w:pPr>
      <w:keepNext/>
      <w:keepLines/>
      <w:jc w:val="center"/>
      <w:outlineLvl w:val="4"/>
    </w:pPr>
    <w:rPr>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customStyle="1" w:styleId="4">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7">
    <w:name w:val="Normal Indent"/>
    <w:basedOn w:val="1"/>
    <w:next w:val="1"/>
    <w:qFormat/>
    <w:uiPriority w:val="0"/>
    <w:pPr>
      <w:ind w:firstLine="420" w:firstLineChars="200"/>
    </w:pPr>
  </w:style>
  <w:style w:type="paragraph" w:styleId="8">
    <w:name w:val="annotation text"/>
    <w:basedOn w:val="1"/>
    <w:link w:val="70"/>
    <w:semiHidden/>
    <w:unhideWhenUsed/>
    <w:qFormat/>
    <w:uiPriority w:val="99"/>
    <w:pPr>
      <w:jc w:val="left"/>
    </w:pPr>
  </w:style>
  <w:style w:type="paragraph" w:styleId="9">
    <w:name w:val="Body Text"/>
    <w:basedOn w:val="1"/>
    <w:next w:val="1"/>
    <w:qFormat/>
    <w:uiPriority w:val="0"/>
    <w:pPr>
      <w:spacing w:after="120"/>
    </w:pPr>
    <w:rPr>
      <w:kern w:val="0"/>
      <w:sz w:val="20"/>
      <w:szCs w:val="24"/>
    </w:rPr>
  </w:style>
  <w:style w:type="paragraph" w:styleId="10">
    <w:name w:val="Body Text Indent"/>
    <w:basedOn w:val="1"/>
    <w:next w:val="9"/>
    <w:link w:val="30"/>
    <w:semiHidden/>
    <w:unhideWhenUsed/>
    <w:qFormat/>
    <w:uiPriority w:val="99"/>
    <w:pPr>
      <w:spacing w:after="120"/>
      <w:ind w:left="420" w:leftChars="200"/>
    </w:pPr>
  </w:style>
  <w:style w:type="paragraph" w:styleId="11">
    <w:name w:val="Plain Text"/>
    <w:basedOn w:val="1"/>
    <w:semiHidden/>
    <w:unhideWhenUsed/>
    <w:qFormat/>
    <w:uiPriority w:val="99"/>
    <w:rPr>
      <w:rFonts w:ascii="宋体" w:hAnsi="Courier New" w:cs="Courier New"/>
    </w:rPr>
  </w:style>
  <w:style w:type="paragraph" w:styleId="12">
    <w:name w:val="Body Text Indent 2"/>
    <w:basedOn w:val="1"/>
    <w:next w:val="13"/>
    <w:qFormat/>
    <w:uiPriority w:val="99"/>
    <w:pPr>
      <w:spacing w:after="120" w:line="480" w:lineRule="auto"/>
      <w:ind w:left="420" w:leftChars="200"/>
    </w:pPr>
  </w:style>
  <w:style w:type="paragraph" w:customStyle="1" w:styleId="13">
    <w:name w:val="简单回函地址"/>
    <w:basedOn w:val="1"/>
    <w:next w:val="14"/>
    <w:qFormat/>
    <w:uiPriority w:val="0"/>
    <w:pPr>
      <w:widowControl/>
    </w:pPr>
    <w:rPr>
      <w:rFonts w:ascii="宋体" w:hAnsi="宋体" w:cs="宋体"/>
      <w:kern w:val="0"/>
      <w:szCs w:val="20"/>
    </w:rPr>
  </w:style>
  <w:style w:type="paragraph" w:customStyle="1" w:styleId="14">
    <w:name w:val="正文2"/>
    <w:basedOn w:val="10"/>
    <w:next w:val="1"/>
    <w:qFormat/>
    <w:uiPriority w:val="0"/>
    <w:pPr>
      <w:widowControl/>
      <w:spacing w:line="312" w:lineRule="auto"/>
      <w:ind w:firstLine="200" w:firstLineChars="200"/>
    </w:pPr>
    <w:rPr>
      <w:sz w:val="24"/>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next w:val="1"/>
    <w:link w:val="32"/>
    <w:unhideWhenUsed/>
    <w:qFormat/>
    <w:uiPriority w:val="99"/>
    <w:pPr>
      <w:tabs>
        <w:tab w:val="center" w:pos="4153"/>
        <w:tab w:val="right" w:pos="8306"/>
      </w:tabs>
      <w:snapToGrid w:val="0"/>
      <w:jc w:val="center"/>
    </w:pPr>
    <w:rPr>
      <w:sz w:val="18"/>
      <w:szCs w:val="18"/>
    </w:rPr>
  </w:style>
  <w:style w:type="paragraph" w:styleId="17">
    <w:name w:val="index heading"/>
    <w:basedOn w:val="1"/>
    <w:next w:val="18"/>
    <w:unhideWhenUsed/>
    <w:qFormat/>
    <w:uiPriority w:val="99"/>
  </w:style>
  <w:style w:type="paragraph" w:styleId="18">
    <w:name w:val="index 1"/>
    <w:basedOn w:val="1"/>
    <w:next w:val="1"/>
    <w:unhideWhenUsed/>
    <w:qFormat/>
    <w:uiPriority w:val="99"/>
    <w:pPr>
      <w:spacing w:line="360" w:lineRule="auto"/>
      <w:ind w:firstLine="422" w:firstLineChars="200"/>
      <w:jc w:val="center"/>
    </w:pPr>
    <w:rPr>
      <w:b/>
      <w:bCs/>
    </w:rPr>
  </w:style>
  <w:style w:type="paragraph" w:styleId="19">
    <w:name w:val="Normal (Web)"/>
    <w:basedOn w:val="1"/>
    <w:qFormat/>
    <w:uiPriority w:val="0"/>
    <w:pPr>
      <w:spacing w:beforeAutospacing="1" w:afterAutospacing="1"/>
      <w:jc w:val="left"/>
    </w:pPr>
    <w:rPr>
      <w:kern w:val="0"/>
      <w:sz w:val="24"/>
    </w:rPr>
  </w:style>
  <w:style w:type="paragraph" w:styleId="20">
    <w:name w:val="annotation subject"/>
    <w:basedOn w:val="8"/>
    <w:next w:val="8"/>
    <w:link w:val="71"/>
    <w:semiHidden/>
    <w:unhideWhenUsed/>
    <w:qFormat/>
    <w:uiPriority w:val="99"/>
    <w:rPr>
      <w:b/>
      <w:bCs/>
    </w:rPr>
  </w:style>
  <w:style w:type="paragraph" w:styleId="21">
    <w:name w:val="Body Text First Indent"/>
    <w:basedOn w:val="9"/>
    <w:next w:val="1"/>
    <w:qFormat/>
    <w:uiPriority w:val="0"/>
    <w:pPr>
      <w:ind w:firstLine="420" w:firstLineChars="100"/>
    </w:pPr>
  </w:style>
  <w:style w:type="paragraph" w:styleId="22">
    <w:name w:val="Body Text First Indent 2"/>
    <w:basedOn w:val="10"/>
    <w:next w:val="1"/>
    <w:link w:val="31"/>
    <w:qFormat/>
    <w:uiPriority w:val="0"/>
    <w:pPr>
      <w:widowControl/>
      <w:ind w:firstLine="420"/>
      <w:jc w:val="left"/>
    </w:pPr>
    <w:rPr>
      <w:kern w:val="0"/>
      <w:sz w:val="20"/>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basedOn w:val="25"/>
    <w:semiHidden/>
    <w:unhideWhenUsed/>
    <w:qFormat/>
    <w:uiPriority w:val="99"/>
    <w:rPr>
      <w:color w:val="0000FF"/>
      <w:u w:val="single"/>
    </w:rPr>
  </w:style>
  <w:style w:type="character" w:styleId="28">
    <w:name w:val="annotation reference"/>
    <w:basedOn w:val="25"/>
    <w:semiHidden/>
    <w:unhideWhenUsed/>
    <w:qFormat/>
    <w:uiPriority w:val="99"/>
    <w:rPr>
      <w:sz w:val="21"/>
      <w:szCs w:val="21"/>
    </w:rPr>
  </w:style>
  <w:style w:type="paragraph" w:customStyle="1" w:styleId="29">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0">
    <w:name w:val="正文文本缩进 字符"/>
    <w:basedOn w:val="25"/>
    <w:link w:val="10"/>
    <w:semiHidden/>
    <w:qFormat/>
    <w:uiPriority w:val="99"/>
    <w:rPr>
      <w:szCs w:val="24"/>
    </w:rPr>
  </w:style>
  <w:style w:type="character" w:customStyle="1" w:styleId="31">
    <w:name w:val="正文文本首行缩进 2 字符"/>
    <w:basedOn w:val="30"/>
    <w:link w:val="22"/>
    <w:qFormat/>
    <w:uiPriority w:val="0"/>
    <w:rPr>
      <w:rFonts w:ascii="Times New Roman" w:eastAsia="宋体"/>
      <w:kern w:val="0"/>
      <w:sz w:val="20"/>
      <w:szCs w:val="24"/>
    </w:rPr>
  </w:style>
  <w:style w:type="character" w:customStyle="1" w:styleId="32">
    <w:name w:val="页眉 字符"/>
    <w:basedOn w:val="25"/>
    <w:link w:val="16"/>
    <w:qFormat/>
    <w:uiPriority w:val="99"/>
    <w:rPr>
      <w:sz w:val="18"/>
      <w:szCs w:val="18"/>
    </w:rPr>
  </w:style>
  <w:style w:type="character" w:customStyle="1" w:styleId="33">
    <w:name w:val="页脚 字符"/>
    <w:basedOn w:val="25"/>
    <w:link w:val="15"/>
    <w:qFormat/>
    <w:uiPriority w:val="99"/>
    <w:rPr>
      <w:sz w:val="18"/>
      <w:szCs w:val="18"/>
    </w:rPr>
  </w:style>
  <w:style w:type="paragraph" w:customStyle="1" w:styleId="34">
    <w:name w:val="章节目录"/>
    <w:basedOn w:val="1"/>
    <w:qFormat/>
    <w:uiPriority w:val="0"/>
    <w:pPr>
      <w:spacing w:line="360" w:lineRule="auto"/>
      <w:outlineLvl w:val="0"/>
    </w:pPr>
    <w:rPr>
      <w:b/>
      <w:sz w:val="28"/>
      <w:szCs w:val="28"/>
    </w:rPr>
  </w:style>
  <w:style w:type="paragraph" w:customStyle="1" w:styleId="35">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3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3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8">
    <w:name w:val="Table Grid_0"/>
    <w:basedOn w:val="23"/>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表格"/>
    <w:basedOn w:val="1"/>
    <w:qFormat/>
    <w:uiPriority w:val="0"/>
    <w:pPr>
      <w:jc w:val="center"/>
    </w:pPr>
  </w:style>
  <w:style w:type="character" w:customStyle="1" w:styleId="40">
    <w:name w:val="font61"/>
    <w:basedOn w:val="25"/>
    <w:qFormat/>
    <w:uiPriority w:val="0"/>
    <w:rPr>
      <w:rFonts w:hint="default" w:ascii="Times New Roman" w:hAnsi="Times New Roman" w:cs="Times New Roman"/>
      <w:color w:val="000000"/>
      <w:sz w:val="21"/>
      <w:szCs w:val="21"/>
      <w:u w:val="none"/>
      <w:vertAlign w:val="superscript"/>
    </w:rPr>
  </w:style>
  <w:style w:type="paragraph" w:customStyle="1" w:styleId="41">
    <w:name w:val="表格内容"/>
    <w:basedOn w:val="7"/>
    <w:next w:val="3"/>
    <w:qFormat/>
    <w:uiPriority w:val="0"/>
    <w:pPr>
      <w:jc w:val="center"/>
    </w:pPr>
    <w:rPr>
      <w:rFonts w:eastAsia="Times New Roman"/>
      <w:kern w:val="0"/>
      <w:sz w:val="20"/>
    </w:rPr>
  </w:style>
  <w:style w:type="paragraph" w:customStyle="1" w:styleId="42">
    <w:name w:val="rpt_表项"/>
    <w:basedOn w:val="1"/>
    <w:qFormat/>
    <w:uiPriority w:val="0"/>
    <w:pPr>
      <w:spacing w:before="60" w:after="60"/>
      <w:jc w:val="center"/>
    </w:pPr>
    <w:rPr>
      <w:rFonts w:cs="宋体"/>
      <w:sz w:val="22"/>
      <w:szCs w:val="20"/>
    </w:rPr>
  </w:style>
  <w:style w:type="paragraph" w:customStyle="1" w:styleId="43">
    <w:name w:val="图表文字"/>
    <w:qFormat/>
    <w:uiPriority w:val="0"/>
    <w:pPr>
      <w:widowControl w:val="0"/>
      <w:jc w:val="center"/>
    </w:pPr>
    <w:rPr>
      <w:rFonts w:ascii="Times New Roman" w:hAnsi="Times New Roman" w:eastAsia="宋体" w:cs="Times New Roman"/>
      <w:snapToGrid w:val="0"/>
      <w:kern w:val="2"/>
      <w:sz w:val="21"/>
      <w:szCs w:val="24"/>
      <w:lang w:val="en-US" w:eastAsia="zh-CN" w:bidi="ar-SA"/>
    </w:rPr>
  </w:style>
  <w:style w:type="paragraph" w:customStyle="1" w:styleId="44">
    <w:name w:val="Table Paragraph"/>
    <w:basedOn w:val="1"/>
    <w:qFormat/>
    <w:uiPriority w:val="0"/>
  </w:style>
  <w:style w:type="character" w:customStyle="1" w:styleId="45">
    <w:name w:val="font12"/>
    <w:basedOn w:val="25"/>
    <w:qFormat/>
    <w:uiPriority w:val="0"/>
    <w:rPr>
      <w:rFonts w:hint="default" w:ascii="Times New Roman" w:hAnsi="Times New Roman" w:cs="Times New Roman"/>
      <w:b/>
      <w:bCs/>
      <w:color w:val="000000"/>
      <w:sz w:val="20"/>
      <w:szCs w:val="20"/>
      <w:u w:val="none"/>
    </w:rPr>
  </w:style>
  <w:style w:type="character" w:customStyle="1" w:styleId="46">
    <w:name w:val="font91"/>
    <w:basedOn w:val="25"/>
    <w:qFormat/>
    <w:uiPriority w:val="0"/>
    <w:rPr>
      <w:rFonts w:hint="eastAsia" w:ascii="宋体" w:hAnsi="宋体" w:eastAsia="宋体" w:cs="宋体"/>
      <w:color w:val="000000"/>
      <w:sz w:val="20"/>
      <w:szCs w:val="20"/>
      <w:u w:val="none"/>
    </w:rPr>
  </w:style>
  <w:style w:type="character" w:customStyle="1" w:styleId="47">
    <w:name w:val="font71"/>
    <w:basedOn w:val="25"/>
    <w:qFormat/>
    <w:uiPriority w:val="0"/>
    <w:rPr>
      <w:rFonts w:hint="eastAsia" w:ascii="宋体" w:hAnsi="宋体" w:eastAsia="宋体" w:cs="宋体"/>
      <w:b/>
      <w:bCs/>
      <w:color w:val="000000"/>
      <w:sz w:val="20"/>
      <w:szCs w:val="20"/>
      <w:u w:val="none"/>
    </w:rPr>
  </w:style>
  <w:style w:type="character" w:customStyle="1" w:styleId="48">
    <w:name w:val="font121"/>
    <w:basedOn w:val="25"/>
    <w:qFormat/>
    <w:uiPriority w:val="0"/>
    <w:rPr>
      <w:rFonts w:hint="eastAsia" w:ascii="宋体" w:hAnsi="宋体" w:eastAsia="宋体" w:cs="宋体"/>
      <w:color w:val="000000"/>
      <w:sz w:val="18"/>
      <w:szCs w:val="18"/>
      <w:u w:val="none"/>
    </w:rPr>
  </w:style>
  <w:style w:type="character" w:customStyle="1" w:styleId="49">
    <w:name w:val="font101"/>
    <w:basedOn w:val="25"/>
    <w:qFormat/>
    <w:uiPriority w:val="0"/>
    <w:rPr>
      <w:rFonts w:hint="default" w:ascii="Times New Roman" w:hAnsi="Times New Roman" w:cs="Times New Roman"/>
      <w:color w:val="000000"/>
      <w:sz w:val="18"/>
      <w:szCs w:val="18"/>
      <w:u w:val="none"/>
    </w:rPr>
  </w:style>
  <w:style w:type="character" w:customStyle="1" w:styleId="50">
    <w:name w:val="font41"/>
    <w:basedOn w:val="25"/>
    <w:qFormat/>
    <w:uiPriority w:val="0"/>
    <w:rPr>
      <w:rFonts w:ascii="宋体" w:hAnsi="宋体" w:eastAsia="宋体" w:cs="宋体"/>
      <w:b/>
      <w:bCs/>
      <w:color w:val="000000"/>
      <w:sz w:val="28"/>
      <w:szCs w:val="28"/>
      <w:u w:val="none"/>
    </w:rPr>
  </w:style>
  <w:style w:type="character" w:customStyle="1" w:styleId="51">
    <w:name w:val="font51"/>
    <w:basedOn w:val="25"/>
    <w:qFormat/>
    <w:uiPriority w:val="0"/>
    <w:rPr>
      <w:rFonts w:ascii="宋体" w:hAnsi="宋体" w:eastAsia="宋体" w:cs="宋体"/>
      <w:color w:val="000000"/>
      <w:sz w:val="28"/>
      <w:szCs w:val="28"/>
      <w:u w:val="none"/>
    </w:rPr>
  </w:style>
  <w:style w:type="character" w:customStyle="1" w:styleId="52">
    <w:name w:val="font21"/>
    <w:basedOn w:val="25"/>
    <w:qFormat/>
    <w:uiPriority w:val="0"/>
    <w:rPr>
      <w:rFonts w:hint="default" w:ascii="Times New Roman" w:hAnsi="Times New Roman" w:cs="Times New Roman"/>
      <w:color w:val="000000"/>
      <w:sz w:val="21"/>
      <w:szCs w:val="21"/>
      <w:u w:val="none"/>
    </w:rPr>
  </w:style>
  <w:style w:type="paragraph" w:styleId="53">
    <w:name w:val="No Spacing"/>
    <w:qFormat/>
    <w:uiPriority w:val="0"/>
    <w:pPr>
      <w:widowControl w:val="0"/>
      <w:adjustRightInd w:val="0"/>
      <w:spacing w:line="500" w:lineRule="exact"/>
      <w:jc w:val="center"/>
    </w:pPr>
    <w:rPr>
      <w:rFonts w:ascii="Times New Roman" w:hAnsi="Times New Roman" w:eastAsia="宋体" w:cs="Times New Roman"/>
      <w:kern w:val="2"/>
      <w:sz w:val="21"/>
      <w:szCs w:val="28"/>
      <w:lang w:val="en-US" w:eastAsia="zh-CN" w:bidi="ar-SA"/>
    </w:rPr>
  </w:style>
  <w:style w:type="paragraph" w:customStyle="1" w:styleId="54">
    <w:name w:val="表文"/>
    <w:basedOn w:val="1"/>
    <w:qFormat/>
    <w:uiPriority w:val="0"/>
    <w:pPr>
      <w:jc w:val="center"/>
      <w:textAlignment w:val="baseline"/>
    </w:pPr>
    <w:rPr>
      <w:snapToGrid w:val="0"/>
      <w:kern w:val="10"/>
      <w:szCs w:val="20"/>
    </w:rPr>
  </w:style>
  <w:style w:type="paragraph" w:customStyle="1" w:styleId="55">
    <w:name w:val="报告表格"/>
    <w:basedOn w:val="1"/>
    <w:next w:val="56"/>
    <w:qFormat/>
    <w:uiPriority w:val="0"/>
    <w:pPr>
      <w:autoSpaceDE w:val="0"/>
      <w:autoSpaceDN w:val="0"/>
      <w:adjustRightInd w:val="0"/>
      <w:spacing w:before="40" w:after="40"/>
      <w:jc w:val="center"/>
      <w:textAlignment w:val="bottom"/>
    </w:pPr>
    <w:rPr>
      <w:kern w:val="0"/>
      <w:szCs w:val="20"/>
    </w:rPr>
  </w:style>
  <w:style w:type="paragraph" w:customStyle="1" w:styleId="56">
    <w:name w:val="报告书"/>
    <w:basedOn w:val="1"/>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8">
    <w:name w:val="三级标题"/>
    <w:basedOn w:val="5"/>
    <w:qFormat/>
    <w:uiPriority w:val="0"/>
    <w:pPr>
      <w:spacing w:before="0" w:after="0" w:line="500" w:lineRule="exact"/>
      <w:ind w:firstLine="200" w:firstLineChars="200"/>
    </w:pPr>
    <w:rPr>
      <w:sz w:val="24"/>
    </w:rPr>
  </w:style>
  <w:style w:type="paragraph" w:customStyle="1" w:styleId="59">
    <w:name w:val="三级标题新"/>
    <w:basedOn w:val="60"/>
    <w:qFormat/>
    <w:uiPriority w:val="0"/>
    <w:pPr>
      <w:tabs>
        <w:tab w:val="left" w:pos="1260"/>
      </w:tabs>
      <w:ind w:firstLine="200" w:firstLineChars="200"/>
    </w:pPr>
  </w:style>
  <w:style w:type="paragraph" w:customStyle="1" w:styleId="60">
    <w:name w:val="二级标题新"/>
    <w:basedOn w:val="61"/>
    <w:qFormat/>
    <w:uiPriority w:val="0"/>
    <w:pPr>
      <w:tabs>
        <w:tab w:val="left" w:pos="1260"/>
      </w:tabs>
      <w:ind w:firstLine="196" w:firstLineChars="196"/>
      <w:outlineLvl w:val="1"/>
    </w:pPr>
  </w:style>
  <w:style w:type="paragraph" w:customStyle="1" w:styleId="61">
    <w:name w:val="一级标题1"/>
    <w:basedOn w:val="1"/>
    <w:qFormat/>
    <w:uiPriority w:val="0"/>
    <w:pPr>
      <w:tabs>
        <w:tab w:val="left" w:pos="1260"/>
      </w:tabs>
      <w:adjustRightInd w:val="0"/>
      <w:ind w:firstLine="98" w:firstLineChars="98"/>
      <w:outlineLvl w:val="0"/>
    </w:pPr>
    <w:rPr>
      <w:b/>
      <w:bCs/>
      <w:color w:val="000000"/>
      <w:szCs w:val="24"/>
    </w:rPr>
  </w:style>
  <w:style w:type="paragraph" w:customStyle="1" w:styleId="62">
    <w:name w:val="0正文"/>
    <w:basedOn w:val="1"/>
    <w:qFormat/>
    <w:uiPriority w:val="0"/>
    <w:pPr>
      <w:widowControl/>
      <w:spacing w:line="360" w:lineRule="auto"/>
      <w:ind w:firstLine="200" w:firstLineChars="200"/>
    </w:pPr>
    <w:rPr>
      <w:sz w:val="24"/>
      <w:szCs w:val="24"/>
    </w:rPr>
  </w:style>
  <w:style w:type="character" w:customStyle="1" w:styleId="63">
    <w:name w:val="font11"/>
    <w:basedOn w:val="25"/>
    <w:qFormat/>
    <w:uiPriority w:val="0"/>
    <w:rPr>
      <w:rFonts w:hint="default" w:ascii="Times New Roman" w:hAnsi="Times New Roman" w:cs="Times New Roman"/>
      <w:color w:val="000000"/>
      <w:sz w:val="21"/>
      <w:szCs w:val="21"/>
      <w:u w:val="none"/>
    </w:rPr>
  </w:style>
  <w:style w:type="paragraph" w:customStyle="1" w:styleId="64">
    <w:name w:val="rpt_盖章-监测"/>
    <w:basedOn w:val="1"/>
    <w:qFormat/>
    <w:uiPriority w:val="0"/>
    <w:pPr>
      <w:jc w:val="center"/>
    </w:pPr>
    <w:rPr>
      <w:rFonts w:ascii="黑体" w:hAnsi="黑体" w:eastAsia="黑体" w:cs="宋体"/>
      <w:sz w:val="28"/>
      <w:szCs w:val="20"/>
    </w:rPr>
  </w:style>
  <w:style w:type="paragraph" w:customStyle="1" w:styleId="65">
    <w:name w:val="表内文字"/>
    <w:basedOn w:val="1"/>
    <w:qFormat/>
    <w:uiPriority w:val="0"/>
    <w:pPr>
      <w:adjustRightInd w:val="0"/>
      <w:snapToGrid w:val="0"/>
      <w:jc w:val="center"/>
    </w:pPr>
    <w:rPr>
      <w:rFonts w:cs="宋体"/>
      <w:color w:val="000000"/>
      <w:kern w:val="0"/>
    </w:rPr>
  </w:style>
  <w:style w:type="paragraph" w:customStyle="1" w:styleId="66">
    <w:name w:val="正文-欣欣"/>
    <w:basedOn w:val="11"/>
    <w:next w:val="1"/>
    <w:qFormat/>
    <w:uiPriority w:val="0"/>
    <w:pPr>
      <w:adjustRightInd w:val="0"/>
      <w:spacing w:line="360" w:lineRule="auto"/>
      <w:ind w:firstLine="200" w:firstLineChars="200"/>
    </w:pPr>
    <w:rPr>
      <w:rFonts w:cs="Times New Roman"/>
      <w:sz w:val="24"/>
      <w:szCs w:val="30"/>
    </w:rPr>
  </w:style>
  <w:style w:type="paragraph" w:styleId="67">
    <w:name w:val="List Paragraph"/>
    <w:basedOn w:val="1"/>
    <w:qFormat/>
    <w:uiPriority w:val="1"/>
    <w:pPr>
      <w:ind w:firstLine="420" w:firstLineChars="200"/>
    </w:pPr>
  </w:style>
  <w:style w:type="paragraph" w:customStyle="1" w:styleId="6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9">
    <w:name w:val="font01"/>
    <w:basedOn w:val="25"/>
    <w:qFormat/>
    <w:uiPriority w:val="0"/>
    <w:rPr>
      <w:rFonts w:hint="default" w:ascii="Times New Roman" w:hAnsi="Times New Roman" w:cs="Times New Roman"/>
      <w:color w:val="000000"/>
      <w:sz w:val="21"/>
      <w:szCs w:val="21"/>
      <w:u w:val="none"/>
    </w:rPr>
  </w:style>
  <w:style w:type="character" w:customStyle="1" w:styleId="70">
    <w:name w:val="批注文字 字符"/>
    <w:basedOn w:val="25"/>
    <w:link w:val="8"/>
    <w:semiHidden/>
    <w:qFormat/>
    <w:uiPriority w:val="99"/>
    <w:rPr>
      <w:kern w:val="2"/>
      <w:sz w:val="21"/>
      <w:szCs w:val="21"/>
    </w:rPr>
  </w:style>
  <w:style w:type="character" w:customStyle="1" w:styleId="71">
    <w:name w:val="批注主题 字符"/>
    <w:basedOn w:val="70"/>
    <w:link w:val="20"/>
    <w:semiHidden/>
    <w:qFormat/>
    <w:uiPriority w:val="99"/>
    <w:rPr>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wmf"/><Relationship Id="rId5" Type="http://schemas.openxmlformats.org/officeDocument/2006/relationships/image" Target="media/image1.jpeg"/><Relationship Id="rId49" Type="http://schemas.openxmlformats.org/officeDocument/2006/relationships/image" Target="media/image34.wmf"/><Relationship Id="rId48" Type="http://schemas.openxmlformats.org/officeDocument/2006/relationships/image" Target="media/image33.wmf"/><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theme" Target="theme/theme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wmf"/><Relationship Id="rId34" Type="http://schemas.openxmlformats.org/officeDocument/2006/relationships/oleObject" Target="embeddings/oleObject7.bin"/><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6.bin"/><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2.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oleObject" Target="embeddings/oleObject4.bin"/><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oleObject" Target="embeddings/oleObject3.bin"/><Relationship Id="rId14" Type="http://schemas.openxmlformats.org/officeDocument/2006/relationships/image" Target="media/image8.emf"/><Relationship Id="rId13" Type="http://schemas.openxmlformats.org/officeDocument/2006/relationships/oleObject" Target="embeddings/oleObject2.bin"/><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oleObject" Target="embeddings/oleObject1.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9312;&#38647;&#31179;&#32418;\2023&#24180;&#29615;&#35780;\6&#12289;&#23459;&#27721;&#21439;&#21335;&#22365;&#38215;&#27745;&#27700;&#22788;&#29702;&#21378;&#25552;&#26631;&#25913;&#36896;&#21450;&#20108;&#26399;&#24037;&#31243;\&#25991;&#26412;\&#21464;&#21270;&#36235;&#2118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9312;&#38647;&#31179;&#32418;\2023&#24180;&#29615;&#35780;\6&#12289;&#23459;&#27721;&#21439;&#21335;&#22365;&#38215;&#27745;&#27700;&#22788;&#29702;&#21378;&#25552;&#26631;&#25913;&#36896;&#21450;&#20108;&#26399;&#24037;&#31243;\&#25991;&#26412;\&#21464;&#21270;&#36235;&#2118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9312;&#38647;&#31179;&#32418;\2023&#24180;&#29615;&#35780;\6&#12289;&#23459;&#27721;&#21439;&#21335;&#22365;&#38215;&#27745;&#27700;&#22788;&#29702;&#21378;&#25552;&#26631;&#25913;&#36896;&#21450;&#20108;&#26399;&#24037;&#31243;\&#25991;&#26412;\&#21464;&#21270;&#36235;&#2118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9312;&#38647;&#31179;&#32418;\2023&#24180;&#29615;&#35780;\6&#12289;&#23459;&#27721;&#21439;&#21335;&#22365;&#38215;&#27745;&#27700;&#22788;&#29702;&#21378;&#25552;&#26631;&#25913;&#36896;&#21450;&#20108;&#26399;&#24037;&#31243;\&#25991;&#26412;\&#21464;&#21270;&#36235;&#211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TP</a:t>
            </a:r>
            <a:r>
              <a:rPr lang="zh-CN" altLang="en-US"/>
              <a:t>变化趋势</a:t>
            </a:r>
            <a:endParaRPr lang="zh-CN" altLang="en-US"/>
          </a:p>
        </c:rich>
      </c:tx>
      <c:layout/>
      <c:overlay val="0"/>
      <c:spPr>
        <a:noFill/>
        <a:ln>
          <a:noFill/>
        </a:ln>
        <a:effectLst/>
      </c:spPr>
    </c:title>
    <c:autoTitleDeleted val="0"/>
    <c:plotArea>
      <c:layout/>
      <c:lineChart>
        <c:grouping val="standard"/>
        <c:varyColors val="0"/>
        <c:ser>
          <c:idx val="0"/>
          <c:order val="0"/>
          <c:tx>
            <c:strRef>
              <c:f>[变化趋势.xlsx]Sheet2!$F$1</c:f>
              <c:strCache>
                <c:ptCount val="1"/>
                <c:pt idx="0">
                  <c:v>TP标准值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[工作簿1]Sheet2!$E$2:$E$11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[工作簿1]Sheet2!$F$2:$F$11</c:f>
              <c:numCache>
                <c:formatCode>General</c:formatCode>
                <c:ptCount val="10"/>
                <c:pt idx="0">
                  <c:v>0.2</c:v>
                </c:pt>
                <c:pt idx="1">
                  <c:v>0.2</c:v>
                </c:pt>
                <c:pt idx="2">
                  <c:v>0.2</c:v>
                </c:pt>
                <c:pt idx="3">
                  <c:v>0.2</c:v>
                </c:pt>
                <c:pt idx="4">
                  <c:v>0.2</c:v>
                </c:pt>
                <c:pt idx="5">
                  <c:v>0.2</c:v>
                </c:pt>
                <c:pt idx="6">
                  <c:v>0.2</c:v>
                </c:pt>
                <c:pt idx="7">
                  <c:v>0.2</c:v>
                </c:pt>
                <c:pt idx="8">
                  <c:v>0.2</c:v>
                </c:pt>
                <c:pt idx="9">
                  <c:v>0.2</c:v>
                </c:pt>
              </c:numCache>
            </c:numRef>
          </c:val>
          <c:smooth val="0"/>
        </c:ser>
        <c:ser>
          <c:idx val="1"/>
          <c:order val="1"/>
          <c:tx>
            <c:strRef>
              <c:f>[变化趋势.xlsx]Sheet2!$G$1</c:f>
              <c:strCache>
                <c:ptCount val="1"/>
                <c:pt idx="0">
                  <c:v>前河-乡石鹰TP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[工作簿1]Sheet2!$E$2:$E$11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[工作簿1]Sheet2!$G$2:$G$11</c:f>
              <c:numCache>
                <c:formatCode>General</c:formatCode>
                <c:ptCount val="10"/>
                <c:pt idx="0">
                  <c:v>0.081</c:v>
                </c:pt>
                <c:pt idx="1">
                  <c:v>0.005</c:v>
                </c:pt>
                <c:pt idx="2">
                  <c:v>0.065</c:v>
                </c:pt>
                <c:pt idx="3">
                  <c:v>0.04</c:v>
                </c:pt>
                <c:pt idx="4">
                  <c:v>0.04</c:v>
                </c:pt>
                <c:pt idx="5">
                  <c:v>0.07</c:v>
                </c:pt>
                <c:pt idx="6">
                  <c:v>0.05</c:v>
                </c:pt>
                <c:pt idx="7">
                  <c:v>0.05</c:v>
                </c:pt>
                <c:pt idx="8">
                  <c:v>0.04</c:v>
                </c:pt>
                <c:pt idx="9">
                  <c:v>0.03</c:v>
                </c:pt>
              </c:numCache>
            </c:numRef>
          </c:val>
          <c:smooth val="0"/>
        </c:ser>
        <c:dLbls>
          <c:showLegendKey val="0"/>
          <c:showVal val="0"/>
          <c:showCatName val="0"/>
          <c:showSerName val="0"/>
          <c:showPercent val="0"/>
          <c:showBubbleSize val="0"/>
        </c:dLbls>
        <c:marker val="1"/>
        <c:smooth val="0"/>
        <c:axId val="205674287"/>
        <c:axId val="92359560"/>
      </c:lineChart>
      <c:catAx>
        <c:axId val="205674287"/>
        <c:scaling>
          <c:orientation val="minMax"/>
        </c:scaling>
        <c:delete val="0"/>
        <c:axPos val="b"/>
        <c:numFmt formatCode="General" sourceLinked="0"/>
        <c:majorTickMark val="in"/>
        <c:minorTickMark val="none"/>
        <c:tickLblPos val="nextTo"/>
        <c:spPr>
          <a:noFill/>
          <a:ln w="317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59560"/>
        <c:crosses val="autoZero"/>
        <c:auto val="1"/>
        <c:lblAlgn val="ctr"/>
        <c:lblOffset val="100"/>
        <c:noMultiLvlLbl val="0"/>
      </c:catAx>
      <c:valAx>
        <c:axId val="9235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单位</a:t>
                </a:r>
                <a:r>
                  <a:rPr lang="en-US" altLang="zh-CN"/>
                  <a:t>mg/L </a:t>
                </a:r>
                <a:endParaRPr lang="en-US" altLang="zh-CN"/>
              </a:p>
            </c:rich>
          </c:tx>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56742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COD</a:t>
            </a:r>
            <a:r>
              <a:rPr lang="zh-CN" altLang="en-US"/>
              <a:t>变化趋势</a:t>
            </a:r>
            <a:endParaRPr lang="zh-CN" altLang="en-US"/>
          </a:p>
        </c:rich>
      </c:tx>
      <c:layout/>
      <c:overlay val="0"/>
      <c:spPr>
        <a:noFill/>
        <a:ln>
          <a:noFill/>
        </a:ln>
        <a:effectLst/>
      </c:spPr>
    </c:title>
    <c:autoTitleDeleted val="0"/>
    <c:plotArea>
      <c:layout/>
      <c:lineChart>
        <c:grouping val="standard"/>
        <c:varyColors val="0"/>
        <c:ser>
          <c:idx val="0"/>
          <c:order val="0"/>
          <c:tx>
            <c:strRef>
              <c:f>[变化趋势.xlsx]Sheet2!$B$1</c:f>
              <c:strCache>
                <c:ptCount val="1"/>
                <c:pt idx="0">
                  <c:v>COD标准值</c:v>
                </c:pt>
              </c:strCache>
            </c:strRef>
          </c:tx>
          <c:spPr>
            <a:ln w="28575" cap="rnd">
              <a:solidFill>
                <a:schemeClr val="accent1"/>
              </a:solidFill>
              <a:round/>
            </a:ln>
            <a:effectLst/>
          </c:spPr>
          <c:marker>
            <c:symbol val="none"/>
          </c:marker>
          <c:dLbls>
            <c:delete val="1"/>
          </c:dLbls>
          <c:cat>
            <c:strRef>
              <c:f>[工作簿1]Sheet2!$A$2:$A$11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[工作簿1]Sheet2!$B$2:$B$11</c:f>
              <c:numCache>
                <c:formatCode>General</c:formatCode>
                <c:ptCount val="10"/>
                <c:pt idx="0">
                  <c:v>20</c:v>
                </c:pt>
                <c:pt idx="1">
                  <c:v>20</c:v>
                </c:pt>
                <c:pt idx="2">
                  <c:v>20</c:v>
                </c:pt>
                <c:pt idx="3">
                  <c:v>20</c:v>
                </c:pt>
                <c:pt idx="4">
                  <c:v>20</c:v>
                </c:pt>
                <c:pt idx="5">
                  <c:v>20</c:v>
                </c:pt>
                <c:pt idx="6">
                  <c:v>20</c:v>
                </c:pt>
                <c:pt idx="7">
                  <c:v>20</c:v>
                </c:pt>
                <c:pt idx="8">
                  <c:v>20</c:v>
                </c:pt>
                <c:pt idx="9">
                  <c:v>20</c:v>
                </c:pt>
              </c:numCache>
            </c:numRef>
          </c:val>
          <c:smooth val="0"/>
        </c:ser>
        <c:ser>
          <c:idx val="1"/>
          <c:order val="1"/>
          <c:tx>
            <c:strRef>
              <c:f>[变化趋势.xlsx]Sheet2!$C$1</c:f>
              <c:strCache>
                <c:ptCount val="1"/>
                <c:pt idx="0">
                  <c:v>前河-乡石鹰COD </c:v>
                </c:pt>
              </c:strCache>
            </c:strRef>
          </c:tx>
          <c:spPr>
            <a:ln w="28575" cap="rnd">
              <a:solidFill>
                <a:schemeClr val="accent2"/>
              </a:solidFill>
              <a:round/>
            </a:ln>
            <a:effectLst/>
          </c:spPr>
          <c:marker>
            <c:symbol val="none"/>
          </c:marker>
          <c:dLbls>
            <c:delete val="1"/>
          </c:dLbls>
          <c:cat>
            <c:strRef>
              <c:f>[工作簿1]Sheet2!$A$2:$A$11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[工作簿1]Sheet2!$C$2:$C$11</c:f>
              <c:numCache>
                <c:formatCode>General</c:formatCode>
                <c:ptCount val="10"/>
                <c:pt idx="0">
                  <c:v>4</c:v>
                </c:pt>
                <c:pt idx="1">
                  <c:v>19</c:v>
                </c:pt>
                <c:pt idx="2">
                  <c:v>-1</c:v>
                </c:pt>
                <c:pt idx="3">
                  <c:v>7</c:v>
                </c:pt>
                <c:pt idx="4">
                  <c:v>5</c:v>
                </c:pt>
                <c:pt idx="5">
                  <c:v>11</c:v>
                </c:pt>
                <c:pt idx="6">
                  <c:v>9</c:v>
                </c:pt>
                <c:pt idx="7">
                  <c:v>9</c:v>
                </c:pt>
                <c:pt idx="8">
                  <c:v>6</c:v>
                </c:pt>
                <c:pt idx="9">
                  <c:v>8</c:v>
                </c:pt>
              </c:numCache>
            </c:numRef>
          </c:val>
          <c:smooth val="0"/>
        </c:ser>
        <c:dLbls>
          <c:showLegendKey val="0"/>
          <c:showVal val="0"/>
          <c:showCatName val="0"/>
          <c:showSerName val="0"/>
          <c:showPercent val="0"/>
          <c:showBubbleSize val="0"/>
        </c:dLbls>
        <c:marker val="0"/>
        <c:smooth val="0"/>
        <c:axId val="205674287"/>
        <c:axId val="92359560"/>
      </c:lineChart>
      <c:catAx>
        <c:axId val="205674287"/>
        <c:scaling>
          <c:orientation val="minMax"/>
        </c:scaling>
        <c:delete val="0"/>
        <c:axPos val="b"/>
        <c:numFmt formatCode="General" sourceLinked="0"/>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59560"/>
        <c:crosses val="autoZero"/>
        <c:auto val="1"/>
        <c:lblAlgn val="ctr"/>
        <c:lblOffset val="100"/>
        <c:noMultiLvlLbl val="0"/>
      </c:catAx>
      <c:valAx>
        <c:axId val="9235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单位</a:t>
                </a:r>
                <a:r>
                  <a:rPr lang="en-US" altLang="zh-CN"/>
                  <a:t>mg/L </a:t>
                </a:r>
                <a:endParaRPr lang="en-US" altLang="zh-CN"/>
              </a:p>
            </c:rich>
          </c:tx>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56742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NH</a:t>
            </a:r>
            <a:r>
              <a:rPr lang="en-US" altLang="zh-CN" baseline="-25000">
                <a:solidFill>
                  <a:schemeClr val="tx1">
                    <a:lumMod val="65000"/>
                    <a:lumOff val="35000"/>
                  </a:schemeClr>
                </a:solidFill>
                <a:uFillTx/>
              </a:rPr>
              <a:t>3</a:t>
            </a:r>
            <a:r>
              <a:rPr lang="zh-CN" altLang="en-US"/>
              <a:t>变化趋势</a:t>
            </a:r>
            <a:endParaRPr lang="zh-CN" altLang="en-US"/>
          </a:p>
        </c:rich>
      </c:tx>
      <c:layout/>
      <c:overlay val="0"/>
      <c:spPr>
        <a:noFill/>
        <a:ln>
          <a:noFill/>
        </a:ln>
        <a:effectLst/>
      </c:spPr>
    </c:title>
    <c:autoTitleDeleted val="0"/>
    <c:plotArea>
      <c:layout/>
      <c:lineChart>
        <c:grouping val="standard"/>
        <c:varyColors val="0"/>
        <c:ser>
          <c:idx val="0"/>
          <c:order val="0"/>
          <c:tx>
            <c:strRef>
              <c:f>[变化趋势.xlsx]Sheet2!$J$1</c:f>
              <c:strCache>
                <c:ptCount val="1"/>
                <c:pt idx="0">
                  <c:v>NH3标准值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[工作簿1]Sheet2!$I$2:$I$11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[工作簿1]Sheet2!$J$2:$J$11</c:f>
              <c:numCache>
                <c:formatCode>0.0_ </c:formatCode>
                <c:ptCount val="10"/>
                <c:pt idx="0">
                  <c:v>1</c:v>
                </c:pt>
                <c:pt idx="1">
                  <c:v>1</c:v>
                </c:pt>
                <c:pt idx="2">
                  <c:v>1</c:v>
                </c:pt>
                <c:pt idx="3">
                  <c:v>1</c:v>
                </c:pt>
                <c:pt idx="4">
                  <c:v>1</c:v>
                </c:pt>
                <c:pt idx="5">
                  <c:v>1</c:v>
                </c:pt>
                <c:pt idx="6">
                  <c:v>1</c:v>
                </c:pt>
                <c:pt idx="7">
                  <c:v>1</c:v>
                </c:pt>
                <c:pt idx="8">
                  <c:v>1</c:v>
                </c:pt>
                <c:pt idx="9">
                  <c:v>1</c:v>
                </c:pt>
              </c:numCache>
            </c:numRef>
          </c:val>
          <c:smooth val="0"/>
        </c:ser>
        <c:ser>
          <c:idx val="1"/>
          <c:order val="1"/>
          <c:tx>
            <c:strRef>
              <c:f>[变化趋势.xlsx]Sheet2!$K$1</c:f>
              <c:strCache>
                <c:ptCount val="1"/>
                <c:pt idx="0">
                  <c:v>前河-乡石鹰NH3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[工作簿1]Sheet2!$I$2:$I$11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[工作簿1]Sheet2!$K$2:$K$11</c:f>
              <c:numCache>
                <c:formatCode>General</c:formatCode>
                <c:ptCount val="10"/>
                <c:pt idx="0">
                  <c:v>0.38</c:v>
                </c:pt>
                <c:pt idx="1">
                  <c:v>0.453</c:v>
                </c:pt>
                <c:pt idx="2">
                  <c:v>0.024</c:v>
                </c:pt>
                <c:pt idx="3">
                  <c:v>0.233</c:v>
                </c:pt>
                <c:pt idx="4">
                  <c:v>0.213</c:v>
                </c:pt>
                <c:pt idx="5">
                  <c:v>0.451</c:v>
                </c:pt>
                <c:pt idx="6">
                  <c:v>0.418</c:v>
                </c:pt>
                <c:pt idx="7">
                  <c:v>0.122</c:v>
                </c:pt>
                <c:pt idx="8">
                  <c:v>0.183</c:v>
                </c:pt>
                <c:pt idx="9">
                  <c:v>0.061</c:v>
                </c:pt>
              </c:numCache>
            </c:numRef>
          </c:val>
          <c:smooth val="0"/>
        </c:ser>
        <c:dLbls>
          <c:showLegendKey val="0"/>
          <c:showVal val="0"/>
          <c:showCatName val="0"/>
          <c:showSerName val="0"/>
          <c:showPercent val="0"/>
          <c:showBubbleSize val="0"/>
        </c:dLbls>
        <c:marker val="1"/>
        <c:smooth val="0"/>
        <c:axId val="205674287"/>
        <c:axId val="92359560"/>
      </c:lineChart>
      <c:catAx>
        <c:axId val="205674287"/>
        <c:scaling>
          <c:orientation val="minMax"/>
        </c:scaling>
        <c:delete val="0"/>
        <c:axPos val="b"/>
        <c:numFmt formatCode="General" sourceLinked="0"/>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59560"/>
        <c:crosses val="autoZero"/>
        <c:auto val="1"/>
        <c:lblAlgn val="ctr"/>
        <c:lblOffset val="100"/>
        <c:noMultiLvlLbl val="0"/>
      </c:catAx>
      <c:valAx>
        <c:axId val="9235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单位</a:t>
                </a:r>
                <a:r>
                  <a:rPr lang="en-US" altLang="zh-CN"/>
                  <a:t>mg/L </a:t>
                </a:r>
                <a:endParaRPr lang="en-US" altLang="zh-CN"/>
              </a:p>
            </c:rich>
          </c:tx>
          <c:layout/>
          <c:overlay val="0"/>
          <c:spPr>
            <a:noFill/>
            <a:ln>
              <a:noFill/>
            </a:ln>
            <a:effectLst/>
          </c:spPr>
        </c:title>
        <c:numFmt formatCode="0.0_ " sourceLinked="1"/>
        <c:majorTickMark val="in"/>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56742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BOD</a:t>
            </a:r>
            <a:r>
              <a:rPr lang="en-US" altLang="zh-CN" baseline="-25000">
                <a:solidFill>
                  <a:schemeClr val="tx1">
                    <a:lumMod val="65000"/>
                    <a:lumOff val="35000"/>
                  </a:schemeClr>
                </a:solidFill>
                <a:uFillTx/>
              </a:rPr>
              <a:t>5</a:t>
            </a:r>
            <a:r>
              <a:rPr lang="zh-CN" altLang="en-US"/>
              <a:t>变化趋势</a:t>
            </a:r>
            <a:endParaRPr lang="zh-CN" altLang="en-US"/>
          </a:p>
        </c:rich>
      </c:tx>
      <c:layout/>
      <c:overlay val="0"/>
      <c:spPr>
        <a:noFill/>
        <a:ln>
          <a:noFill/>
        </a:ln>
        <a:effectLst/>
      </c:spPr>
    </c:title>
    <c:autoTitleDeleted val="0"/>
    <c:plotArea>
      <c:layout/>
      <c:lineChart>
        <c:grouping val="standard"/>
        <c:varyColors val="0"/>
        <c:ser>
          <c:idx val="0"/>
          <c:order val="0"/>
          <c:tx>
            <c:strRef>
              <c:f>[变化趋势.xlsx]Sheet2!$N$1</c:f>
              <c:strCache>
                <c:ptCount val="1"/>
                <c:pt idx="0">
                  <c:v>BOD5标准值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[变化趋势.xlsx]Sheet2!$M$2:$M$11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[变化趋势.xlsx]Sheet2!$N$2:$N$11</c:f>
              <c:numCache>
                <c:formatCode>0.0_ </c:formatCode>
                <c:ptCount val="10"/>
                <c:pt idx="0">
                  <c:v>4</c:v>
                </c:pt>
                <c:pt idx="1">
                  <c:v>4</c:v>
                </c:pt>
                <c:pt idx="2">
                  <c:v>4</c:v>
                </c:pt>
                <c:pt idx="3">
                  <c:v>4</c:v>
                </c:pt>
                <c:pt idx="4">
                  <c:v>4</c:v>
                </c:pt>
                <c:pt idx="5">
                  <c:v>4</c:v>
                </c:pt>
                <c:pt idx="6">
                  <c:v>4</c:v>
                </c:pt>
                <c:pt idx="7">
                  <c:v>4</c:v>
                </c:pt>
                <c:pt idx="8">
                  <c:v>4</c:v>
                </c:pt>
                <c:pt idx="9">
                  <c:v>4</c:v>
                </c:pt>
              </c:numCache>
            </c:numRef>
          </c:val>
          <c:smooth val="0"/>
        </c:ser>
        <c:ser>
          <c:idx val="1"/>
          <c:order val="1"/>
          <c:tx>
            <c:strRef>
              <c:f>[变化趋势.xlsx]Sheet2!$O$1</c:f>
              <c:strCache>
                <c:ptCount val="1"/>
                <c:pt idx="0">
                  <c:v>前河-乡石鹰BOD5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[变化趋势.xlsx]Sheet2!$M$2:$M$11</c:f>
              <c:strCache>
                <c:ptCount val="10"/>
                <c:pt idx="0">
                  <c:v>2021年一季度</c:v>
                </c:pt>
                <c:pt idx="1">
                  <c:v>2021年二季度</c:v>
                </c:pt>
                <c:pt idx="2">
                  <c:v>2021年三季度</c:v>
                </c:pt>
                <c:pt idx="3">
                  <c:v>2021年四季度</c:v>
                </c:pt>
                <c:pt idx="4">
                  <c:v>2022年一季度</c:v>
                </c:pt>
                <c:pt idx="5">
                  <c:v>2022年二季度</c:v>
                </c:pt>
                <c:pt idx="6">
                  <c:v>2022年三季度</c:v>
                </c:pt>
                <c:pt idx="7">
                  <c:v>2022年四季度</c:v>
                </c:pt>
                <c:pt idx="8">
                  <c:v>2023年一季度</c:v>
                </c:pt>
                <c:pt idx="9">
                  <c:v>2023年二季度</c:v>
                </c:pt>
              </c:strCache>
            </c:strRef>
          </c:cat>
          <c:val>
            <c:numRef>
              <c:f>[变化趋势.xlsx]Sheet2!$O$2:$O$11</c:f>
              <c:numCache>
                <c:formatCode>General</c:formatCode>
                <c:ptCount val="10"/>
                <c:pt idx="0">
                  <c:v>0.38</c:v>
                </c:pt>
                <c:pt idx="1">
                  <c:v>0.453</c:v>
                </c:pt>
                <c:pt idx="2">
                  <c:v>0.024</c:v>
                </c:pt>
                <c:pt idx="3">
                  <c:v>0.233</c:v>
                </c:pt>
                <c:pt idx="4">
                  <c:v>0.213</c:v>
                </c:pt>
                <c:pt idx="5">
                  <c:v>0.451</c:v>
                </c:pt>
                <c:pt idx="6">
                  <c:v>0.418</c:v>
                </c:pt>
                <c:pt idx="7">
                  <c:v>0.122</c:v>
                </c:pt>
                <c:pt idx="8">
                  <c:v>0.183</c:v>
                </c:pt>
                <c:pt idx="9">
                  <c:v>0.061</c:v>
                </c:pt>
              </c:numCache>
            </c:numRef>
          </c:val>
          <c:smooth val="0"/>
        </c:ser>
        <c:dLbls>
          <c:showLegendKey val="0"/>
          <c:showVal val="0"/>
          <c:showCatName val="0"/>
          <c:showSerName val="0"/>
          <c:showPercent val="0"/>
          <c:showBubbleSize val="0"/>
        </c:dLbls>
        <c:marker val="1"/>
        <c:smooth val="0"/>
        <c:axId val="205674287"/>
        <c:axId val="92359560"/>
      </c:lineChart>
      <c:catAx>
        <c:axId val="205674287"/>
        <c:scaling>
          <c:orientation val="minMax"/>
        </c:scaling>
        <c:delete val="0"/>
        <c:axPos val="b"/>
        <c:numFmt formatCode="General" sourceLinked="0"/>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359560"/>
        <c:crosses val="autoZero"/>
        <c:auto val="1"/>
        <c:lblAlgn val="ctr"/>
        <c:lblOffset val="100"/>
        <c:noMultiLvlLbl val="0"/>
      </c:catAx>
      <c:valAx>
        <c:axId val="9235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单位</a:t>
                </a:r>
                <a:r>
                  <a:rPr lang="en-US" altLang="zh-CN"/>
                  <a:t>mg/L </a:t>
                </a:r>
                <a:endParaRPr lang="en-US" altLang="zh-CN"/>
              </a:p>
            </c:rich>
          </c:tx>
          <c:layout/>
          <c:overlay val="0"/>
          <c:spPr>
            <a:noFill/>
            <a:ln>
              <a:noFill/>
            </a:ln>
            <a:effectLst/>
          </c:spPr>
        </c:title>
        <c:numFmt formatCode="0.0_ " sourceLinked="1"/>
        <c:majorTickMark val="in"/>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567428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178</Pages>
  <Words>123308</Words>
  <Characters>143560</Characters>
  <Lines>1075</Lines>
  <Paragraphs>302</Paragraphs>
  <TotalTime>1</TotalTime>
  <ScaleCrop>false</ScaleCrop>
  <LinksUpToDate>false</LinksUpToDate>
  <CharactersWithSpaces>143965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2023-07-13T04:11:00Z</dcterms:created>
  <dc:creator>雨 听</dc:creator>
  <cp:lastModifiedBy>Administrator</cp:lastModifiedBy>
  <dcterms:modified xsi:type="dcterms:W3CDTF">2023-07-20T02:44:38Z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5F4F7FBD8F6F4277B0B4E08D99DE0518_13</vt:lpwstr>
  </property>
</Properties>
</file>