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bookmarkStart w:id="0" w:name="_Hlk57883707"/>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bookmarkEnd w:id="0"/>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楷体_GB2312" w:eastAsia="楷体_GB2312"/>
          <w:bCs/>
          <w:sz w:val="48"/>
          <w:szCs w:val="48"/>
        </w:rPr>
      </w:pP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（生态影响类）</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36"/>
          <w:szCs w:val="36"/>
        </w:rPr>
        <w:t>（送审本）</w:t>
      </w:r>
    </w:p>
    <w:p>
      <w:pPr>
        <w:adjustRightInd w:val="0"/>
        <w:snapToGrid w:val="0"/>
        <w:spacing w:line="288" w:lineRule="auto"/>
        <w:jc w:val="center"/>
        <w:rPr>
          <w:rFonts w:ascii="华文仿宋" w:hAnsi="华文仿宋" w:eastAsia="华文仿宋" w:cs="华文仿宋"/>
          <w:kern w:val="44"/>
          <w:sz w:val="44"/>
          <w:szCs w:val="44"/>
        </w:rPr>
      </w:pPr>
      <w:bookmarkStart w:id="1" w:name="_Hlk57883728"/>
    </w:p>
    <w:p>
      <w:pPr>
        <w:jc w:val="center"/>
        <w:rPr>
          <w:rFonts w:eastAsia="仿宋"/>
          <w:sz w:val="52"/>
          <w:szCs w:val="52"/>
        </w:rPr>
      </w:pPr>
    </w:p>
    <w:p>
      <w:pPr>
        <w:jc w:val="center"/>
        <w:rPr>
          <w:rFonts w:eastAsia="仿宋"/>
          <w:sz w:val="52"/>
          <w:szCs w:val="52"/>
        </w:rPr>
      </w:pPr>
    </w:p>
    <w:p>
      <w:pPr>
        <w:jc w:val="center"/>
        <w:rPr>
          <w:rFonts w:eastAsia="仿宋"/>
          <w:sz w:val="52"/>
          <w:szCs w:val="52"/>
        </w:rPr>
      </w:pPr>
    </w:p>
    <w:tbl>
      <w:tblPr>
        <w:tblStyle w:val="17"/>
        <w:tblW w:w="0" w:type="auto"/>
        <w:jc w:val="center"/>
        <w:tblLayout w:type="fixed"/>
        <w:tblCellMar>
          <w:top w:w="0" w:type="dxa"/>
          <w:left w:w="108" w:type="dxa"/>
          <w:bottom w:w="0" w:type="dxa"/>
          <w:right w:w="108" w:type="dxa"/>
        </w:tblCellMar>
      </w:tblPr>
      <w:tblGrid>
        <w:gridCol w:w="2032"/>
        <w:gridCol w:w="5131"/>
      </w:tblGrid>
      <w:tr>
        <w:tblPrEx>
          <w:tblCellMar>
            <w:top w:w="0" w:type="dxa"/>
            <w:left w:w="108" w:type="dxa"/>
            <w:bottom w:w="0" w:type="dxa"/>
            <w:right w:w="108" w:type="dxa"/>
          </w:tblCellMar>
        </w:tblPrEx>
        <w:trPr>
          <w:trHeight w:val="170" w:hRule="atLeast"/>
          <w:jc w:val="center"/>
        </w:trPr>
        <w:tc>
          <w:tcPr>
            <w:tcW w:w="2032" w:type="dxa"/>
            <w:vAlign w:val="center"/>
          </w:tcPr>
          <w:p>
            <w:pPr>
              <w:adjustRightInd w:val="0"/>
              <w:snapToGrid w:val="0"/>
              <w:spacing w:line="288" w:lineRule="auto"/>
              <w:jc w:val="center"/>
              <w:rPr>
                <w:rFonts w:eastAsia="仿宋_GB2312"/>
                <w:spacing w:val="30"/>
                <w:sz w:val="32"/>
                <w:szCs w:val="32"/>
              </w:rPr>
            </w:pPr>
            <w:r>
              <w:rPr>
                <w:rFonts w:eastAsia="仿宋_GB2312"/>
                <w:spacing w:val="30"/>
                <w:sz w:val="32"/>
                <w:szCs w:val="32"/>
              </w:rPr>
              <w:t>项目名称:</w:t>
            </w:r>
          </w:p>
        </w:tc>
        <w:tc>
          <w:tcPr>
            <w:tcW w:w="5131" w:type="dxa"/>
            <w:vAlign w:val="center"/>
          </w:tcPr>
          <w:p>
            <w:pPr>
              <w:adjustRightInd w:val="0"/>
              <w:snapToGrid w:val="0"/>
              <w:spacing w:line="288" w:lineRule="auto"/>
              <w:jc w:val="left"/>
              <w:rPr>
                <w:rFonts w:eastAsia="仿宋_GB2312"/>
                <w:spacing w:val="-20"/>
                <w:sz w:val="32"/>
                <w:szCs w:val="32"/>
                <w:u w:val="single"/>
              </w:rPr>
            </w:pPr>
            <w:r>
              <w:rPr>
                <w:rFonts w:hint="eastAsia" w:eastAsia="仿宋_GB2312"/>
                <w:spacing w:val="-20"/>
                <w:sz w:val="32"/>
                <w:szCs w:val="32"/>
                <w:u w:val="single"/>
              </w:rPr>
              <w:t xml:space="preserve">    普光园区化工专线输气管道工程        </w:t>
            </w:r>
          </w:p>
        </w:tc>
      </w:tr>
      <w:tr>
        <w:tblPrEx>
          <w:tblCellMar>
            <w:top w:w="0" w:type="dxa"/>
            <w:left w:w="108" w:type="dxa"/>
            <w:bottom w:w="0" w:type="dxa"/>
            <w:right w:w="108" w:type="dxa"/>
          </w:tblCellMar>
        </w:tblPrEx>
        <w:trPr>
          <w:trHeight w:val="176" w:hRule="atLeast"/>
          <w:jc w:val="center"/>
        </w:trPr>
        <w:tc>
          <w:tcPr>
            <w:tcW w:w="2032" w:type="dxa"/>
            <w:vAlign w:val="center"/>
          </w:tcPr>
          <w:p>
            <w:pPr>
              <w:adjustRightInd w:val="0"/>
              <w:spacing w:line="288" w:lineRule="auto"/>
              <w:jc w:val="center"/>
              <w:rPr>
                <w:rFonts w:eastAsia="黑体"/>
                <w:bCs/>
                <w:sz w:val="32"/>
                <w:szCs w:val="32"/>
              </w:rPr>
            </w:pPr>
          </w:p>
        </w:tc>
        <w:tc>
          <w:tcPr>
            <w:tcW w:w="5131" w:type="dxa"/>
            <w:vAlign w:val="center"/>
          </w:tcPr>
          <w:p>
            <w:pPr>
              <w:adjustRightInd w:val="0"/>
              <w:spacing w:line="288" w:lineRule="auto"/>
              <w:jc w:val="center"/>
              <w:rPr>
                <w:rFonts w:eastAsia="黑体"/>
                <w:bCs/>
                <w:sz w:val="32"/>
                <w:szCs w:val="32"/>
              </w:rPr>
            </w:pPr>
          </w:p>
        </w:tc>
      </w:tr>
      <w:tr>
        <w:tblPrEx>
          <w:tblCellMar>
            <w:top w:w="0" w:type="dxa"/>
            <w:left w:w="108" w:type="dxa"/>
            <w:bottom w:w="0" w:type="dxa"/>
            <w:right w:w="108" w:type="dxa"/>
          </w:tblCellMar>
        </w:tblPrEx>
        <w:trPr>
          <w:trHeight w:val="176" w:hRule="atLeast"/>
          <w:jc w:val="center"/>
        </w:trPr>
        <w:tc>
          <w:tcPr>
            <w:tcW w:w="2032" w:type="dxa"/>
            <w:vAlign w:val="center"/>
          </w:tcPr>
          <w:p>
            <w:pPr>
              <w:adjustRightInd w:val="0"/>
              <w:snapToGrid w:val="0"/>
              <w:spacing w:line="288" w:lineRule="auto"/>
              <w:jc w:val="center"/>
              <w:rPr>
                <w:rFonts w:eastAsia="仿宋_GB2312"/>
                <w:spacing w:val="-30"/>
                <w:sz w:val="32"/>
                <w:szCs w:val="32"/>
              </w:rPr>
            </w:pPr>
            <w:r>
              <w:rPr>
                <w:rFonts w:eastAsia="仿宋_GB2312"/>
                <w:spacing w:val="-30"/>
                <w:sz w:val="32"/>
                <w:szCs w:val="32"/>
              </w:rPr>
              <w:t>建设单位(盖章):</w:t>
            </w:r>
          </w:p>
        </w:tc>
        <w:tc>
          <w:tcPr>
            <w:tcW w:w="5131" w:type="dxa"/>
            <w:vAlign w:val="center"/>
          </w:tcPr>
          <w:p>
            <w:pPr>
              <w:adjustRightInd w:val="0"/>
              <w:snapToGrid w:val="0"/>
              <w:spacing w:line="288" w:lineRule="auto"/>
              <w:jc w:val="left"/>
              <w:rPr>
                <w:rFonts w:eastAsia="仿宋_GB2312"/>
                <w:spacing w:val="-14"/>
                <w:sz w:val="32"/>
                <w:szCs w:val="32"/>
                <w:u w:val="single"/>
              </w:rPr>
            </w:pPr>
            <w:r>
              <w:rPr>
                <w:rFonts w:hint="eastAsia" w:eastAsia="仿宋_GB2312"/>
                <w:spacing w:val="-14"/>
                <w:sz w:val="32"/>
                <w:szCs w:val="32"/>
                <w:u w:val="single"/>
              </w:rPr>
              <w:t xml:space="preserve">       宣汉普宏燃气有限公司        </w:t>
            </w:r>
          </w:p>
        </w:tc>
      </w:tr>
      <w:tr>
        <w:tblPrEx>
          <w:tblCellMar>
            <w:top w:w="0" w:type="dxa"/>
            <w:left w:w="108" w:type="dxa"/>
            <w:bottom w:w="0" w:type="dxa"/>
            <w:right w:w="108" w:type="dxa"/>
          </w:tblCellMar>
        </w:tblPrEx>
        <w:trPr>
          <w:trHeight w:val="176" w:hRule="atLeast"/>
          <w:jc w:val="center"/>
        </w:trPr>
        <w:tc>
          <w:tcPr>
            <w:tcW w:w="2032" w:type="dxa"/>
            <w:vAlign w:val="center"/>
          </w:tcPr>
          <w:p>
            <w:pPr>
              <w:adjustRightInd w:val="0"/>
              <w:snapToGrid w:val="0"/>
              <w:spacing w:line="288" w:lineRule="auto"/>
              <w:jc w:val="center"/>
              <w:rPr>
                <w:rFonts w:eastAsia="仿宋_GB2312"/>
                <w:sz w:val="32"/>
                <w:szCs w:val="32"/>
              </w:rPr>
            </w:pPr>
          </w:p>
        </w:tc>
        <w:tc>
          <w:tcPr>
            <w:tcW w:w="5131" w:type="dxa"/>
            <w:vAlign w:val="center"/>
          </w:tcPr>
          <w:p>
            <w:pPr>
              <w:adjustRightInd w:val="0"/>
              <w:snapToGrid w:val="0"/>
              <w:spacing w:line="288" w:lineRule="auto"/>
              <w:ind w:firstLine="1040"/>
              <w:jc w:val="center"/>
              <w:rPr>
                <w:rFonts w:eastAsia="仿宋_GB2312"/>
                <w:sz w:val="32"/>
                <w:szCs w:val="32"/>
              </w:rPr>
            </w:pPr>
          </w:p>
        </w:tc>
      </w:tr>
      <w:tr>
        <w:tblPrEx>
          <w:tblCellMar>
            <w:top w:w="0" w:type="dxa"/>
            <w:left w:w="108" w:type="dxa"/>
            <w:bottom w:w="0" w:type="dxa"/>
            <w:right w:w="108" w:type="dxa"/>
          </w:tblCellMar>
        </w:tblPrEx>
        <w:trPr>
          <w:trHeight w:val="176" w:hRule="atLeast"/>
          <w:jc w:val="center"/>
        </w:trPr>
        <w:tc>
          <w:tcPr>
            <w:tcW w:w="2032" w:type="dxa"/>
            <w:vAlign w:val="center"/>
          </w:tcPr>
          <w:p>
            <w:pPr>
              <w:adjustRightInd w:val="0"/>
              <w:snapToGrid w:val="0"/>
              <w:spacing w:line="288" w:lineRule="auto"/>
              <w:jc w:val="center"/>
              <w:rPr>
                <w:rFonts w:eastAsia="仿宋_GB2312"/>
                <w:spacing w:val="30"/>
                <w:sz w:val="32"/>
                <w:szCs w:val="32"/>
              </w:rPr>
            </w:pPr>
            <w:r>
              <w:rPr>
                <w:rFonts w:eastAsia="仿宋_GB2312"/>
                <w:spacing w:val="30"/>
                <w:sz w:val="32"/>
                <w:szCs w:val="32"/>
              </w:rPr>
              <w:t>编制日期：</w:t>
            </w:r>
          </w:p>
        </w:tc>
        <w:tc>
          <w:tcPr>
            <w:tcW w:w="5131" w:type="dxa"/>
            <w:vAlign w:val="center"/>
          </w:tcPr>
          <w:p>
            <w:pPr>
              <w:adjustRightInd w:val="0"/>
              <w:snapToGrid w:val="0"/>
              <w:spacing w:line="288" w:lineRule="auto"/>
              <w:rPr>
                <w:rFonts w:eastAsia="仿宋_GB2312"/>
                <w:sz w:val="32"/>
                <w:szCs w:val="32"/>
                <w:u w:val="single"/>
              </w:rPr>
            </w:pPr>
            <w:r>
              <w:rPr>
                <w:rFonts w:eastAsia="仿宋_GB2312"/>
                <w:sz w:val="32"/>
                <w:szCs w:val="32"/>
                <w:u w:val="single"/>
              </w:rPr>
              <w:t xml:space="preserve">       </w:t>
            </w:r>
            <w:r>
              <w:rPr>
                <w:rFonts w:hint="eastAsia" w:eastAsia="仿宋_GB2312"/>
                <w:sz w:val="32"/>
                <w:szCs w:val="32"/>
                <w:u w:val="single"/>
              </w:rPr>
              <w:t xml:space="preserve">   </w:t>
            </w:r>
            <w:r>
              <w:rPr>
                <w:rFonts w:eastAsia="仿宋_GB2312"/>
                <w:sz w:val="32"/>
                <w:szCs w:val="32"/>
                <w:u w:val="single"/>
              </w:rPr>
              <w:t>2</w:t>
            </w:r>
            <w:r>
              <w:rPr>
                <w:rFonts w:hint="eastAsia" w:eastAsia="仿宋_GB2312"/>
                <w:sz w:val="32"/>
                <w:szCs w:val="32"/>
                <w:u w:val="single"/>
              </w:rPr>
              <w:t>023</w:t>
            </w:r>
            <w:r>
              <w:rPr>
                <w:rFonts w:eastAsia="仿宋_GB2312"/>
                <w:sz w:val="32"/>
                <w:szCs w:val="32"/>
                <w:u w:val="single"/>
              </w:rPr>
              <w:t>年</w:t>
            </w:r>
            <w:r>
              <w:rPr>
                <w:rFonts w:hint="eastAsia" w:eastAsia="仿宋_GB2312"/>
                <w:sz w:val="32"/>
                <w:szCs w:val="32"/>
                <w:u w:val="single"/>
                <w:lang w:val="en-US" w:eastAsia="zh-CN"/>
              </w:rPr>
              <w:t>9</w:t>
            </w:r>
            <w:bookmarkStart w:id="4" w:name="_GoBack"/>
            <w:bookmarkEnd w:id="4"/>
            <w:r>
              <w:rPr>
                <w:rFonts w:eastAsia="仿宋_GB2312"/>
                <w:sz w:val="32"/>
                <w:szCs w:val="32"/>
                <w:u w:val="single"/>
              </w:rPr>
              <w:t>月</w:t>
            </w:r>
            <w:r>
              <w:rPr>
                <w:rFonts w:hint="eastAsia" w:eastAsia="仿宋_GB2312"/>
                <w:sz w:val="32"/>
                <w:szCs w:val="32"/>
                <w:u w:val="single"/>
              </w:rPr>
              <w:t xml:space="preserve"> </w:t>
            </w:r>
            <w:r>
              <w:rPr>
                <w:rFonts w:eastAsia="仿宋_GB2312"/>
                <w:sz w:val="32"/>
                <w:szCs w:val="32"/>
                <w:u w:val="single"/>
              </w:rPr>
              <w:t xml:space="preserve">   </w:t>
            </w:r>
            <w:r>
              <w:rPr>
                <w:rFonts w:hint="eastAsia" w:eastAsia="仿宋_GB2312"/>
                <w:sz w:val="32"/>
                <w:szCs w:val="32"/>
                <w:u w:val="single"/>
              </w:rPr>
              <w:t xml:space="preserve"> </w:t>
            </w:r>
            <w:r>
              <w:rPr>
                <w:rFonts w:eastAsia="仿宋_GB2312"/>
                <w:sz w:val="32"/>
                <w:szCs w:val="32"/>
                <w:u w:val="single"/>
              </w:rPr>
              <w:t xml:space="preserve">      </w:t>
            </w:r>
          </w:p>
        </w:tc>
      </w:tr>
    </w:tbl>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bookmarkEnd w:id="1"/>
    <w:p>
      <w:pPr>
        <w:adjustRightInd w:val="0"/>
        <w:snapToGrid w:val="0"/>
        <w:spacing w:line="288" w:lineRule="auto"/>
        <w:jc w:val="center"/>
        <w:rPr>
          <w:rFonts w:ascii="仿宋_GB2312" w:eastAsia="仿宋_GB2312"/>
          <w:sz w:val="36"/>
          <w:szCs w:val="36"/>
        </w:rPr>
      </w:pPr>
      <w:r>
        <w:rPr>
          <w:rFonts w:hint="eastAsia" w:ascii="仿宋_GB2312" w:eastAsia="仿宋_GB2312"/>
          <w:spacing w:val="-20"/>
          <w:sz w:val="36"/>
          <w:szCs w:val="36"/>
        </w:rPr>
        <w:t xml:space="preserve">    </w:t>
      </w:r>
    </w:p>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  制</w:t>
      </w:r>
    </w:p>
    <w:p>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pPr>
        <w:adjustRightInd w:val="0"/>
        <w:snapToGrid w:val="0"/>
        <w:spacing w:line="288" w:lineRule="auto"/>
        <w:ind w:firstLine="1040"/>
        <w:rPr>
          <w:rFonts w:ascii="仿宋_GB2312" w:eastAsia="仿宋_GB2312"/>
          <w:sz w:val="36"/>
          <w:szCs w:val="36"/>
        </w:rPr>
        <w:sectPr>
          <w:pgSz w:w="11906" w:h="16838"/>
          <w:pgMar w:top="1701" w:right="1531" w:bottom="1701" w:left="1531" w:header="851" w:footer="1077" w:gutter="0"/>
          <w:pgNumType w:start="21"/>
          <w:cols w:space="720" w:num="1"/>
          <w:docGrid w:linePitch="312" w:charSpace="0"/>
        </w:sectPr>
      </w:pPr>
    </w:p>
    <w:p>
      <w:pPr>
        <w:pStyle w:val="14"/>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17"/>
        <w:tblW w:w="89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43"/>
        <w:gridCol w:w="2426"/>
        <w:gridCol w:w="2110"/>
        <w:gridCol w:w="118"/>
        <w:gridCol w:w="24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843"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建设项目名称</w:t>
            </w:r>
          </w:p>
        </w:tc>
        <w:tc>
          <w:tcPr>
            <w:tcW w:w="7061" w:type="dxa"/>
            <w:gridSpan w:val="4"/>
            <w:vAlign w:val="center"/>
          </w:tcPr>
          <w:p>
            <w:pPr>
              <w:adjustRightInd w:val="0"/>
              <w:snapToGrid w:val="0"/>
              <w:jc w:val="center"/>
              <w:rPr>
                <w:rFonts w:ascii="宋体" w:hAnsi="宋体" w:cs="宋体"/>
                <w:szCs w:val="21"/>
              </w:rPr>
            </w:pPr>
            <w:r>
              <w:rPr>
                <w:rFonts w:hint="eastAsia" w:ascii="宋体" w:hAnsi="宋体" w:cs="宋体"/>
                <w:szCs w:val="21"/>
              </w:rPr>
              <w:t>普光园区化工专线输气管道工程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843"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项目代码</w:t>
            </w:r>
          </w:p>
        </w:tc>
        <w:tc>
          <w:tcPr>
            <w:tcW w:w="7061" w:type="dxa"/>
            <w:gridSpan w:val="4"/>
            <w:vAlign w:val="center"/>
          </w:tcPr>
          <w:p>
            <w:pPr>
              <w:adjustRightInd w:val="0"/>
              <w:snapToGrid w:val="0"/>
              <w:jc w:val="center"/>
              <w:rPr>
                <w:rFonts w:ascii="宋体" w:hAnsi="宋体" w:cs="宋体"/>
                <w:szCs w:val="21"/>
              </w:rPr>
            </w:pPr>
            <w:r>
              <w:rPr>
                <w:rFonts w:ascii="宋体" w:hAnsi="宋体" w:cs="宋体"/>
                <w:szCs w:val="21"/>
              </w:rPr>
              <w:t>“</w:t>
            </w:r>
            <w:r>
              <w:rPr>
                <w:rFonts w:hint="eastAsia" w:ascii="宋体" w:hAnsi="宋体" w:cs="宋体"/>
                <w:szCs w:val="21"/>
              </w:rPr>
              <w:t>2305-511722-04-01-706177</w:t>
            </w:r>
            <w:r>
              <w:rPr>
                <w:rFonts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843"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建设单位联系人</w:t>
            </w:r>
          </w:p>
        </w:tc>
        <w:tc>
          <w:tcPr>
            <w:tcW w:w="2426" w:type="dxa"/>
            <w:vAlign w:val="center"/>
          </w:tcPr>
          <w:p>
            <w:pPr>
              <w:adjustRightInd w:val="0"/>
              <w:snapToGrid w:val="0"/>
              <w:jc w:val="center"/>
              <w:rPr>
                <w:rFonts w:ascii="宋体" w:hAnsi="宋体" w:cs="宋体"/>
                <w:szCs w:val="21"/>
              </w:rPr>
            </w:pPr>
            <w:r>
              <w:rPr>
                <w:rFonts w:hint="eastAsia" w:ascii="宋体" w:hAnsi="宋体" w:cs="宋体"/>
                <w:szCs w:val="21"/>
              </w:rPr>
              <w:t>谢忠东</w:t>
            </w:r>
          </w:p>
        </w:tc>
        <w:tc>
          <w:tcPr>
            <w:tcW w:w="2228" w:type="dxa"/>
            <w:gridSpan w:val="2"/>
            <w:vAlign w:val="center"/>
          </w:tcPr>
          <w:p>
            <w:pPr>
              <w:adjustRightInd w:val="0"/>
              <w:snapToGrid w:val="0"/>
              <w:jc w:val="center"/>
              <w:rPr>
                <w:rFonts w:ascii="宋体" w:hAnsi="宋体" w:cs="宋体"/>
                <w:szCs w:val="21"/>
              </w:rPr>
            </w:pPr>
            <w:r>
              <w:rPr>
                <w:rFonts w:hint="eastAsia" w:ascii="宋体" w:hAnsi="宋体" w:cs="宋体"/>
                <w:szCs w:val="21"/>
              </w:rPr>
              <w:t>联系方式</w:t>
            </w:r>
          </w:p>
        </w:tc>
        <w:tc>
          <w:tcPr>
            <w:tcW w:w="2407" w:type="dxa"/>
            <w:vAlign w:val="center"/>
          </w:tcPr>
          <w:p>
            <w:pPr>
              <w:adjustRightInd w:val="0"/>
              <w:snapToGrid w:val="0"/>
              <w:jc w:val="center"/>
              <w:rPr>
                <w:rFonts w:ascii="宋体" w:hAnsi="宋体" w:cs="宋体"/>
                <w:szCs w:val="21"/>
              </w:rPr>
            </w:pPr>
            <w:r>
              <w:rPr>
                <w:rFonts w:hint="eastAsia" w:ascii="宋体" w:hAnsi="宋体" w:cs="宋体"/>
                <w:szCs w:val="21"/>
              </w:rPr>
              <w:t>18982827953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843"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建设地点</w:t>
            </w:r>
          </w:p>
        </w:tc>
        <w:tc>
          <w:tcPr>
            <w:tcW w:w="7061" w:type="dxa"/>
            <w:gridSpan w:val="4"/>
            <w:vAlign w:val="center"/>
          </w:tcPr>
          <w:p>
            <w:pPr>
              <w:adjustRightInd w:val="0"/>
              <w:snapToGrid w:val="0"/>
              <w:jc w:val="center"/>
              <w:rPr>
                <w:rFonts w:ascii="宋体" w:hAnsi="宋体" w:cs="宋体"/>
                <w:szCs w:val="21"/>
              </w:rPr>
            </w:pPr>
            <w:r>
              <w:rPr>
                <w:rFonts w:ascii="宋体" w:hAnsi="宋体" w:cs="宋体"/>
                <w:szCs w:val="21"/>
                <w:u w:val="single"/>
              </w:rPr>
              <w:t xml:space="preserve"> 四川 </w:t>
            </w:r>
            <w:r>
              <w:rPr>
                <w:rFonts w:hint="eastAsia" w:ascii="宋体" w:hAnsi="宋体" w:cs="宋体"/>
                <w:szCs w:val="21"/>
              </w:rPr>
              <w:t>省</w:t>
            </w:r>
            <w:r>
              <w:rPr>
                <w:rFonts w:ascii="宋体" w:hAnsi="宋体" w:cs="宋体"/>
                <w:szCs w:val="21"/>
                <w:u w:val="single"/>
              </w:rPr>
              <w:t xml:space="preserve"> </w:t>
            </w:r>
            <w:r>
              <w:rPr>
                <w:rFonts w:hint="eastAsia" w:ascii="宋体" w:hAnsi="宋体" w:cs="宋体"/>
                <w:szCs w:val="21"/>
                <w:u w:val="single"/>
              </w:rPr>
              <w:t>达州</w:t>
            </w:r>
            <w:r>
              <w:rPr>
                <w:rFonts w:ascii="宋体" w:hAnsi="宋体" w:cs="宋体"/>
                <w:szCs w:val="21"/>
                <w:u w:val="single"/>
              </w:rPr>
              <w:t xml:space="preserve"> </w:t>
            </w:r>
            <w:r>
              <w:rPr>
                <w:rFonts w:hint="eastAsia" w:ascii="宋体" w:hAnsi="宋体" w:cs="宋体"/>
                <w:szCs w:val="21"/>
              </w:rPr>
              <w:t>市</w:t>
            </w:r>
            <w:r>
              <w:rPr>
                <w:rFonts w:hint="eastAsia" w:ascii="宋体" w:hAnsi="宋体" w:cs="宋体"/>
                <w:szCs w:val="21"/>
                <w:u w:val="single"/>
              </w:rPr>
              <w:t xml:space="preserve"> 宣汉</w:t>
            </w:r>
            <w:r>
              <w:rPr>
                <w:rFonts w:hint="eastAsia" w:ascii="宋体" w:hAnsi="宋体" w:cs="宋体"/>
                <w:szCs w:val="21"/>
              </w:rPr>
              <w:t xml:space="preserve"> 县 </w:t>
            </w:r>
            <w:r>
              <w:rPr>
                <w:rFonts w:hint="eastAsia" w:ascii="宋体" w:hAnsi="宋体" w:cs="宋体"/>
                <w:szCs w:val="21"/>
                <w:u w:val="single"/>
              </w:rPr>
              <w:t xml:space="preserve"> 普光</w:t>
            </w:r>
            <w:r>
              <w:rPr>
                <w:rFonts w:ascii="宋体" w:hAnsi="宋体" w:cs="宋体"/>
                <w:szCs w:val="21"/>
                <w:u w:val="single"/>
              </w:rPr>
              <w:t xml:space="preserve"> </w:t>
            </w:r>
            <w:r>
              <w:rPr>
                <w:rFonts w:hint="eastAsia" w:ascii="宋体" w:hAnsi="宋体" w:cs="宋体"/>
                <w:szCs w:val="21"/>
              </w:rPr>
              <w:t>镇</w:t>
            </w:r>
            <w:r>
              <w:rPr>
                <w:rFonts w:ascii="宋体" w:hAnsi="宋体" w:cs="宋体"/>
                <w:szCs w:val="21"/>
                <w:u w:val="single"/>
              </w:rPr>
              <w:t xml:space="preserve"> </w:t>
            </w:r>
            <w:r>
              <w:rPr>
                <w:rFonts w:hint="eastAsia" w:ascii="宋体" w:hAnsi="宋体" w:cs="宋体"/>
                <w:szCs w:val="21"/>
                <w:u w:val="single"/>
              </w:rPr>
              <w:t xml:space="preserve">普光工业园区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3" w:hRule="atLeast"/>
          <w:jc w:val="center"/>
        </w:trPr>
        <w:tc>
          <w:tcPr>
            <w:tcW w:w="1843"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地理坐标</w:t>
            </w:r>
          </w:p>
        </w:tc>
        <w:tc>
          <w:tcPr>
            <w:tcW w:w="7061" w:type="dxa"/>
            <w:gridSpan w:val="4"/>
            <w:vAlign w:val="center"/>
          </w:tcPr>
          <w:p>
            <w:pPr>
              <w:adjustRightInd w:val="0"/>
              <w:snapToGrid w:val="0"/>
              <w:jc w:val="center"/>
              <w:rPr>
                <w:rFonts w:ascii="宋体" w:hAnsi="宋体" w:cs="宋体"/>
                <w:szCs w:val="21"/>
              </w:rPr>
            </w:pPr>
            <w:r>
              <w:rPr>
                <w:rFonts w:hint="eastAsia" w:ascii="宋体" w:hAnsi="宋体" w:cs="宋体"/>
                <w:szCs w:val="21"/>
              </w:rPr>
              <w:t>起点：（</w:t>
            </w:r>
            <w:r>
              <w:rPr>
                <w:rFonts w:ascii="宋体" w:hAnsi="宋体" w:cs="宋体"/>
                <w:szCs w:val="21"/>
                <w:u w:val="single"/>
              </w:rPr>
              <w:t xml:space="preserve"> </w:t>
            </w:r>
            <w:r>
              <w:rPr>
                <w:rFonts w:hint="eastAsia" w:ascii="宋体" w:hAnsi="宋体" w:cs="宋体"/>
                <w:szCs w:val="21"/>
                <w:u w:val="single"/>
              </w:rPr>
              <w:t>107</w:t>
            </w:r>
            <w:r>
              <w:rPr>
                <w:rFonts w:ascii="宋体" w:hAnsi="宋体" w:cs="宋体"/>
                <w:szCs w:val="21"/>
                <w:u w:val="single"/>
              </w:rPr>
              <w:t xml:space="preserve"> </w:t>
            </w:r>
            <w:r>
              <w:rPr>
                <w:rFonts w:hint="eastAsia" w:ascii="宋体" w:hAnsi="宋体" w:cs="宋体"/>
                <w:szCs w:val="21"/>
              </w:rPr>
              <w:t>度</w:t>
            </w:r>
            <w:r>
              <w:rPr>
                <w:rFonts w:ascii="宋体" w:hAnsi="宋体" w:cs="宋体"/>
                <w:szCs w:val="21"/>
                <w:u w:val="single"/>
              </w:rPr>
              <w:t xml:space="preserve"> </w:t>
            </w:r>
            <w:r>
              <w:rPr>
                <w:rFonts w:hint="eastAsia" w:ascii="宋体" w:hAnsi="宋体" w:cs="宋体"/>
                <w:szCs w:val="21"/>
                <w:u w:val="single"/>
              </w:rPr>
              <w:t>44</w:t>
            </w:r>
            <w:r>
              <w:rPr>
                <w:rFonts w:ascii="宋体" w:hAnsi="宋体" w:cs="宋体"/>
                <w:szCs w:val="21"/>
                <w:u w:val="single"/>
              </w:rPr>
              <w:t xml:space="preserve"> </w:t>
            </w:r>
            <w:r>
              <w:rPr>
                <w:rFonts w:hint="eastAsia" w:ascii="宋体" w:hAnsi="宋体" w:cs="宋体"/>
                <w:szCs w:val="21"/>
              </w:rPr>
              <w:t>分</w:t>
            </w:r>
            <w:r>
              <w:rPr>
                <w:rFonts w:ascii="宋体" w:hAnsi="宋体" w:cs="宋体"/>
                <w:szCs w:val="21"/>
                <w:u w:val="single"/>
              </w:rPr>
              <w:t xml:space="preserve"> </w:t>
            </w:r>
            <w:r>
              <w:rPr>
                <w:rFonts w:hint="eastAsia" w:ascii="宋体" w:hAnsi="宋体" w:cs="宋体"/>
                <w:szCs w:val="21"/>
                <w:u w:val="single"/>
              </w:rPr>
              <w:t>4.420</w:t>
            </w:r>
            <w:r>
              <w:rPr>
                <w:rFonts w:ascii="宋体" w:hAnsi="宋体" w:cs="宋体"/>
                <w:szCs w:val="21"/>
                <w:u w:val="single"/>
              </w:rPr>
              <w:t xml:space="preserve"> </w:t>
            </w:r>
            <w:r>
              <w:rPr>
                <w:rFonts w:hint="eastAsia" w:ascii="宋体" w:hAnsi="宋体" w:cs="宋体"/>
                <w:szCs w:val="21"/>
              </w:rPr>
              <w:t>秒，</w:t>
            </w:r>
            <w:r>
              <w:rPr>
                <w:rFonts w:ascii="宋体" w:hAnsi="宋体" w:cs="宋体"/>
                <w:szCs w:val="21"/>
                <w:u w:val="single"/>
              </w:rPr>
              <w:t xml:space="preserve"> </w:t>
            </w:r>
            <w:r>
              <w:rPr>
                <w:rFonts w:hint="eastAsia" w:ascii="宋体" w:hAnsi="宋体" w:cs="宋体"/>
                <w:szCs w:val="21"/>
                <w:u w:val="single"/>
              </w:rPr>
              <w:t>31</w:t>
            </w:r>
            <w:r>
              <w:rPr>
                <w:rFonts w:ascii="宋体" w:hAnsi="宋体" w:cs="宋体"/>
                <w:szCs w:val="21"/>
                <w:u w:val="single"/>
              </w:rPr>
              <w:t xml:space="preserve"> </w:t>
            </w:r>
            <w:r>
              <w:rPr>
                <w:rFonts w:hint="eastAsia" w:ascii="宋体" w:hAnsi="宋体" w:cs="宋体"/>
                <w:szCs w:val="21"/>
              </w:rPr>
              <w:t>度</w:t>
            </w:r>
            <w:r>
              <w:rPr>
                <w:rFonts w:ascii="宋体" w:hAnsi="宋体" w:cs="宋体"/>
                <w:szCs w:val="21"/>
                <w:u w:val="single"/>
              </w:rPr>
              <w:t xml:space="preserve"> </w:t>
            </w:r>
            <w:r>
              <w:rPr>
                <w:rFonts w:hint="eastAsia" w:ascii="宋体" w:hAnsi="宋体" w:cs="宋体"/>
                <w:szCs w:val="21"/>
                <w:u w:val="single"/>
              </w:rPr>
              <w:t>31</w:t>
            </w:r>
            <w:r>
              <w:rPr>
                <w:rFonts w:ascii="宋体" w:hAnsi="宋体" w:cs="宋体"/>
                <w:szCs w:val="21"/>
                <w:u w:val="single"/>
              </w:rPr>
              <w:t xml:space="preserve"> </w:t>
            </w:r>
            <w:r>
              <w:rPr>
                <w:rFonts w:hint="eastAsia" w:ascii="宋体" w:hAnsi="宋体" w:cs="宋体"/>
                <w:szCs w:val="21"/>
              </w:rPr>
              <w:t>分</w:t>
            </w:r>
            <w:r>
              <w:rPr>
                <w:rFonts w:ascii="宋体" w:hAnsi="宋体" w:cs="宋体"/>
                <w:szCs w:val="21"/>
                <w:u w:val="single"/>
              </w:rPr>
              <w:t xml:space="preserve"> </w:t>
            </w:r>
            <w:r>
              <w:rPr>
                <w:rFonts w:hint="eastAsia" w:ascii="宋体" w:hAnsi="宋体" w:cs="宋体"/>
                <w:szCs w:val="21"/>
                <w:u w:val="single"/>
              </w:rPr>
              <w:t>26.710</w:t>
            </w:r>
            <w:r>
              <w:rPr>
                <w:rFonts w:ascii="宋体" w:hAnsi="宋体" w:cs="宋体"/>
                <w:szCs w:val="21"/>
                <w:u w:val="single"/>
              </w:rPr>
              <w:t xml:space="preserve"> </w:t>
            </w:r>
            <w:r>
              <w:rPr>
                <w:rFonts w:hint="eastAsia" w:ascii="宋体" w:hAnsi="宋体" w:cs="宋体"/>
                <w:szCs w:val="21"/>
              </w:rPr>
              <w:t>秒）</w:t>
            </w:r>
          </w:p>
          <w:p>
            <w:pPr>
              <w:adjustRightInd w:val="0"/>
              <w:snapToGrid w:val="0"/>
              <w:jc w:val="center"/>
              <w:rPr>
                <w:rFonts w:ascii="宋体" w:hAnsi="宋体" w:cs="宋体"/>
                <w:szCs w:val="21"/>
              </w:rPr>
            </w:pPr>
            <w:r>
              <w:rPr>
                <w:rFonts w:hint="eastAsia" w:ascii="宋体" w:hAnsi="宋体" w:cs="宋体"/>
                <w:szCs w:val="21"/>
              </w:rPr>
              <w:t>终点：（</w:t>
            </w:r>
            <w:r>
              <w:rPr>
                <w:rFonts w:ascii="宋体" w:hAnsi="宋体" w:cs="宋体"/>
                <w:szCs w:val="21"/>
                <w:u w:val="single"/>
              </w:rPr>
              <w:t xml:space="preserve"> </w:t>
            </w:r>
            <w:r>
              <w:rPr>
                <w:rFonts w:hint="eastAsia" w:ascii="宋体" w:hAnsi="宋体" w:cs="宋体"/>
                <w:szCs w:val="21"/>
                <w:u w:val="single"/>
              </w:rPr>
              <w:t>107</w:t>
            </w:r>
            <w:r>
              <w:rPr>
                <w:rFonts w:ascii="宋体" w:hAnsi="宋体" w:cs="宋体"/>
                <w:szCs w:val="21"/>
                <w:u w:val="single"/>
              </w:rPr>
              <w:t xml:space="preserve"> </w:t>
            </w:r>
            <w:r>
              <w:rPr>
                <w:rFonts w:hint="eastAsia" w:ascii="宋体" w:hAnsi="宋体" w:cs="宋体"/>
                <w:szCs w:val="21"/>
              </w:rPr>
              <w:t>度</w:t>
            </w:r>
            <w:r>
              <w:rPr>
                <w:rFonts w:ascii="宋体" w:hAnsi="宋体" w:cs="宋体"/>
                <w:szCs w:val="21"/>
                <w:u w:val="single"/>
              </w:rPr>
              <w:t xml:space="preserve"> </w:t>
            </w:r>
            <w:r>
              <w:rPr>
                <w:rFonts w:hint="eastAsia" w:ascii="宋体" w:hAnsi="宋体" w:cs="宋体"/>
                <w:szCs w:val="21"/>
                <w:u w:val="single"/>
              </w:rPr>
              <w:t>41</w:t>
            </w:r>
            <w:r>
              <w:rPr>
                <w:rFonts w:ascii="宋体" w:hAnsi="宋体" w:cs="宋体"/>
                <w:szCs w:val="21"/>
                <w:u w:val="single"/>
              </w:rPr>
              <w:t xml:space="preserve"> </w:t>
            </w:r>
            <w:r>
              <w:rPr>
                <w:rFonts w:hint="eastAsia" w:ascii="宋体" w:hAnsi="宋体" w:cs="宋体"/>
                <w:szCs w:val="21"/>
              </w:rPr>
              <w:t>分</w:t>
            </w:r>
            <w:r>
              <w:rPr>
                <w:rFonts w:ascii="宋体" w:hAnsi="宋体" w:cs="宋体"/>
                <w:szCs w:val="21"/>
                <w:u w:val="single"/>
              </w:rPr>
              <w:t xml:space="preserve"> </w:t>
            </w:r>
            <w:r>
              <w:rPr>
                <w:rFonts w:hint="eastAsia" w:ascii="宋体" w:hAnsi="宋体" w:cs="宋体"/>
                <w:szCs w:val="21"/>
                <w:u w:val="single"/>
              </w:rPr>
              <w:t>24.850</w:t>
            </w:r>
            <w:r>
              <w:rPr>
                <w:rFonts w:ascii="宋体" w:hAnsi="宋体" w:cs="宋体"/>
                <w:szCs w:val="21"/>
                <w:u w:val="single"/>
              </w:rPr>
              <w:t xml:space="preserve"> </w:t>
            </w:r>
            <w:r>
              <w:rPr>
                <w:rFonts w:hint="eastAsia" w:ascii="宋体" w:hAnsi="宋体" w:cs="宋体"/>
                <w:szCs w:val="21"/>
              </w:rPr>
              <w:t>秒，</w:t>
            </w:r>
            <w:r>
              <w:rPr>
                <w:rFonts w:ascii="宋体" w:hAnsi="宋体" w:cs="宋体"/>
                <w:szCs w:val="21"/>
                <w:u w:val="single"/>
              </w:rPr>
              <w:t xml:space="preserve"> </w:t>
            </w:r>
            <w:r>
              <w:rPr>
                <w:rFonts w:hint="eastAsia" w:ascii="宋体" w:hAnsi="宋体" w:cs="宋体"/>
                <w:szCs w:val="21"/>
                <w:u w:val="single"/>
              </w:rPr>
              <w:t>31</w:t>
            </w:r>
            <w:r>
              <w:rPr>
                <w:rFonts w:ascii="宋体" w:hAnsi="宋体" w:cs="宋体"/>
                <w:szCs w:val="21"/>
                <w:u w:val="single"/>
              </w:rPr>
              <w:t xml:space="preserve"> </w:t>
            </w:r>
            <w:r>
              <w:rPr>
                <w:rFonts w:hint="eastAsia" w:ascii="宋体" w:hAnsi="宋体" w:cs="宋体"/>
                <w:szCs w:val="21"/>
              </w:rPr>
              <w:t>度</w:t>
            </w:r>
            <w:r>
              <w:rPr>
                <w:rFonts w:ascii="宋体" w:hAnsi="宋体" w:cs="宋体"/>
                <w:szCs w:val="21"/>
                <w:u w:val="single"/>
              </w:rPr>
              <w:t xml:space="preserve"> </w:t>
            </w:r>
            <w:r>
              <w:rPr>
                <w:rFonts w:hint="eastAsia" w:ascii="宋体" w:hAnsi="宋体" w:cs="宋体"/>
                <w:szCs w:val="21"/>
                <w:u w:val="single"/>
              </w:rPr>
              <w:t>31</w:t>
            </w:r>
            <w:r>
              <w:rPr>
                <w:rFonts w:ascii="宋体" w:hAnsi="宋体" w:cs="宋体"/>
                <w:szCs w:val="21"/>
                <w:u w:val="single"/>
              </w:rPr>
              <w:t xml:space="preserve"> </w:t>
            </w:r>
            <w:r>
              <w:rPr>
                <w:rFonts w:hint="eastAsia" w:ascii="宋体" w:hAnsi="宋体" w:cs="宋体"/>
                <w:szCs w:val="21"/>
              </w:rPr>
              <w:t>分</w:t>
            </w:r>
            <w:r>
              <w:rPr>
                <w:rFonts w:ascii="宋体" w:hAnsi="宋体" w:cs="宋体"/>
                <w:szCs w:val="21"/>
                <w:u w:val="single"/>
              </w:rPr>
              <w:t xml:space="preserve"> </w:t>
            </w:r>
            <w:r>
              <w:rPr>
                <w:rFonts w:hint="eastAsia" w:ascii="宋体" w:hAnsi="宋体" w:cs="宋体"/>
                <w:szCs w:val="21"/>
                <w:u w:val="single"/>
              </w:rPr>
              <w:t>20.020</w:t>
            </w:r>
            <w:r>
              <w:rPr>
                <w:rFonts w:ascii="宋体" w:hAnsi="宋体" w:cs="宋体"/>
                <w:szCs w:val="21"/>
                <w:u w:val="single"/>
              </w:rPr>
              <w:t xml:space="preserve"> </w:t>
            </w:r>
            <w:r>
              <w:rPr>
                <w:rFonts w:hint="eastAsia" w:ascii="宋体" w:hAnsi="宋体" w:cs="宋体"/>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1843"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建设项目</w:t>
            </w:r>
          </w:p>
          <w:p>
            <w:pPr>
              <w:adjustRightInd w:val="0"/>
              <w:snapToGrid w:val="0"/>
              <w:jc w:val="center"/>
              <w:rPr>
                <w:rFonts w:ascii="宋体" w:hAnsi="宋体" w:cs="宋体"/>
                <w:szCs w:val="21"/>
              </w:rPr>
            </w:pPr>
            <w:r>
              <w:rPr>
                <w:rFonts w:hint="eastAsia" w:ascii="宋体" w:hAnsi="宋体" w:cs="宋体"/>
                <w:szCs w:val="21"/>
              </w:rPr>
              <w:t>行业类别</w:t>
            </w:r>
          </w:p>
        </w:tc>
        <w:tc>
          <w:tcPr>
            <w:tcW w:w="2426" w:type="dxa"/>
            <w:vAlign w:val="center"/>
          </w:tcPr>
          <w:p>
            <w:pPr>
              <w:adjustRightInd w:val="0"/>
              <w:snapToGrid w:val="0"/>
              <w:jc w:val="center"/>
            </w:pPr>
            <w:r>
              <w:rPr>
                <w:rFonts w:hint="eastAsia" w:cs="宋体"/>
                <w:szCs w:val="21"/>
              </w:rPr>
              <w:t>G5720  陆地管道运输</w:t>
            </w:r>
          </w:p>
        </w:tc>
        <w:tc>
          <w:tcPr>
            <w:tcW w:w="2110" w:type="dxa"/>
            <w:vAlign w:val="center"/>
          </w:tcPr>
          <w:p>
            <w:pPr>
              <w:adjustRightInd w:val="0"/>
              <w:snapToGrid w:val="0"/>
              <w:jc w:val="center"/>
              <w:rPr>
                <w:rFonts w:cs="宋体"/>
                <w:szCs w:val="21"/>
              </w:rPr>
            </w:pPr>
            <w:r>
              <w:rPr>
                <w:rFonts w:hint="eastAsia" w:cs="宋体"/>
                <w:szCs w:val="21"/>
              </w:rPr>
              <w:t>用地（用海）面积（</w:t>
            </w:r>
            <w:r>
              <w:rPr>
                <w:rFonts w:cs="宋体"/>
                <w:szCs w:val="21"/>
              </w:rPr>
              <w:t>m</w:t>
            </w:r>
            <w:r>
              <w:rPr>
                <w:rFonts w:cs="宋体"/>
                <w:szCs w:val="21"/>
                <w:vertAlign w:val="superscript"/>
              </w:rPr>
              <w:t>2</w:t>
            </w:r>
            <w:r>
              <w:rPr>
                <w:rFonts w:hint="eastAsia" w:cs="宋体"/>
                <w:szCs w:val="21"/>
              </w:rPr>
              <w:t>）</w:t>
            </w:r>
            <w:r>
              <w:rPr>
                <w:rFonts w:cs="宋体"/>
                <w:szCs w:val="21"/>
              </w:rPr>
              <w:t>/</w:t>
            </w:r>
            <w:r>
              <w:rPr>
                <w:rFonts w:hint="eastAsia" w:cs="宋体"/>
                <w:szCs w:val="21"/>
              </w:rPr>
              <w:t>长度（</w:t>
            </w:r>
            <w:r>
              <w:rPr>
                <w:rFonts w:cs="宋体"/>
                <w:szCs w:val="21"/>
              </w:rPr>
              <w:t>km</w:t>
            </w:r>
            <w:r>
              <w:rPr>
                <w:rFonts w:hint="eastAsia" w:cs="宋体"/>
                <w:szCs w:val="21"/>
              </w:rPr>
              <w:t>）</w:t>
            </w:r>
          </w:p>
        </w:tc>
        <w:tc>
          <w:tcPr>
            <w:tcW w:w="2525" w:type="dxa"/>
            <w:gridSpan w:val="2"/>
            <w:vAlign w:val="center"/>
          </w:tcPr>
          <w:p>
            <w:pPr>
              <w:adjustRightInd w:val="0"/>
              <w:snapToGrid w:val="0"/>
              <w:jc w:val="center"/>
              <w:rPr>
                <w:rFonts w:cs="宋体"/>
                <w:szCs w:val="21"/>
              </w:rPr>
            </w:pPr>
            <w:r>
              <w:rPr>
                <w:rFonts w:hint="eastAsia" w:cs="宋体"/>
                <w:szCs w:val="21"/>
              </w:rPr>
              <w:t>临时用地：240200</w:t>
            </w:r>
            <w:r>
              <w:rPr>
                <w:rFonts w:cs="宋体"/>
                <w:szCs w:val="21"/>
              </w:rPr>
              <w:t>m</w:t>
            </w:r>
            <w:r>
              <w:rPr>
                <w:rFonts w:cs="宋体"/>
                <w:szCs w:val="21"/>
                <w:vertAlign w:val="superscript"/>
              </w:rPr>
              <w:t>2</w:t>
            </w:r>
            <w:r>
              <w:rPr>
                <w:rFonts w:hint="eastAsia" w:cs="宋体"/>
                <w:szCs w:val="21"/>
              </w:rPr>
              <w:t>；</w:t>
            </w:r>
          </w:p>
          <w:p>
            <w:pPr>
              <w:adjustRightInd w:val="0"/>
              <w:snapToGrid w:val="0"/>
              <w:jc w:val="center"/>
              <w:rPr>
                <w:rFonts w:cs="宋体"/>
                <w:szCs w:val="21"/>
              </w:rPr>
            </w:pPr>
            <w:r>
              <w:rPr>
                <w:rFonts w:hint="eastAsia" w:cs="宋体"/>
                <w:szCs w:val="21"/>
              </w:rPr>
              <w:t>永久用地：</w:t>
            </w:r>
            <w:r>
              <w:rPr>
                <w:rFonts w:hint="eastAsia"/>
              </w:rPr>
              <w:t>6595.33</w:t>
            </w:r>
            <w:r>
              <w:rPr>
                <w:rFonts w:cs="宋体"/>
                <w:szCs w:val="21"/>
              </w:rPr>
              <w:t>m</w:t>
            </w:r>
            <w:r>
              <w:rPr>
                <w:rFonts w:cs="宋体"/>
                <w:szCs w:val="21"/>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2" w:hRule="atLeast"/>
          <w:jc w:val="center"/>
        </w:trPr>
        <w:tc>
          <w:tcPr>
            <w:tcW w:w="1843"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建设性质</w:t>
            </w:r>
          </w:p>
        </w:tc>
        <w:tc>
          <w:tcPr>
            <w:tcW w:w="2426" w:type="dxa"/>
            <w:vAlign w:val="center"/>
          </w:tcPr>
          <w:p>
            <w:pPr>
              <w:adjustRightInd w:val="0"/>
              <w:snapToGrid w:val="0"/>
              <w:jc w:val="left"/>
              <w:rPr>
                <w:rFonts w:ascii="宋体" w:hAnsi="宋体" w:cs="宋体"/>
                <w:szCs w:val="21"/>
              </w:rPr>
            </w:pPr>
            <w:sdt>
              <w:sdtPr>
                <w:rPr>
                  <w:rFonts w:hint="eastAsia" w:ascii="宋体" w:hAnsi="宋体" w:cs="宋体"/>
                  <w:szCs w:val="21"/>
                </w:rPr>
                <w:id w:val="-1839918350"/>
                <w14:checkbox>
                  <w14:checked w14:val="1"/>
                  <w14:checkedState w14:val="0052" w14:font="Constantia"/>
                  <w14:uncheckedState w14:val="2610" w14:font="MS Gothic"/>
                </w14:checkbox>
              </w:sdtPr>
              <w:sdtEndPr>
                <w:rPr>
                  <w:rFonts w:hint="eastAsia" w:ascii="宋体" w:hAnsi="宋体" w:cs="宋体"/>
                  <w:szCs w:val="21"/>
                </w:rPr>
              </w:sdtEndPr>
              <w:sdtContent>
                <w:r>
                  <w:rPr>
                    <w:rFonts w:hint="eastAsia" w:ascii="宋体" w:hAnsi="宋体" w:cs="宋体"/>
                    <w:szCs w:val="21"/>
                  </w:rPr>
                  <w:sym w:font="Wingdings 2" w:char="F052"/>
                </w:r>
              </w:sdtContent>
            </w:sdt>
            <w:r>
              <w:rPr>
                <w:rFonts w:hint="eastAsia" w:ascii="宋体" w:hAnsi="宋体" w:cs="宋体"/>
                <w:szCs w:val="21"/>
              </w:rPr>
              <w:t>新建（迁建）</w:t>
            </w:r>
          </w:p>
          <w:p>
            <w:pPr>
              <w:adjustRightInd w:val="0"/>
              <w:snapToGrid w:val="0"/>
              <w:jc w:val="left"/>
              <w:rPr>
                <w:rFonts w:ascii="宋体" w:hAnsi="宋体" w:cs="宋体"/>
                <w:szCs w:val="21"/>
              </w:rPr>
            </w:pPr>
            <w:sdt>
              <w:sdtPr>
                <w:rPr>
                  <w:rFonts w:hint="eastAsia" w:ascii="宋体" w:hAnsi="宋体" w:cs="宋体"/>
                  <w:szCs w:val="21"/>
                </w:rPr>
                <w:id w:val="-1740939059"/>
                <w14:checkbox>
                  <w14:checked w14:val="0"/>
                  <w14:checkedState w14:val="0052" w14:font="Constantia"/>
                  <w14:uncheckedState w14:val="2610" w14:font="MS Gothic"/>
                </w14:checkbox>
              </w:sdtPr>
              <w:sdtEndPr>
                <w:rPr>
                  <w:rFonts w:hint="eastAsia" w:ascii="宋体" w:hAnsi="宋体" w:cs="宋体"/>
                  <w:szCs w:val="21"/>
                </w:rPr>
              </w:sdtEndPr>
              <w:sdtContent>
                <w:r>
                  <w:rPr>
                    <w:rFonts w:hint="eastAsia" w:ascii="MS Gothic" w:hAnsi="MS Gothic" w:eastAsia="MS Gothic" w:cs="宋体"/>
                    <w:szCs w:val="21"/>
                  </w:rPr>
                  <w:t>☐</w:t>
                </w:r>
              </w:sdtContent>
            </w:sdt>
            <w:r>
              <w:rPr>
                <w:rFonts w:hint="eastAsia" w:ascii="宋体" w:hAnsi="宋体" w:cs="宋体"/>
                <w:szCs w:val="21"/>
              </w:rPr>
              <w:t>改建</w:t>
            </w:r>
          </w:p>
          <w:p>
            <w:pPr>
              <w:adjustRightInd w:val="0"/>
              <w:snapToGrid w:val="0"/>
              <w:jc w:val="left"/>
              <w:rPr>
                <w:rFonts w:ascii="宋体" w:hAnsi="宋体" w:cs="宋体"/>
                <w:szCs w:val="21"/>
              </w:rPr>
            </w:pPr>
            <w:sdt>
              <w:sdtPr>
                <w:rPr>
                  <w:rFonts w:hint="eastAsia" w:ascii="宋体" w:hAnsi="宋体" w:cs="宋体"/>
                  <w:szCs w:val="21"/>
                </w:rPr>
                <w:id w:val="-1407908174"/>
                <w14:checkbox>
                  <w14:checked w14:val="0"/>
                  <w14:checkedState w14:val="0052" w14:font="Constantia"/>
                  <w14:uncheckedState w14:val="2610" w14:font="MS Gothic"/>
                </w14:checkbox>
              </w:sdtPr>
              <w:sdtEndPr>
                <w:rPr>
                  <w:rFonts w:hint="eastAsia" w:ascii="宋体" w:hAnsi="宋体" w:cs="宋体"/>
                  <w:szCs w:val="21"/>
                </w:rPr>
              </w:sdtEndPr>
              <w:sdtContent>
                <w:r>
                  <w:rPr>
                    <w:rFonts w:hint="eastAsia" w:ascii="MS Gothic" w:hAnsi="MS Gothic" w:eastAsia="MS Gothic" w:cs="宋体"/>
                    <w:szCs w:val="21"/>
                  </w:rPr>
                  <w:t>☐</w:t>
                </w:r>
              </w:sdtContent>
            </w:sdt>
            <w:r>
              <w:rPr>
                <w:rFonts w:hint="eastAsia" w:ascii="宋体" w:hAnsi="宋体" w:cs="宋体"/>
                <w:szCs w:val="21"/>
              </w:rPr>
              <w:t>扩建</w:t>
            </w:r>
          </w:p>
          <w:p>
            <w:pPr>
              <w:adjustRightInd w:val="0"/>
              <w:snapToGrid w:val="0"/>
              <w:jc w:val="left"/>
              <w:rPr>
                <w:rFonts w:ascii="宋体" w:hAnsi="宋体" w:cs="宋体"/>
                <w:szCs w:val="21"/>
              </w:rPr>
            </w:pPr>
            <w:sdt>
              <w:sdtPr>
                <w:rPr>
                  <w:rFonts w:hint="eastAsia" w:ascii="宋体" w:hAnsi="宋体" w:cs="宋体"/>
                  <w:szCs w:val="21"/>
                </w:rPr>
                <w:id w:val="-1825499473"/>
                <w14:checkbox>
                  <w14:checked w14:val="0"/>
                  <w14:checkedState w14:val="0052" w14:font="Constantia"/>
                  <w14:uncheckedState w14:val="2610" w14:font="MS Gothic"/>
                </w14:checkbox>
              </w:sdtPr>
              <w:sdtEndPr>
                <w:rPr>
                  <w:rFonts w:hint="eastAsia" w:ascii="宋体" w:hAnsi="宋体" w:cs="宋体"/>
                  <w:szCs w:val="21"/>
                </w:rPr>
              </w:sdtEndPr>
              <w:sdtContent>
                <w:r>
                  <w:rPr>
                    <w:rFonts w:hint="eastAsia" w:ascii="MS Gothic" w:hAnsi="MS Gothic" w:eastAsia="MS Gothic" w:cs="宋体"/>
                    <w:szCs w:val="21"/>
                  </w:rPr>
                  <w:t>☐</w:t>
                </w:r>
              </w:sdtContent>
            </w:sdt>
            <w:r>
              <w:rPr>
                <w:rFonts w:hint="eastAsia" w:ascii="宋体" w:hAnsi="宋体" w:cs="宋体"/>
                <w:szCs w:val="21"/>
              </w:rPr>
              <w:t>技术改造</w:t>
            </w:r>
          </w:p>
        </w:tc>
        <w:tc>
          <w:tcPr>
            <w:tcW w:w="2110" w:type="dxa"/>
            <w:vAlign w:val="center"/>
          </w:tcPr>
          <w:p>
            <w:pPr>
              <w:adjustRightInd w:val="0"/>
              <w:snapToGrid w:val="0"/>
              <w:jc w:val="center"/>
              <w:rPr>
                <w:rFonts w:ascii="宋体" w:hAnsi="宋体" w:cs="宋体"/>
                <w:szCs w:val="21"/>
              </w:rPr>
            </w:pPr>
            <w:r>
              <w:rPr>
                <w:rFonts w:hint="eastAsia" w:ascii="宋体" w:hAnsi="宋体" w:cs="宋体"/>
                <w:szCs w:val="21"/>
              </w:rPr>
              <w:t>建设项目</w:t>
            </w:r>
          </w:p>
          <w:p>
            <w:pPr>
              <w:adjustRightInd w:val="0"/>
              <w:snapToGrid w:val="0"/>
              <w:jc w:val="center"/>
              <w:rPr>
                <w:rFonts w:ascii="宋体" w:hAnsi="宋体" w:cs="宋体"/>
                <w:szCs w:val="21"/>
              </w:rPr>
            </w:pPr>
            <w:r>
              <w:rPr>
                <w:rFonts w:hint="eastAsia" w:ascii="宋体" w:hAnsi="宋体" w:cs="宋体"/>
                <w:szCs w:val="21"/>
              </w:rPr>
              <w:t>申报情形</w:t>
            </w:r>
          </w:p>
        </w:tc>
        <w:tc>
          <w:tcPr>
            <w:tcW w:w="2525" w:type="dxa"/>
            <w:gridSpan w:val="2"/>
            <w:vAlign w:val="center"/>
          </w:tcPr>
          <w:p>
            <w:pPr>
              <w:adjustRightInd w:val="0"/>
              <w:snapToGrid w:val="0"/>
              <w:jc w:val="left"/>
              <w:rPr>
                <w:rFonts w:ascii="宋体" w:hAnsi="宋体" w:cs="宋体"/>
                <w:szCs w:val="21"/>
              </w:rPr>
            </w:pPr>
            <w:sdt>
              <w:sdtPr>
                <w:rPr>
                  <w:rFonts w:hint="eastAsia" w:ascii="宋体" w:hAnsi="宋体" w:cs="宋体"/>
                  <w:szCs w:val="21"/>
                </w:rPr>
                <w:id w:val="444045300"/>
                <w14:checkbox>
                  <w14:checked w14:val="1"/>
                  <w14:checkedState w14:val="0052" w14:font="Constantia"/>
                  <w14:uncheckedState w14:val="2610" w14:font="MS Gothic"/>
                </w14:checkbox>
              </w:sdtPr>
              <w:sdtEndPr>
                <w:rPr>
                  <w:rFonts w:hint="eastAsia" w:ascii="宋体" w:hAnsi="宋体" w:cs="宋体"/>
                  <w:szCs w:val="21"/>
                </w:rPr>
              </w:sdtEndPr>
              <w:sdtContent>
                <w:r>
                  <w:rPr>
                    <w:rFonts w:hint="eastAsia" w:ascii="宋体" w:hAnsi="宋体" w:cs="宋体"/>
                    <w:szCs w:val="21"/>
                  </w:rPr>
                  <w:sym w:font="Wingdings 2" w:char="F052"/>
                </w:r>
              </w:sdtContent>
            </w:sdt>
            <w:r>
              <w:rPr>
                <w:rFonts w:hint="eastAsia" w:ascii="宋体" w:hAnsi="宋体" w:cs="宋体"/>
                <w:szCs w:val="21"/>
              </w:rPr>
              <w:t>首次申报项目</w:t>
            </w:r>
          </w:p>
          <w:p>
            <w:pPr>
              <w:adjustRightInd w:val="0"/>
              <w:snapToGrid w:val="0"/>
              <w:jc w:val="left"/>
              <w:rPr>
                <w:rFonts w:ascii="宋体" w:hAnsi="宋体" w:cs="宋体"/>
                <w:szCs w:val="21"/>
              </w:rPr>
            </w:pPr>
            <w:sdt>
              <w:sdtPr>
                <w:rPr>
                  <w:rFonts w:hint="eastAsia" w:ascii="宋体" w:hAnsi="宋体" w:cs="宋体"/>
                  <w:szCs w:val="21"/>
                </w:rPr>
                <w:id w:val="-56015523"/>
                <w14:checkbox>
                  <w14:checked w14:val="0"/>
                  <w14:checkedState w14:val="0052" w14:font="Constantia"/>
                  <w14:uncheckedState w14:val="2610" w14:font="MS Gothic"/>
                </w14:checkbox>
              </w:sdtPr>
              <w:sdtEndPr>
                <w:rPr>
                  <w:rFonts w:hint="eastAsia" w:ascii="宋体" w:hAnsi="宋体" w:cs="宋体"/>
                  <w:szCs w:val="21"/>
                </w:rPr>
              </w:sdtEndPr>
              <w:sdtContent>
                <w:r>
                  <w:rPr>
                    <w:rFonts w:hint="eastAsia" w:ascii="MS Gothic" w:hAnsi="MS Gothic" w:eastAsia="MS Gothic" w:cs="宋体"/>
                    <w:szCs w:val="21"/>
                  </w:rPr>
                  <w:t>☐</w:t>
                </w:r>
              </w:sdtContent>
            </w:sdt>
            <w:r>
              <w:rPr>
                <w:rFonts w:hint="eastAsia" w:ascii="宋体" w:hAnsi="宋体" w:cs="宋体"/>
                <w:szCs w:val="21"/>
              </w:rPr>
              <w:t>不予批准后再次申报项目</w:t>
            </w:r>
          </w:p>
          <w:p>
            <w:pPr>
              <w:adjustRightInd w:val="0"/>
              <w:snapToGrid w:val="0"/>
              <w:jc w:val="left"/>
              <w:rPr>
                <w:rFonts w:ascii="宋体" w:hAnsi="宋体" w:cs="宋体"/>
                <w:szCs w:val="21"/>
              </w:rPr>
            </w:pPr>
            <w:sdt>
              <w:sdtPr>
                <w:rPr>
                  <w:rFonts w:hint="eastAsia" w:ascii="宋体" w:hAnsi="宋体" w:cs="宋体"/>
                  <w:szCs w:val="21"/>
                </w:rPr>
                <w:id w:val="-533810621"/>
                <w14:checkbox>
                  <w14:checked w14:val="0"/>
                  <w14:checkedState w14:val="0052" w14:font="Constantia"/>
                  <w14:uncheckedState w14:val="2610" w14:font="MS Gothic"/>
                </w14:checkbox>
              </w:sdtPr>
              <w:sdtEndPr>
                <w:rPr>
                  <w:rFonts w:hint="eastAsia" w:ascii="宋体" w:hAnsi="宋体" w:cs="宋体"/>
                  <w:szCs w:val="21"/>
                </w:rPr>
              </w:sdtEndPr>
              <w:sdtContent>
                <w:r>
                  <w:rPr>
                    <w:rFonts w:hint="eastAsia" w:ascii="MS Gothic" w:hAnsi="MS Gothic" w:eastAsia="MS Gothic" w:cs="宋体"/>
                    <w:szCs w:val="21"/>
                  </w:rPr>
                  <w:t>☐</w:t>
                </w:r>
              </w:sdtContent>
            </w:sdt>
            <w:r>
              <w:rPr>
                <w:rFonts w:hint="eastAsia" w:ascii="宋体" w:hAnsi="宋体" w:cs="宋体"/>
                <w:szCs w:val="21"/>
              </w:rPr>
              <w:t>超五年重新审核项目</w:t>
            </w:r>
          </w:p>
          <w:p>
            <w:pPr>
              <w:adjustRightInd w:val="0"/>
              <w:snapToGrid w:val="0"/>
              <w:rPr>
                <w:rFonts w:ascii="宋体" w:hAnsi="宋体" w:cs="宋体"/>
                <w:szCs w:val="21"/>
              </w:rPr>
            </w:pPr>
            <w:sdt>
              <w:sdtPr>
                <w:rPr>
                  <w:rFonts w:hint="eastAsia" w:ascii="宋体" w:hAnsi="宋体" w:cs="宋体"/>
                  <w:szCs w:val="21"/>
                </w:rPr>
                <w:id w:val="1729041864"/>
                <w14:checkbox>
                  <w14:checked w14:val="0"/>
                  <w14:checkedState w14:val="0052" w14:font="Constantia"/>
                  <w14:uncheckedState w14:val="2610" w14:font="MS Gothic"/>
                </w14:checkbox>
              </w:sdtPr>
              <w:sdtEndPr>
                <w:rPr>
                  <w:rFonts w:hint="eastAsia" w:ascii="宋体" w:hAnsi="宋体" w:cs="宋体"/>
                  <w:szCs w:val="21"/>
                </w:rPr>
              </w:sdtEndPr>
              <w:sdtContent>
                <w:r>
                  <w:rPr>
                    <w:rFonts w:hint="eastAsia" w:ascii="MS Gothic" w:hAnsi="MS Gothic" w:eastAsia="MS Gothic" w:cs="宋体"/>
                    <w:szCs w:val="21"/>
                  </w:rPr>
                  <w:t>☐</w:t>
                </w:r>
              </w:sdtContent>
            </w:sdt>
            <w:r>
              <w:rPr>
                <w:rFonts w:hint="eastAsia" w:ascii="宋体" w:hAnsi="宋体" w:cs="宋体"/>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843"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jc w:val="center"/>
              <w:rPr>
                <w:rFonts w:ascii="宋体" w:hAnsi="宋体" w:cs="宋体"/>
                <w:szCs w:val="21"/>
              </w:rPr>
            </w:pPr>
            <w:r>
              <w:rPr>
                <w:rFonts w:hint="eastAsia" w:ascii="宋体" w:hAnsi="宋体" w:cs="宋体"/>
                <w:szCs w:val="21"/>
              </w:rPr>
              <w:t>备案）部门（选填）</w:t>
            </w:r>
          </w:p>
        </w:tc>
        <w:tc>
          <w:tcPr>
            <w:tcW w:w="2426" w:type="dxa"/>
            <w:vAlign w:val="center"/>
          </w:tcPr>
          <w:p>
            <w:pPr>
              <w:adjustRightInd w:val="0"/>
              <w:snapToGrid w:val="0"/>
              <w:jc w:val="center"/>
              <w:rPr>
                <w:rFonts w:ascii="宋体" w:hAnsi="宋体" w:cs="宋体"/>
                <w:szCs w:val="21"/>
              </w:rPr>
            </w:pPr>
            <w:r>
              <w:rPr>
                <w:rFonts w:ascii="宋体" w:hAnsi="宋体" w:cs="宋体"/>
                <w:szCs w:val="21"/>
              </w:rPr>
              <w:t>宣汉县发改局</w:t>
            </w:r>
          </w:p>
        </w:tc>
        <w:tc>
          <w:tcPr>
            <w:tcW w:w="2110" w:type="dxa"/>
            <w:vAlign w:val="center"/>
          </w:tcPr>
          <w:p>
            <w:pPr>
              <w:adjustRightInd w:val="0"/>
              <w:snapToGrid w:val="0"/>
              <w:jc w:val="center"/>
              <w:rPr>
                <w:rFonts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jc w:val="center"/>
              <w:rPr>
                <w:rFonts w:ascii="宋体" w:hAnsi="宋体" w:cs="宋体"/>
                <w:szCs w:val="21"/>
              </w:rPr>
            </w:pPr>
            <w:r>
              <w:rPr>
                <w:rFonts w:hint="eastAsia" w:ascii="宋体" w:hAnsi="宋体" w:cs="宋体"/>
                <w:szCs w:val="21"/>
              </w:rPr>
              <w:t>备案）文号（选填）</w:t>
            </w:r>
          </w:p>
        </w:tc>
        <w:tc>
          <w:tcPr>
            <w:tcW w:w="2525" w:type="dxa"/>
            <w:gridSpan w:val="2"/>
            <w:vAlign w:val="center"/>
          </w:tcPr>
          <w:p>
            <w:pPr>
              <w:adjustRightInd w:val="0"/>
              <w:snapToGrid w:val="0"/>
              <w:jc w:val="center"/>
              <w:rPr>
                <w:rFonts w:ascii="宋体" w:hAnsi="宋体" w:cs="宋体"/>
                <w:szCs w:val="21"/>
              </w:rPr>
            </w:pPr>
            <w:r>
              <w:rPr>
                <w:rFonts w:ascii="宋体" w:hAnsi="宋体" w:cs="宋体"/>
                <w:szCs w:val="21"/>
              </w:rPr>
              <w:t>川投资备【</w:t>
            </w:r>
            <w:r>
              <w:rPr>
                <w:rFonts w:hint="eastAsia" w:ascii="宋体" w:hAnsi="宋体" w:cs="宋体"/>
                <w:szCs w:val="21"/>
              </w:rPr>
              <w:t>2305-511722-04-01-706177</w:t>
            </w:r>
            <w:r>
              <w:rPr>
                <w:rFonts w:ascii="宋体" w:hAnsi="宋体" w:cs="宋体"/>
                <w:szCs w:val="21"/>
              </w:rPr>
              <w:t>】</w:t>
            </w:r>
            <w:r>
              <w:rPr>
                <w:rFonts w:hint="eastAsia" w:ascii="宋体" w:hAnsi="宋体" w:cs="宋体"/>
                <w:szCs w:val="21"/>
              </w:rPr>
              <w:t>FGQB-0358号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1843"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总投资（万元）</w:t>
            </w:r>
          </w:p>
        </w:tc>
        <w:tc>
          <w:tcPr>
            <w:tcW w:w="2426" w:type="dxa"/>
            <w:vAlign w:val="center"/>
          </w:tcPr>
          <w:p>
            <w:pPr>
              <w:adjustRightInd w:val="0"/>
              <w:snapToGrid w:val="0"/>
              <w:jc w:val="center"/>
              <w:rPr>
                <w:rFonts w:ascii="宋体" w:hAnsi="宋体" w:cs="宋体"/>
                <w:szCs w:val="21"/>
              </w:rPr>
            </w:pPr>
            <w:r>
              <w:rPr>
                <w:rFonts w:hint="eastAsia" w:ascii="宋体" w:hAnsi="宋体" w:cs="宋体"/>
                <w:szCs w:val="21"/>
              </w:rPr>
              <w:t>7345.00</w:t>
            </w:r>
          </w:p>
        </w:tc>
        <w:tc>
          <w:tcPr>
            <w:tcW w:w="2110"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环保投资（万元）</w:t>
            </w:r>
          </w:p>
        </w:tc>
        <w:tc>
          <w:tcPr>
            <w:tcW w:w="2525" w:type="dxa"/>
            <w:gridSpan w:val="2"/>
            <w:vAlign w:val="center"/>
          </w:tcPr>
          <w:p>
            <w:pPr>
              <w:adjustRightInd w:val="0"/>
              <w:snapToGrid w:val="0"/>
              <w:jc w:val="center"/>
              <w:rPr>
                <w:rFonts w:ascii="宋体" w:hAnsi="宋体" w:cs="宋体"/>
                <w:szCs w:val="21"/>
              </w:rPr>
            </w:pPr>
            <w:r>
              <w:rPr>
                <w:rFonts w:hint="eastAsia" w:ascii="宋体" w:hAnsi="宋体" w:cs="宋体"/>
                <w:szCs w:val="21"/>
              </w:rPr>
              <w:t>233.00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843"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环保投资占比（</w:t>
            </w:r>
            <w:r>
              <w:rPr>
                <w:rFonts w:ascii="宋体" w:hAnsi="宋体" w:cs="宋体"/>
                <w:szCs w:val="21"/>
              </w:rPr>
              <w:t>%</w:t>
            </w:r>
            <w:r>
              <w:rPr>
                <w:rFonts w:hint="eastAsia" w:ascii="宋体" w:hAnsi="宋体" w:cs="宋体"/>
                <w:szCs w:val="21"/>
              </w:rPr>
              <w:t>）</w:t>
            </w:r>
          </w:p>
        </w:tc>
        <w:tc>
          <w:tcPr>
            <w:tcW w:w="2426" w:type="dxa"/>
            <w:vAlign w:val="center"/>
          </w:tcPr>
          <w:p>
            <w:pPr>
              <w:adjustRightInd w:val="0"/>
              <w:snapToGrid w:val="0"/>
              <w:jc w:val="center"/>
              <w:rPr>
                <w:rFonts w:ascii="宋体" w:hAnsi="宋体" w:cs="宋体"/>
                <w:szCs w:val="21"/>
              </w:rPr>
            </w:pPr>
            <w:r>
              <w:rPr>
                <w:rFonts w:hint="eastAsia" w:ascii="宋体" w:hAnsi="宋体" w:cs="宋体"/>
                <w:szCs w:val="21"/>
              </w:rPr>
              <w:t>3.17</w:t>
            </w:r>
          </w:p>
        </w:tc>
        <w:tc>
          <w:tcPr>
            <w:tcW w:w="2110"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施工工期</w:t>
            </w:r>
          </w:p>
        </w:tc>
        <w:tc>
          <w:tcPr>
            <w:tcW w:w="2525" w:type="dxa"/>
            <w:gridSpan w:val="2"/>
            <w:vAlign w:val="center"/>
          </w:tcPr>
          <w:p>
            <w:pPr>
              <w:adjustRightInd w:val="0"/>
              <w:snapToGrid w:val="0"/>
              <w:jc w:val="center"/>
              <w:rPr>
                <w:rFonts w:ascii="宋体" w:hAnsi="宋体" w:cs="宋体"/>
                <w:szCs w:val="21"/>
              </w:rPr>
            </w:pPr>
            <w:r>
              <w:rPr>
                <w:rFonts w:hint="eastAsia" w:ascii="宋体" w:hAnsi="宋体" w:cs="宋体"/>
                <w:szCs w:val="21"/>
              </w:rPr>
              <w:t>18个月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1843"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是否开工建设</w:t>
            </w:r>
          </w:p>
        </w:tc>
        <w:tc>
          <w:tcPr>
            <w:tcW w:w="7061" w:type="dxa"/>
            <w:gridSpan w:val="4"/>
            <w:vAlign w:val="center"/>
          </w:tcPr>
          <w:p>
            <w:pPr>
              <w:adjustRightInd w:val="0"/>
              <w:snapToGrid w:val="0"/>
              <w:ind w:firstLine="105"/>
              <w:jc w:val="left"/>
              <w:rPr>
                <w:rFonts w:ascii="宋体" w:hAnsi="宋体" w:cs="宋体"/>
                <w:szCs w:val="21"/>
              </w:rPr>
            </w:pPr>
            <w:sdt>
              <w:sdtPr>
                <w:rPr>
                  <w:rFonts w:hint="eastAsia" w:ascii="宋体" w:hAnsi="宋体" w:cs="宋体"/>
                  <w:szCs w:val="21"/>
                </w:rPr>
                <w:id w:val="-2012668240"/>
                <w14:checkbox>
                  <w14:checked w14:val="1"/>
                  <w14:checkedState w14:val="0052" w14:font="Constantia"/>
                  <w14:uncheckedState w14:val="2610" w14:font="MS Gothic"/>
                </w14:checkbox>
              </w:sdtPr>
              <w:sdtEndPr>
                <w:rPr>
                  <w:rFonts w:hint="eastAsia" w:ascii="宋体" w:hAnsi="宋体" w:cs="宋体"/>
                  <w:szCs w:val="21"/>
                </w:rPr>
              </w:sdtEndPr>
              <w:sdtContent>
                <w:r>
                  <w:rPr>
                    <w:rFonts w:hint="eastAsia" w:ascii="宋体" w:hAnsi="宋体" w:cs="宋体"/>
                    <w:szCs w:val="21"/>
                  </w:rPr>
                  <w:sym w:font="Wingdings 2" w:char="F052"/>
                </w:r>
              </w:sdtContent>
            </w:sdt>
            <w:r>
              <w:rPr>
                <w:rFonts w:hint="eastAsia" w:ascii="宋体" w:hAnsi="宋体" w:cs="宋体"/>
                <w:szCs w:val="21"/>
              </w:rPr>
              <w:t>否</w:t>
            </w:r>
          </w:p>
          <w:p>
            <w:pPr>
              <w:adjustRightInd w:val="0"/>
              <w:snapToGrid w:val="0"/>
              <w:ind w:firstLine="92"/>
              <w:jc w:val="left"/>
              <w:rPr>
                <w:rFonts w:ascii="宋体" w:hAnsi="宋体" w:cs="宋体"/>
                <w:szCs w:val="21"/>
              </w:rPr>
            </w:pPr>
            <w:sdt>
              <w:sdtPr>
                <w:rPr>
                  <w:rFonts w:hint="eastAsia" w:ascii="宋体" w:hAnsi="宋体" w:cs="宋体"/>
                  <w:szCs w:val="21"/>
                </w:rPr>
                <w:id w:val="-757368925"/>
                <w14:checkbox>
                  <w14:checked w14:val="0"/>
                  <w14:checkedState w14:val="0052" w14:font="Constantia"/>
                  <w14:uncheckedState w14:val="2610" w14:font="MS Gothic"/>
                </w14:checkbox>
              </w:sdtPr>
              <w:sdtEndPr>
                <w:rPr>
                  <w:rFonts w:hint="eastAsia" w:ascii="宋体" w:hAnsi="宋体" w:cs="宋体"/>
                  <w:szCs w:val="21"/>
                </w:rPr>
              </w:sdtEndPr>
              <w:sdtContent>
                <w:r>
                  <w:rPr>
                    <w:rFonts w:hint="eastAsia" w:ascii="MS Gothic" w:hAnsi="MS Gothic" w:eastAsia="MS Gothic" w:cs="宋体"/>
                    <w:szCs w:val="21"/>
                  </w:rPr>
                  <w:t>☐</w:t>
                </w:r>
              </w:sdtContent>
            </w:sdt>
            <w:r>
              <w:rPr>
                <w:rFonts w:hint="eastAsia" w:ascii="宋体" w:hAnsi="宋体" w:cs="宋体"/>
                <w:szCs w:val="21"/>
              </w:rPr>
              <w:t>是：</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74" w:hRule="atLeast"/>
          <w:jc w:val="center"/>
        </w:trPr>
        <w:tc>
          <w:tcPr>
            <w:tcW w:w="1843" w:type="dxa"/>
            <w:tcMar>
              <w:top w:w="16" w:type="dxa"/>
              <w:left w:w="16" w:type="dxa"/>
              <w:right w:w="16" w:type="dxa"/>
            </w:tcMar>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专项评价设置情况</w:t>
            </w:r>
          </w:p>
        </w:tc>
        <w:tc>
          <w:tcPr>
            <w:tcW w:w="7061" w:type="dxa"/>
            <w:gridSpan w:val="4"/>
            <w:tcMar>
              <w:top w:w="16" w:type="dxa"/>
              <w:left w:w="16" w:type="dxa"/>
              <w:right w:w="16" w:type="dxa"/>
            </w:tcMar>
            <w:vAlign w:val="center"/>
          </w:tcPr>
          <w:p>
            <w:pPr>
              <w:autoSpaceDE w:val="0"/>
              <w:autoSpaceDN w:val="0"/>
              <w:adjustRightInd w:val="0"/>
              <w:snapToGrid w:val="0"/>
              <w:spacing w:line="400" w:lineRule="exact"/>
              <w:ind w:firstLine="420" w:firstLineChars="200"/>
              <w:jc w:val="left"/>
              <w:rPr>
                <w:kern w:val="0"/>
                <w:szCs w:val="21"/>
              </w:rPr>
            </w:pPr>
            <w:r>
              <w:rPr>
                <w:kern w:val="0"/>
                <w:szCs w:val="21"/>
              </w:rPr>
              <w:t>根据建设项目环境影响报告表编制技术指南（</w:t>
            </w:r>
            <w:r>
              <w:rPr>
                <w:rFonts w:hint="eastAsia"/>
                <w:kern w:val="0"/>
                <w:szCs w:val="21"/>
              </w:rPr>
              <w:t>生态</w:t>
            </w:r>
            <w:r>
              <w:rPr>
                <w:kern w:val="0"/>
                <w:szCs w:val="21"/>
              </w:rPr>
              <w:t>影响类）（试行），本项目需设置</w:t>
            </w:r>
            <w:r>
              <w:rPr>
                <w:rFonts w:hint="eastAsia"/>
                <w:kern w:val="0"/>
                <w:szCs w:val="21"/>
              </w:rPr>
              <w:t>环境风险</w:t>
            </w:r>
            <w:r>
              <w:rPr>
                <w:kern w:val="0"/>
                <w:szCs w:val="21"/>
              </w:rPr>
              <w:t>专项评价，对照情况见下表</w:t>
            </w:r>
            <w:r>
              <w:rPr>
                <w:rFonts w:hint="eastAsia"/>
                <w:kern w:val="0"/>
                <w:szCs w:val="21"/>
              </w:rPr>
              <w:t>。</w:t>
            </w:r>
          </w:p>
          <w:p>
            <w:pPr>
              <w:tabs>
                <w:tab w:val="left" w:pos="3653"/>
              </w:tabs>
              <w:autoSpaceDE w:val="0"/>
              <w:autoSpaceDN w:val="0"/>
              <w:adjustRightInd w:val="0"/>
              <w:spacing w:line="400" w:lineRule="exact"/>
              <w:ind w:firstLine="360" w:firstLineChars="200"/>
              <w:jc w:val="center"/>
              <w:rPr>
                <w:rFonts w:eastAsia="黑体"/>
                <w:kern w:val="0"/>
                <w:sz w:val="18"/>
                <w:szCs w:val="18"/>
              </w:rPr>
            </w:pPr>
            <w:r>
              <w:rPr>
                <w:rFonts w:eastAsia="黑体"/>
                <w:kern w:val="0"/>
                <w:sz w:val="18"/>
                <w:szCs w:val="18"/>
              </w:rPr>
              <w:t xml:space="preserve">表1-1 </w:t>
            </w:r>
            <w:r>
              <w:rPr>
                <w:rFonts w:hint="eastAsia" w:eastAsia="黑体"/>
                <w:kern w:val="0"/>
                <w:sz w:val="18"/>
                <w:szCs w:val="18"/>
              </w:rPr>
              <w:t xml:space="preserve"> </w:t>
            </w:r>
            <w:r>
              <w:rPr>
                <w:rFonts w:eastAsia="黑体"/>
                <w:kern w:val="0"/>
                <w:sz w:val="18"/>
                <w:szCs w:val="18"/>
              </w:rPr>
              <w:t>专项评价设置原则对照表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3260"/>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235" w:type="dxa"/>
                  <w:vAlign w:val="center"/>
                </w:tcPr>
                <w:p>
                  <w:pPr>
                    <w:adjustRightInd w:val="0"/>
                    <w:snapToGrid w:val="0"/>
                    <w:spacing w:line="260" w:lineRule="exact"/>
                    <w:ind w:left="-53" w:leftChars="-25" w:right="-53" w:rightChars="-25"/>
                    <w:jc w:val="center"/>
                    <w:rPr>
                      <w:b/>
                      <w:bCs/>
                      <w:sz w:val="16"/>
                      <w:szCs w:val="15"/>
                    </w:rPr>
                  </w:pPr>
                  <w:r>
                    <w:rPr>
                      <w:b/>
                      <w:bCs/>
                      <w:sz w:val="16"/>
                      <w:szCs w:val="15"/>
                    </w:rPr>
                    <w:t>专项评价类别</w:t>
                  </w:r>
                </w:p>
              </w:tc>
              <w:tc>
                <w:tcPr>
                  <w:tcW w:w="3260" w:type="dxa"/>
                  <w:vAlign w:val="center"/>
                </w:tcPr>
                <w:p>
                  <w:pPr>
                    <w:adjustRightInd w:val="0"/>
                    <w:snapToGrid w:val="0"/>
                    <w:spacing w:line="260" w:lineRule="exact"/>
                    <w:ind w:left="-53" w:leftChars="-25" w:right="-53" w:rightChars="-25"/>
                    <w:jc w:val="center"/>
                    <w:rPr>
                      <w:b/>
                      <w:bCs/>
                      <w:sz w:val="16"/>
                      <w:szCs w:val="15"/>
                    </w:rPr>
                  </w:pPr>
                  <w:r>
                    <w:rPr>
                      <w:b/>
                      <w:bCs/>
                      <w:sz w:val="16"/>
                      <w:szCs w:val="15"/>
                    </w:rPr>
                    <w:t>设置原则</w:t>
                  </w:r>
                </w:p>
              </w:tc>
              <w:tc>
                <w:tcPr>
                  <w:tcW w:w="2227" w:type="dxa"/>
                  <w:vAlign w:val="center"/>
                </w:tcPr>
                <w:p>
                  <w:pPr>
                    <w:adjustRightInd w:val="0"/>
                    <w:snapToGrid w:val="0"/>
                    <w:spacing w:line="260" w:lineRule="exact"/>
                    <w:ind w:left="-53" w:leftChars="-25" w:right="-53" w:rightChars="-25"/>
                    <w:jc w:val="center"/>
                    <w:rPr>
                      <w:b/>
                      <w:bCs/>
                      <w:sz w:val="16"/>
                      <w:szCs w:val="15"/>
                    </w:rPr>
                  </w:pPr>
                  <w:r>
                    <w:rPr>
                      <w:b/>
                      <w:bCs/>
                      <w:sz w:val="16"/>
                      <w:szCs w:val="15"/>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235" w:type="dxa"/>
                  <w:vAlign w:val="center"/>
                </w:tcPr>
                <w:p>
                  <w:pPr>
                    <w:adjustRightInd w:val="0"/>
                    <w:snapToGrid w:val="0"/>
                    <w:spacing w:line="260" w:lineRule="exact"/>
                    <w:ind w:left="-53" w:leftChars="-25" w:right="-53" w:rightChars="-25"/>
                    <w:jc w:val="center"/>
                    <w:rPr>
                      <w:sz w:val="16"/>
                      <w:szCs w:val="15"/>
                    </w:rPr>
                  </w:pPr>
                  <w:r>
                    <w:rPr>
                      <w:rFonts w:hint="eastAsia"/>
                      <w:sz w:val="16"/>
                      <w:szCs w:val="15"/>
                    </w:rPr>
                    <w:t>地表水</w:t>
                  </w:r>
                </w:p>
              </w:tc>
              <w:tc>
                <w:tcPr>
                  <w:tcW w:w="3260" w:type="dxa"/>
                  <w:vAlign w:val="center"/>
                </w:tcPr>
                <w:p>
                  <w:pPr>
                    <w:adjustRightInd w:val="0"/>
                    <w:snapToGrid w:val="0"/>
                    <w:spacing w:line="260" w:lineRule="exact"/>
                    <w:ind w:left="-53" w:leftChars="-25" w:right="-53" w:rightChars="-25"/>
                    <w:jc w:val="left"/>
                    <w:rPr>
                      <w:sz w:val="16"/>
                      <w:szCs w:val="15"/>
                    </w:rPr>
                  </w:pPr>
                  <w:r>
                    <w:rPr>
                      <w:rFonts w:hint="eastAsia"/>
                      <w:sz w:val="16"/>
                      <w:szCs w:val="15"/>
                    </w:rPr>
                    <w:t>水力发电：引水式发电、涉及调峰发电的项目；人工湖、人工湿地：全部；水库：全部；引水工程：全部（配套的管线工程等除外）；防洪除涝工程：包含水库的项目；河湖整治：涉及清淤且底泥存在重金属污染的项目</w:t>
                  </w:r>
                </w:p>
              </w:tc>
              <w:tc>
                <w:tcPr>
                  <w:tcW w:w="2227" w:type="dxa"/>
                  <w:vAlign w:val="center"/>
                </w:tcPr>
                <w:p>
                  <w:pPr>
                    <w:adjustRightInd w:val="0"/>
                    <w:snapToGrid w:val="0"/>
                    <w:spacing w:line="260" w:lineRule="exact"/>
                    <w:ind w:left="-53" w:leftChars="-25" w:right="-53" w:rightChars="-25"/>
                    <w:jc w:val="left"/>
                    <w:rPr>
                      <w:sz w:val="16"/>
                      <w:szCs w:val="15"/>
                    </w:rPr>
                  </w:pPr>
                  <w:r>
                    <w:rPr>
                      <w:sz w:val="16"/>
                      <w:szCs w:val="15"/>
                    </w:rPr>
                    <w:t>本项目为天然气输气管道工程，不属于水力发电、人工湖、水库以及引水工程等项目，不涉及地表水专项评价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235" w:type="dxa"/>
                  <w:vAlign w:val="center"/>
                </w:tcPr>
                <w:p>
                  <w:pPr>
                    <w:adjustRightInd w:val="0"/>
                    <w:snapToGrid w:val="0"/>
                    <w:spacing w:line="260" w:lineRule="exact"/>
                    <w:ind w:left="-53" w:leftChars="-25" w:right="-53" w:rightChars="-25"/>
                    <w:jc w:val="center"/>
                    <w:rPr>
                      <w:sz w:val="16"/>
                      <w:szCs w:val="15"/>
                    </w:rPr>
                  </w:pPr>
                  <w:r>
                    <w:rPr>
                      <w:rFonts w:hint="eastAsia"/>
                      <w:sz w:val="16"/>
                      <w:szCs w:val="15"/>
                    </w:rPr>
                    <w:t>地下水</w:t>
                  </w:r>
                </w:p>
              </w:tc>
              <w:tc>
                <w:tcPr>
                  <w:tcW w:w="3260" w:type="dxa"/>
                  <w:vAlign w:val="center"/>
                </w:tcPr>
                <w:p>
                  <w:pPr>
                    <w:adjustRightInd w:val="0"/>
                    <w:snapToGrid w:val="0"/>
                    <w:spacing w:line="260" w:lineRule="exact"/>
                    <w:ind w:left="-53" w:leftChars="-25" w:right="-53" w:rightChars="-25"/>
                    <w:jc w:val="left"/>
                    <w:rPr>
                      <w:sz w:val="16"/>
                      <w:szCs w:val="15"/>
                    </w:rPr>
                  </w:pPr>
                  <w:r>
                    <w:rPr>
                      <w:rFonts w:hint="eastAsia"/>
                      <w:sz w:val="16"/>
                      <w:szCs w:val="15"/>
                    </w:rPr>
                    <w:t>陆地石油和天然气开采：全部；地下水（含矿泉水）开采：全部；水利、水电、交通等：含穿越可溶岩地层隧道的项目</w:t>
                  </w:r>
                </w:p>
              </w:tc>
              <w:tc>
                <w:tcPr>
                  <w:tcW w:w="2227" w:type="dxa"/>
                  <w:vAlign w:val="center"/>
                </w:tcPr>
                <w:p>
                  <w:pPr>
                    <w:adjustRightInd w:val="0"/>
                    <w:snapToGrid w:val="0"/>
                    <w:spacing w:line="260" w:lineRule="exact"/>
                    <w:ind w:left="-53" w:leftChars="-25" w:right="-53" w:rightChars="-25"/>
                    <w:jc w:val="left"/>
                    <w:rPr>
                      <w:sz w:val="16"/>
                      <w:szCs w:val="15"/>
                    </w:rPr>
                  </w:pPr>
                  <w:r>
                    <w:rPr>
                      <w:sz w:val="16"/>
                      <w:szCs w:val="15"/>
                    </w:rPr>
                    <w:t>本项目为天然气输气管道工程，不属于陆地石油和天然气开采，地下水开采等项目，不涉及地下水专项评价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235" w:type="dxa"/>
                  <w:vAlign w:val="center"/>
                </w:tcPr>
                <w:p>
                  <w:pPr>
                    <w:adjustRightInd w:val="0"/>
                    <w:snapToGrid w:val="0"/>
                    <w:spacing w:line="260" w:lineRule="exact"/>
                    <w:ind w:left="-53" w:leftChars="-25" w:right="-53" w:rightChars="-25"/>
                    <w:jc w:val="center"/>
                    <w:rPr>
                      <w:sz w:val="16"/>
                      <w:szCs w:val="15"/>
                    </w:rPr>
                  </w:pPr>
                  <w:r>
                    <w:rPr>
                      <w:rFonts w:hint="eastAsia"/>
                      <w:sz w:val="16"/>
                      <w:szCs w:val="15"/>
                    </w:rPr>
                    <w:t>生态</w:t>
                  </w:r>
                </w:p>
              </w:tc>
              <w:tc>
                <w:tcPr>
                  <w:tcW w:w="3260" w:type="dxa"/>
                  <w:vAlign w:val="center"/>
                </w:tcPr>
                <w:p>
                  <w:pPr>
                    <w:adjustRightInd w:val="0"/>
                    <w:snapToGrid w:val="0"/>
                    <w:spacing w:line="260" w:lineRule="exact"/>
                    <w:ind w:left="-53" w:leftChars="-25" w:right="-53" w:rightChars="-25"/>
                    <w:jc w:val="left"/>
                    <w:rPr>
                      <w:sz w:val="16"/>
                      <w:szCs w:val="15"/>
                    </w:rPr>
                  </w:pPr>
                  <w:r>
                    <w:rPr>
                      <w:rFonts w:hint="eastAsia"/>
                      <w:sz w:val="16"/>
                      <w:szCs w:val="15"/>
                    </w:rPr>
                    <w:t>涉及环境敏感区（不包括饮用水水源保护区，以居住、医疗卫生、文化教育、科研、行政办公为主要功能的区域，以及文物保护单位）的项目</w:t>
                  </w:r>
                </w:p>
              </w:tc>
              <w:tc>
                <w:tcPr>
                  <w:tcW w:w="2227" w:type="dxa"/>
                  <w:vAlign w:val="center"/>
                </w:tcPr>
                <w:p>
                  <w:pPr>
                    <w:adjustRightInd w:val="0"/>
                    <w:snapToGrid w:val="0"/>
                    <w:spacing w:line="260" w:lineRule="exact"/>
                    <w:ind w:left="-53" w:leftChars="-25" w:right="-53" w:rightChars="-25"/>
                    <w:jc w:val="left"/>
                    <w:rPr>
                      <w:sz w:val="16"/>
                      <w:szCs w:val="15"/>
                    </w:rPr>
                  </w:pPr>
                  <w:r>
                    <w:rPr>
                      <w:sz w:val="16"/>
                      <w:szCs w:val="15"/>
                    </w:rPr>
                    <w:t>本项目位于普光工业园区、输气管道路径不涉及</w:t>
                  </w:r>
                  <w:r>
                    <w:rPr>
                      <w:rFonts w:hint="eastAsia"/>
                      <w:sz w:val="16"/>
                      <w:szCs w:val="15"/>
                    </w:rPr>
                    <w:t>环境敏感区，不涉及生态专项评价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235" w:type="dxa"/>
                  <w:vAlign w:val="center"/>
                </w:tcPr>
                <w:p>
                  <w:pPr>
                    <w:adjustRightInd w:val="0"/>
                    <w:snapToGrid w:val="0"/>
                    <w:spacing w:line="260" w:lineRule="exact"/>
                    <w:ind w:left="-53" w:leftChars="-25" w:right="-53" w:rightChars="-25"/>
                    <w:jc w:val="center"/>
                    <w:rPr>
                      <w:sz w:val="16"/>
                      <w:szCs w:val="15"/>
                    </w:rPr>
                  </w:pPr>
                  <w:r>
                    <w:rPr>
                      <w:rFonts w:hint="eastAsia"/>
                      <w:sz w:val="16"/>
                      <w:szCs w:val="15"/>
                    </w:rPr>
                    <w:t>大气</w:t>
                  </w:r>
                </w:p>
              </w:tc>
              <w:tc>
                <w:tcPr>
                  <w:tcW w:w="3260" w:type="dxa"/>
                  <w:vAlign w:val="center"/>
                </w:tcPr>
                <w:p>
                  <w:pPr>
                    <w:adjustRightInd w:val="0"/>
                    <w:snapToGrid w:val="0"/>
                    <w:spacing w:line="260" w:lineRule="exact"/>
                    <w:ind w:left="-53" w:leftChars="-25" w:right="-53" w:rightChars="-25"/>
                    <w:jc w:val="left"/>
                    <w:rPr>
                      <w:sz w:val="16"/>
                      <w:szCs w:val="15"/>
                    </w:rPr>
                  </w:pPr>
                  <w:r>
                    <w:rPr>
                      <w:rFonts w:hint="eastAsia"/>
                      <w:sz w:val="16"/>
                      <w:szCs w:val="15"/>
                    </w:rPr>
                    <w:t>油气、液体化工码头：全部；干散货（含煤炭、矿石）、件杂、多用途、通用码头：涉及粉尘、挥发性有机物排放的项目</w:t>
                  </w:r>
                </w:p>
              </w:tc>
              <w:tc>
                <w:tcPr>
                  <w:tcW w:w="2227" w:type="dxa"/>
                  <w:vAlign w:val="center"/>
                </w:tcPr>
                <w:p>
                  <w:pPr>
                    <w:adjustRightInd w:val="0"/>
                    <w:snapToGrid w:val="0"/>
                    <w:spacing w:line="260" w:lineRule="exact"/>
                    <w:ind w:left="-53" w:leftChars="-25" w:right="-53" w:rightChars="-25"/>
                    <w:jc w:val="left"/>
                    <w:rPr>
                      <w:sz w:val="16"/>
                      <w:szCs w:val="15"/>
                    </w:rPr>
                  </w:pPr>
                  <w:r>
                    <w:rPr>
                      <w:sz w:val="16"/>
                      <w:szCs w:val="15"/>
                    </w:rPr>
                    <w:t>本项目为天然气输气管道工程，不属于</w:t>
                  </w:r>
                  <w:r>
                    <w:rPr>
                      <w:rFonts w:hint="eastAsia"/>
                      <w:sz w:val="16"/>
                      <w:szCs w:val="15"/>
                    </w:rPr>
                    <w:t>油气、液体化工码头，干散货、件杂、多用途、通用码头</w:t>
                  </w:r>
                  <w:r>
                    <w:rPr>
                      <w:sz w:val="16"/>
                      <w:szCs w:val="15"/>
                    </w:rPr>
                    <w:t>等项目，不涉及大气专项评价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235" w:type="dxa"/>
                  <w:vAlign w:val="center"/>
                </w:tcPr>
                <w:p>
                  <w:pPr>
                    <w:adjustRightInd w:val="0"/>
                    <w:snapToGrid w:val="0"/>
                    <w:spacing w:line="260" w:lineRule="exact"/>
                    <w:ind w:left="-53" w:leftChars="-25" w:right="-53" w:rightChars="-25"/>
                    <w:jc w:val="center"/>
                    <w:rPr>
                      <w:sz w:val="16"/>
                      <w:szCs w:val="15"/>
                    </w:rPr>
                  </w:pPr>
                  <w:r>
                    <w:rPr>
                      <w:rFonts w:hint="eastAsia"/>
                      <w:sz w:val="16"/>
                      <w:szCs w:val="15"/>
                    </w:rPr>
                    <w:t>噪声</w:t>
                  </w:r>
                </w:p>
              </w:tc>
              <w:tc>
                <w:tcPr>
                  <w:tcW w:w="3260" w:type="dxa"/>
                  <w:vAlign w:val="center"/>
                </w:tcPr>
                <w:p>
                  <w:pPr>
                    <w:adjustRightInd w:val="0"/>
                    <w:snapToGrid w:val="0"/>
                    <w:spacing w:line="260" w:lineRule="exact"/>
                    <w:ind w:left="-53" w:leftChars="-25" w:right="-53" w:rightChars="-25"/>
                    <w:jc w:val="left"/>
                    <w:rPr>
                      <w:sz w:val="16"/>
                      <w:szCs w:val="15"/>
                    </w:rPr>
                  </w:pPr>
                  <w:r>
                    <w:rPr>
                      <w:rFonts w:hint="eastAsia"/>
                      <w:sz w:val="16"/>
                      <w:szCs w:val="15"/>
                    </w:rPr>
                    <w:t>公路、铁路、机场等交通运输业涉及环境敏感区（以居住、医疗卫生、文化教育、科研、行政办公为主要功能的区域）的项目；城市道路（不含维护，不含支路、人行天桥、人行地道）：全部</w:t>
                  </w:r>
                </w:p>
              </w:tc>
              <w:tc>
                <w:tcPr>
                  <w:tcW w:w="2227" w:type="dxa"/>
                  <w:vAlign w:val="center"/>
                </w:tcPr>
                <w:p>
                  <w:pPr>
                    <w:adjustRightInd w:val="0"/>
                    <w:snapToGrid w:val="0"/>
                    <w:spacing w:line="260" w:lineRule="exact"/>
                    <w:ind w:left="-53" w:leftChars="-25" w:right="-53" w:rightChars="-25"/>
                    <w:jc w:val="left"/>
                    <w:rPr>
                      <w:sz w:val="16"/>
                      <w:szCs w:val="15"/>
                    </w:rPr>
                  </w:pPr>
                  <w:r>
                    <w:rPr>
                      <w:sz w:val="16"/>
                      <w:szCs w:val="15"/>
                    </w:rPr>
                    <w:t>本项目为天然气输气管道工程，不属于</w:t>
                  </w:r>
                  <w:r>
                    <w:rPr>
                      <w:rFonts w:hint="eastAsia"/>
                      <w:sz w:val="16"/>
                      <w:szCs w:val="15"/>
                    </w:rPr>
                    <w:t>公路、铁路、机场等交通运输业、城市道路等项目，不涉及噪声专项评价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235" w:type="dxa"/>
                  <w:vAlign w:val="center"/>
                </w:tcPr>
                <w:p>
                  <w:pPr>
                    <w:adjustRightInd w:val="0"/>
                    <w:snapToGrid w:val="0"/>
                    <w:spacing w:line="260" w:lineRule="exact"/>
                    <w:ind w:left="-53" w:leftChars="-25" w:right="-53" w:rightChars="-25"/>
                    <w:jc w:val="center"/>
                    <w:rPr>
                      <w:sz w:val="16"/>
                      <w:szCs w:val="15"/>
                    </w:rPr>
                  </w:pPr>
                  <w:r>
                    <w:rPr>
                      <w:rFonts w:hint="eastAsia"/>
                      <w:sz w:val="16"/>
                      <w:szCs w:val="15"/>
                    </w:rPr>
                    <w:t>环境</w:t>
                  </w:r>
                  <w:r>
                    <w:rPr>
                      <w:sz w:val="16"/>
                      <w:szCs w:val="15"/>
                    </w:rPr>
                    <w:t>风险</w:t>
                  </w:r>
                </w:p>
              </w:tc>
              <w:tc>
                <w:tcPr>
                  <w:tcW w:w="3260" w:type="dxa"/>
                  <w:vAlign w:val="center"/>
                </w:tcPr>
                <w:p>
                  <w:pPr>
                    <w:adjustRightInd w:val="0"/>
                    <w:snapToGrid w:val="0"/>
                    <w:spacing w:line="260" w:lineRule="exact"/>
                    <w:ind w:left="-53" w:leftChars="-25" w:right="-53" w:rightChars="-25"/>
                    <w:jc w:val="left"/>
                    <w:rPr>
                      <w:sz w:val="16"/>
                      <w:szCs w:val="15"/>
                    </w:rPr>
                  </w:pPr>
                  <w:r>
                    <w:rPr>
                      <w:rFonts w:hint="eastAsia"/>
                      <w:sz w:val="16"/>
                      <w:szCs w:val="15"/>
                    </w:rPr>
                    <w:t>石油和天然气开采：全部；油气、液体化工码头：全部；原油、成品油、天然气管线（不含城镇天然气管线、企业厂区内管线)险化学品输送管线(不含企业厂区内管线）：全部</w:t>
                  </w:r>
                </w:p>
              </w:tc>
              <w:tc>
                <w:tcPr>
                  <w:tcW w:w="2227" w:type="dxa"/>
                  <w:vAlign w:val="center"/>
                </w:tcPr>
                <w:p>
                  <w:pPr>
                    <w:adjustRightInd w:val="0"/>
                    <w:snapToGrid w:val="0"/>
                    <w:spacing w:line="260" w:lineRule="exact"/>
                    <w:ind w:left="-53" w:leftChars="-25" w:right="-53" w:rightChars="-25"/>
                    <w:jc w:val="left"/>
                    <w:rPr>
                      <w:sz w:val="16"/>
                      <w:szCs w:val="15"/>
                    </w:rPr>
                  </w:pPr>
                  <w:r>
                    <w:rPr>
                      <w:bCs/>
                      <w:sz w:val="16"/>
                      <w:szCs w:val="15"/>
                    </w:rPr>
                    <w:t>本项目为普光化工园区天然气输送管线工程，需设置环境风险专项评价。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722" w:type="dxa"/>
                  <w:gridSpan w:val="3"/>
                  <w:vAlign w:val="center"/>
                </w:tcPr>
                <w:p>
                  <w:pPr>
                    <w:adjustRightInd w:val="0"/>
                    <w:snapToGrid w:val="0"/>
                    <w:spacing w:line="260" w:lineRule="exact"/>
                    <w:ind w:left="-53" w:leftChars="-25" w:right="-53" w:rightChars="-25"/>
                    <w:jc w:val="left"/>
                    <w:rPr>
                      <w:sz w:val="16"/>
                      <w:szCs w:val="15"/>
                    </w:rPr>
                  </w:pPr>
                  <w:r>
                    <w:rPr>
                      <w:sz w:val="16"/>
                      <w:szCs w:val="15"/>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pPr>
              <w:autoSpaceDE w:val="0"/>
              <w:autoSpaceDN w:val="0"/>
              <w:adjustRightInd w:val="0"/>
              <w:snapToGrid w:val="0"/>
              <w:jc w:val="left"/>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99" w:hRule="atLeast"/>
          <w:jc w:val="center"/>
        </w:trPr>
        <w:tc>
          <w:tcPr>
            <w:tcW w:w="1843" w:type="dxa"/>
            <w:tcMar>
              <w:top w:w="16" w:type="dxa"/>
              <w:left w:w="16" w:type="dxa"/>
              <w:right w:w="16" w:type="dxa"/>
            </w:tcMar>
            <w:vAlign w:val="center"/>
          </w:tcPr>
          <w:p>
            <w:pPr>
              <w:autoSpaceDE w:val="0"/>
              <w:autoSpaceDN w:val="0"/>
              <w:adjustRightInd w:val="0"/>
              <w:snapToGrid w:val="0"/>
              <w:jc w:val="center"/>
              <w:rPr>
                <w:rFonts w:ascii="宋体" w:hAnsi="宋体" w:cs="宋体"/>
                <w:kern w:val="0"/>
                <w:szCs w:val="21"/>
              </w:rPr>
            </w:pPr>
            <w:r>
              <w:rPr>
                <w:rFonts w:hint="eastAsia" w:ascii="宋体" w:hAnsi="宋体" w:cs="宋体"/>
                <w:szCs w:val="21"/>
              </w:rPr>
              <w:t>规划情况</w:t>
            </w:r>
          </w:p>
        </w:tc>
        <w:tc>
          <w:tcPr>
            <w:tcW w:w="7061" w:type="dxa"/>
            <w:gridSpan w:val="4"/>
            <w:tcMar>
              <w:top w:w="16" w:type="dxa"/>
              <w:left w:w="16" w:type="dxa"/>
              <w:right w:w="16" w:type="dxa"/>
            </w:tcMar>
            <w:vAlign w:val="center"/>
          </w:tcPr>
          <w:p>
            <w:pPr>
              <w:spacing w:line="400" w:lineRule="exact"/>
              <w:ind w:left="42" w:leftChars="20" w:right="53" w:rightChars="25" w:firstLine="420" w:firstLineChars="200"/>
            </w:pPr>
            <w:r>
              <w:rPr>
                <w:rFonts w:hint="eastAsia"/>
              </w:rPr>
              <w:t>2008年4月《四川达州普光经济开发区发展规划》获得省发改委的批复，确定普光经开区规划面积约20km</w:t>
            </w:r>
            <w:r>
              <w:rPr>
                <w:rFonts w:hint="eastAsia"/>
                <w:vertAlign w:val="superscript"/>
              </w:rPr>
              <w:t>2</w:t>
            </w:r>
            <w:r>
              <w:rPr>
                <w:rFonts w:hint="eastAsia"/>
              </w:rPr>
              <w:t>，由普光、胡家、南坝和柳池-方斗4个功能区组成，主导产业包括天然气化工、机械制造、农副产品加工、冶金建材、轻工、仓储物流。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811" w:hRule="atLeast"/>
          <w:jc w:val="center"/>
        </w:trPr>
        <w:tc>
          <w:tcPr>
            <w:tcW w:w="1843" w:type="dxa"/>
            <w:tcMar>
              <w:top w:w="16" w:type="dxa"/>
              <w:left w:w="16" w:type="dxa"/>
              <w:right w:w="16" w:type="dxa"/>
            </w:tcMar>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规划环境影响</w:t>
            </w:r>
          </w:p>
          <w:p>
            <w:pPr>
              <w:autoSpaceDE w:val="0"/>
              <w:autoSpaceDN w:val="0"/>
              <w:adjustRightInd w:val="0"/>
              <w:snapToGrid w:val="0"/>
              <w:jc w:val="center"/>
              <w:rPr>
                <w:rFonts w:ascii="宋体" w:hAnsi="宋体" w:cs="宋体"/>
                <w:kern w:val="0"/>
                <w:szCs w:val="21"/>
              </w:rPr>
            </w:pPr>
            <w:r>
              <w:rPr>
                <w:rFonts w:hint="eastAsia" w:ascii="宋体" w:hAnsi="宋体" w:cs="宋体"/>
                <w:szCs w:val="21"/>
              </w:rPr>
              <w:t>评价情况</w:t>
            </w:r>
          </w:p>
        </w:tc>
        <w:tc>
          <w:tcPr>
            <w:tcW w:w="7061" w:type="dxa"/>
            <w:gridSpan w:val="4"/>
            <w:tcMar>
              <w:top w:w="16" w:type="dxa"/>
              <w:left w:w="16" w:type="dxa"/>
              <w:right w:w="16" w:type="dxa"/>
            </w:tcMar>
            <w:vAlign w:val="center"/>
          </w:tcPr>
          <w:p>
            <w:pPr>
              <w:autoSpaceDE w:val="0"/>
              <w:autoSpaceDN w:val="0"/>
              <w:adjustRightInd w:val="0"/>
              <w:snapToGrid w:val="0"/>
              <w:spacing w:line="400" w:lineRule="exact"/>
              <w:ind w:left="42" w:leftChars="20" w:right="53" w:rightChars="25"/>
              <w:jc w:val="left"/>
              <w:rPr>
                <w:kern w:val="0"/>
              </w:rPr>
            </w:pPr>
            <w:r>
              <w:rPr>
                <w:rFonts w:ascii="宋体" w:hAnsi="宋体"/>
                <w:kern w:val="0"/>
              </w:rPr>
              <w:t>规划名称：四川达州普光经济开发区总体规划（</w:t>
            </w:r>
            <w:r>
              <w:rPr>
                <w:rFonts w:hint="eastAsia"/>
                <w:kern w:val="0"/>
              </w:rPr>
              <w:t>2019~2035</w:t>
            </w:r>
            <w:r>
              <w:rPr>
                <w:rFonts w:ascii="宋体" w:hAnsi="宋体"/>
                <w:kern w:val="0"/>
              </w:rPr>
              <w:t>）</w:t>
            </w:r>
          </w:p>
          <w:p>
            <w:pPr>
              <w:autoSpaceDE w:val="0"/>
              <w:autoSpaceDN w:val="0"/>
              <w:adjustRightInd w:val="0"/>
              <w:snapToGrid w:val="0"/>
              <w:spacing w:line="400" w:lineRule="exact"/>
              <w:ind w:left="42" w:leftChars="20" w:right="53" w:rightChars="25"/>
              <w:jc w:val="left"/>
              <w:rPr>
                <w:kern w:val="0"/>
              </w:rPr>
            </w:pPr>
            <w:r>
              <w:rPr>
                <w:rFonts w:ascii="宋体" w:hAnsi="宋体"/>
                <w:kern w:val="0"/>
              </w:rPr>
              <w:t>审批机关：四川省生态环境厅</w:t>
            </w:r>
          </w:p>
          <w:p>
            <w:pPr>
              <w:autoSpaceDE w:val="0"/>
              <w:autoSpaceDN w:val="0"/>
              <w:adjustRightInd w:val="0"/>
              <w:snapToGrid w:val="0"/>
              <w:spacing w:line="400" w:lineRule="exact"/>
              <w:ind w:left="42" w:leftChars="20" w:right="53" w:rightChars="25" w:firstLine="420" w:firstLineChars="200"/>
              <w:rPr>
                <w:rFonts w:ascii="宋体" w:hAnsi="宋体" w:cs="宋体"/>
                <w:kern w:val="0"/>
                <w:szCs w:val="21"/>
              </w:rPr>
            </w:pPr>
            <w:r>
              <w:rPr>
                <w:rFonts w:ascii="宋体" w:hAnsi="宋体"/>
                <w:kern w:val="0"/>
              </w:rPr>
              <w:t>文件名称及文号：</w:t>
            </w:r>
            <w:r>
              <w:rPr>
                <w:rFonts w:hint="eastAsia" w:ascii="宋体" w:hAnsi="宋体"/>
                <w:kern w:val="0"/>
              </w:rPr>
              <w:t>《</w:t>
            </w:r>
            <w:r>
              <w:rPr>
                <w:rFonts w:ascii="宋体" w:hAnsi="宋体"/>
                <w:kern w:val="0"/>
              </w:rPr>
              <w:t>关于印发</w:t>
            </w:r>
            <w:r>
              <w:rPr>
                <w:rFonts w:hint="eastAsia"/>
                <w:kern w:val="0"/>
              </w:rPr>
              <w:t>&lt;</w:t>
            </w:r>
            <w:r>
              <w:rPr>
                <w:rFonts w:ascii="宋体" w:hAnsi="宋体"/>
                <w:kern w:val="0"/>
              </w:rPr>
              <w:t>四川达州普光经济开发区总体规划（</w:t>
            </w:r>
            <w:r>
              <w:rPr>
                <w:rFonts w:hint="eastAsia"/>
                <w:kern w:val="0"/>
              </w:rPr>
              <w:t>2019~2035</w:t>
            </w:r>
            <w:r>
              <w:rPr>
                <w:rFonts w:ascii="宋体" w:hAnsi="宋体"/>
                <w:kern w:val="0"/>
              </w:rPr>
              <w:t>）环境影响报告书</w:t>
            </w:r>
            <w:r>
              <w:rPr>
                <w:rFonts w:hint="eastAsia"/>
                <w:kern w:val="0"/>
              </w:rPr>
              <w:t>&gt;</w:t>
            </w:r>
            <w:r>
              <w:rPr>
                <w:rFonts w:ascii="宋体" w:hAnsi="宋体"/>
                <w:kern w:val="0"/>
              </w:rPr>
              <w:t>审查意见的函》（川环建函﹝</w:t>
            </w:r>
            <w:r>
              <w:rPr>
                <w:kern w:val="0"/>
              </w:rPr>
              <w:t>20</w:t>
            </w:r>
            <w:r>
              <w:rPr>
                <w:rFonts w:hint="eastAsia"/>
                <w:kern w:val="0"/>
              </w:rPr>
              <w:t>21</w:t>
            </w:r>
            <w:r>
              <w:rPr>
                <w:rFonts w:ascii="宋体" w:hAnsi="宋体"/>
                <w:kern w:val="0"/>
              </w:rPr>
              <w:t>﹞</w:t>
            </w:r>
            <w:r>
              <w:rPr>
                <w:rFonts w:hint="eastAsia"/>
                <w:kern w:val="0"/>
              </w:rPr>
              <w:t>9</w:t>
            </w:r>
            <w:r>
              <w:rPr>
                <w:rFonts w:ascii="宋体" w:hAnsi="宋体"/>
                <w:kern w:val="0"/>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3" w:hRule="atLeast"/>
          <w:jc w:val="center"/>
        </w:trPr>
        <w:tc>
          <w:tcPr>
            <w:tcW w:w="1843" w:type="dxa"/>
            <w:tcMar>
              <w:top w:w="16" w:type="dxa"/>
              <w:left w:w="16" w:type="dxa"/>
              <w:right w:w="16" w:type="dxa"/>
            </w:tcMar>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规划及</w:t>
            </w:r>
            <w:r>
              <w:rPr>
                <w:rFonts w:hint="eastAsia" w:ascii="宋体" w:hAnsi="宋体" w:cs="宋体"/>
                <w:szCs w:val="21"/>
              </w:rPr>
              <w:t>规划环境影响评价</w:t>
            </w:r>
            <w:r>
              <w:rPr>
                <w:rFonts w:hint="eastAsia" w:ascii="宋体" w:hAnsi="宋体" w:cs="宋体"/>
                <w:kern w:val="0"/>
                <w:szCs w:val="21"/>
              </w:rPr>
              <w:t>符合性分析</w:t>
            </w:r>
          </w:p>
        </w:tc>
        <w:tc>
          <w:tcPr>
            <w:tcW w:w="7061" w:type="dxa"/>
            <w:gridSpan w:val="4"/>
            <w:tcMar>
              <w:top w:w="16" w:type="dxa"/>
              <w:left w:w="16" w:type="dxa"/>
              <w:right w:w="16" w:type="dxa"/>
            </w:tcMar>
            <w:vAlign w:val="center"/>
          </w:tcPr>
          <w:p>
            <w:pPr>
              <w:autoSpaceDE w:val="0"/>
              <w:autoSpaceDN w:val="0"/>
              <w:adjustRightInd w:val="0"/>
              <w:snapToGrid w:val="0"/>
              <w:spacing w:line="400" w:lineRule="exact"/>
              <w:ind w:left="42" w:leftChars="20" w:right="53" w:rightChars="25"/>
              <w:rPr>
                <w:b/>
                <w:kern w:val="0"/>
              </w:rPr>
            </w:pPr>
            <w:r>
              <w:rPr>
                <w:b/>
                <w:kern w:val="0"/>
              </w:rPr>
              <w:t>1</w:t>
            </w:r>
            <w:r>
              <w:rPr>
                <w:rFonts w:ascii="宋体" w:hAnsi="宋体"/>
                <w:b/>
                <w:kern w:val="0"/>
              </w:rPr>
              <w:t>、与</w:t>
            </w:r>
            <w:r>
              <w:rPr>
                <w:b/>
                <w:kern w:val="0"/>
              </w:rPr>
              <w:t>“</w:t>
            </w:r>
            <w:r>
              <w:rPr>
                <w:rFonts w:ascii="宋体" w:hAnsi="宋体"/>
                <w:b/>
                <w:kern w:val="0"/>
              </w:rPr>
              <w:t>四川达州普光经济开发区总体规划（</w:t>
            </w:r>
            <w:r>
              <w:rPr>
                <w:rFonts w:hint="eastAsia"/>
                <w:b/>
                <w:kern w:val="0"/>
              </w:rPr>
              <w:t>2019~2035</w:t>
            </w:r>
            <w:r>
              <w:rPr>
                <w:rFonts w:ascii="宋体" w:hAnsi="宋体"/>
                <w:b/>
                <w:kern w:val="0"/>
              </w:rPr>
              <w:t>）环境影响报告书审查意见</w:t>
            </w:r>
            <w:r>
              <w:rPr>
                <w:b/>
                <w:kern w:val="0"/>
              </w:rPr>
              <w:t>”</w:t>
            </w:r>
            <w:r>
              <w:rPr>
                <w:rFonts w:ascii="宋体" w:hAnsi="宋体"/>
                <w:b/>
                <w:kern w:val="0"/>
              </w:rPr>
              <w:t>的符合性</w:t>
            </w:r>
          </w:p>
          <w:p>
            <w:pPr>
              <w:autoSpaceDE w:val="0"/>
              <w:autoSpaceDN w:val="0"/>
              <w:adjustRightInd w:val="0"/>
              <w:snapToGrid w:val="0"/>
              <w:spacing w:line="400" w:lineRule="exact"/>
              <w:ind w:left="42" w:leftChars="20" w:right="53" w:rightChars="25" w:firstLine="420" w:firstLineChars="200"/>
              <w:rPr>
                <w:rFonts w:ascii="宋体" w:hAnsi="宋体"/>
                <w:kern w:val="0"/>
              </w:rPr>
            </w:pPr>
            <w:r>
              <w:rPr>
                <w:rFonts w:hint="eastAsia" w:ascii="宋体" w:hAnsi="宋体"/>
                <w:kern w:val="0"/>
              </w:rPr>
              <w:t>（1）与主导产业的符合性</w:t>
            </w:r>
          </w:p>
          <w:p>
            <w:pPr>
              <w:autoSpaceDE w:val="0"/>
              <w:autoSpaceDN w:val="0"/>
              <w:adjustRightInd w:val="0"/>
              <w:snapToGrid w:val="0"/>
              <w:spacing w:line="400" w:lineRule="exact"/>
              <w:ind w:left="42" w:leftChars="20" w:right="53" w:rightChars="25" w:firstLine="420" w:firstLineChars="200"/>
              <w:rPr>
                <w:rFonts w:ascii="宋体" w:hAnsi="宋体"/>
                <w:kern w:val="0"/>
              </w:rPr>
            </w:pPr>
            <w:r>
              <w:rPr>
                <w:rFonts w:hint="eastAsia" w:ascii="宋体" w:hAnsi="宋体"/>
                <w:kern w:val="0"/>
              </w:rPr>
              <w:t>普光功能区修编后四至范围调整为西北向杏树村延伸，西面向双树村延伸，北面延伸至园区污水处理厂，东面、南面范围不变，规划面积15.1227km</w:t>
            </w:r>
            <w:r>
              <w:rPr>
                <w:rFonts w:hint="eastAsia" w:ascii="宋体" w:hAnsi="宋体"/>
                <w:kern w:val="0"/>
                <w:vertAlign w:val="superscript"/>
              </w:rPr>
              <w:t>2</w:t>
            </w:r>
            <w:r>
              <w:rPr>
                <w:rFonts w:hint="eastAsia" w:ascii="宋体" w:hAnsi="宋体"/>
                <w:kern w:val="0"/>
              </w:rPr>
              <w:t>。主导产业为天然气相关产业（天然气化工、硫化工）、锂钾综合开发产业（含卤水资源提取、锂离子电池产业）。</w:t>
            </w:r>
          </w:p>
          <w:p>
            <w:pPr>
              <w:autoSpaceDE w:val="0"/>
              <w:autoSpaceDN w:val="0"/>
              <w:adjustRightInd w:val="0"/>
              <w:snapToGrid w:val="0"/>
              <w:spacing w:line="400" w:lineRule="exact"/>
              <w:ind w:left="42" w:leftChars="20" w:right="53" w:rightChars="25" w:firstLine="420" w:firstLineChars="200"/>
              <w:rPr>
                <w:rFonts w:ascii="宋体" w:hAnsi="宋体"/>
                <w:kern w:val="0"/>
              </w:rPr>
            </w:pPr>
            <w:r>
              <w:rPr>
                <w:rFonts w:hint="eastAsia" w:ascii="宋体" w:hAnsi="宋体"/>
                <w:kern w:val="0"/>
              </w:rPr>
              <w:t>本项目位于普光经开区西区的普光功能区内，为天然气输气管道工程，是为有效解决普光化工园区企业用气需求以及为实现普光化工园区双向供气而实施的项目，符合园区主导产业规划。</w:t>
            </w:r>
          </w:p>
          <w:p>
            <w:pPr>
              <w:autoSpaceDE w:val="0"/>
              <w:autoSpaceDN w:val="0"/>
              <w:adjustRightInd w:val="0"/>
              <w:snapToGrid w:val="0"/>
              <w:spacing w:line="400" w:lineRule="exact"/>
              <w:ind w:left="42" w:leftChars="20" w:right="53" w:rightChars="25" w:firstLine="420" w:firstLineChars="200"/>
              <w:rPr>
                <w:kern w:val="0"/>
              </w:rPr>
            </w:pPr>
            <w:r>
              <w:rPr>
                <w:rFonts w:ascii="宋体" w:hAnsi="宋体"/>
                <w:kern w:val="0"/>
              </w:rPr>
              <w:t>（</w:t>
            </w:r>
            <w:r>
              <w:rPr>
                <w:rFonts w:hint="eastAsia"/>
                <w:kern w:val="0"/>
              </w:rPr>
              <w:t>2</w:t>
            </w:r>
            <w:r>
              <w:rPr>
                <w:rFonts w:ascii="宋体" w:hAnsi="宋体"/>
                <w:kern w:val="0"/>
              </w:rPr>
              <w:t>）与生态环境准入清单的符合性</w:t>
            </w:r>
          </w:p>
          <w:p>
            <w:pPr>
              <w:autoSpaceDE w:val="0"/>
              <w:autoSpaceDN w:val="0"/>
              <w:adjustRightInd w:val="0"/>
              <w:snapToGrid w:val="0"/>
              <w:spacing w:line="400" w:lineRule="exact"/>
              <w:ind w:left="42" w:leftChars="20" w:right="53" w:rightChars="25" w:firstLine="420" w:firstLineChars="200"/>
              <w:rPr>
                <w:rFonts w:ascii="宋体" w:hAnsi="宋体"/>
                <w:kern w:val="0"/>
              </w:rPr>
            </w:pPr>
            <w:r>
              <w:rPr>
                <w:rFonts w:hint="eastAsia" w:ascii="宋体" w:hAnsi="宋体"/>
                <w:kern w:val="0"/>
              </w:rPr>
              <w:t>①总体准入要求</w:t>
            </w:r>
          </w:p>
          <w:p>
            <w:pPr>
              <w:autoSpaceDE w:val="0"/>
              <w:autoSpaceDN w:val="0"/>
              <w:adjustRightInd w:val="0"/>
              <w:snapToGrid w:val="0"/>
              <w:spacing w:line="400" w:lineRule="exact"/>
              <w:ind w:left="42" w:leftChars="20" w:right="53" w:rightChars="25" w:firstLine="420" w:firstLineChars="200"/>
              <w:rPr>
                <w:rFonts w:ascii="宋体" w:hAnsi="宋体"/>
                <w:kern w:val="0"/>
              </w:rPr>
            </w:pPr>
            <w:r>
              <w:rPr>
                <w:rFonts w:hint="eastAsia" w:ascii="宋体" w:hAnsi="宋体"/>
                <w:kern w:val="0"/>
              </w:rPr>
              <w:t>禁止引入不符合国家产业政策、行业准入条件以及国家和地方明令禁止的项目；禁止引入清洁生产水平达不到行业清洁生产水平二级标准或低于全国同类企业平均清洁生产水平的项目；禁止引入不符合国家、省、市重金属污染防控相关要求的项目。</w:t>
            </w:r>
          </w:p>
          <w:p>
            <w:pPr>
              <w:autoSpaceDE w:val="0"/>
              <w:autoSpaceDN w:val="0"/>
              <w:adjustRightInd w:val="0"/>
              <w:snapToGrid w:val="0"/>
              <w:spacing w:line="400" w:lineRule="exact"/>
              <w:ind w:left="42" w:leftChars="20" w:right="53" w:rightChars="25" w:firstLine="420" w:firstLineChars="200"/>
              <w:rPr>
                <w:rFonts w:ascii="宋体" w:hAnsi="宋体"/>
                <w:kern w:val="0"/>
              </w:rPr>
            </w:pPr>
            <w:r>
              <w:rPr>
                <w:rFonts w:hint="eastAsia" w:ascii="宋体" w:hAnsi="宋体"/>
                <w:kern w:val="0"/>
              </w:rPr>
              <w:t>本项目为天然气输气管道工程，已按要求取得项目立项核准文件：</w:t>
            </w:r>
            <w:r>
              <w:rPr>
                <w:rFonts w:ascii="宋体" w:hAnsi="宋体"/>
                <w:kern w:val="0"/>
              </w:rPr>
              <w:t>2203-511722-04-01-535739，符合国家产业政策。</w:t>
            </w:r>
          </w:p>
          <w:p>
            <w:pPr>
              <w:autoSpaceDE w:val="0"/>
              <w:autoSpaceDN w:val="0"/>
              <w:adjustRightInd w:val="0"/>
              <w:snapToGrid w:val="0"/>
              <w:spacing w:line="400" w:lineRule="exact"/>
              <w:ind w:left="42" w:leftChars="20" w:right="53" w:rightChars="25" w:firstLine="420" w:firstLineChars="200"/>
              <w:rPr>
                <w:rFonts w:ascii="宋体" w:hAnsi="宋体"/>
                <w:kern w:val="0"/>
              </w:rPr>
            </w:pPr>
            <w:r>
              <w:rPr>
                <w:rFonts w:hint="eastAsia" w:ascii="宋体" w:hAnsi="宋体"/>
                <w:kern w:val="0"/>
              </w:rPr>
              <w:t>②各功能区准入要求</w:t>
            </w:r>
          </w:p>
          <w:p>
            <w:pPr>
              <w:autoSpaceDE w:val="0"/>
              <w:autoSpaceDN w:val="0"/>
              <w:adjustRightInd w:val="0"/>
              <w:snapToGrid w:val="0"/>
              <w:spacing w:line="400" w:lineRule="exact"/>
              <w:ind w:left="42" w:leftChars="20" w:right="53" w:rightChars="25" w:firstLine="420" w:firstLineChars="200"/>
              <w:rPr>
                <w:rFonts w:ascii="宋体" w:hAnsi="宋体"/>
                <w:kern w:val="0"/>
              </w:rPr>
            </w:pPr>
            <w:r>
              <w:rPr>
                <w:rFonts w:hint="eastAsia" w:ascii="宋体" w:hAnsi="宋体"/>
                <w:kern w:val="0"/>
              </w:rPr>
              <w:t>普光功能区：天然气化工中禁止发展合成氨、硝酸铵、有机硫化工、氢氰酸等高污染、高风险项目。</w:t>
            </w:r>
          </w:p>
          <w:p>
            <w:pPr>
              <w:autoSpaceDE w:val="0"/>
              <w:autoSpaceDN w:val="0"/>
              <w:adjustRightInd w:val="0"/>
              <w:snapToGrid w:val="0"/>
              <w:spacing w:line="400" w:lineRule="exact"/>
              <w:ind w:left="42" w:leftChars="20" w:right="53" w:rightChars="25" w:firstLine="420" w:firstLineChars="200"/>
              <w:rPr>
                <w:rFonts w:ascii="宋体" w:hAnsi="宋体" w:cs="宋体"/>
                <w:kern w:val="0"/>
                <w:szCs w:val="21"/>
              </w:rPr>
            </w:pPr>
            <w:r>
              <w:rPr>
                <w:rFonts w:hint="eastAsia" w:ascii="宋体" w:hAnsi="宋体"/>
                <w:kern w:val="0"/>
              </w:rPr>
              <w:t>本项目位于普光功能区，为天然气输气管道工程，不属于禁止发展的合成氨、硝酸铵、有机硫化工、氢氰酸等高污染、高风险项目，符合园区准入要求。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jc w:val="center"/>
        </w:trPr>
        <w:tc>
          <w:tcPr>
            <w:tcW w:w="1843" w:type="dxa"/>
            <w:tcMar>
              <w:top w:w="16" w:type="dxa"/>
              <w:left w:w="16" w:type="dxa"/>
              <w:right w:w="16" w:type="dxa"/>
            </w:tcMar>
            <w:vAlign w:val="center"/>
          </w:tcPr>
          <w:p>
            <w:pPr>
              <w:autoSpaceDE w:val="0"/>
              <w:autoSpaceDN w:val="0"/>
              <w:adjustRightInd w:val="0"/>
              <w:snapToGrid w:val="0"/>
              <w:jc w:val="center"/>
              <w:rPr>
                <w:rFonts w:ascii="宋体" w:hAnsi="宋体" w:cs="宋体"/>
                <w:kern w:val="0"/>
                <w:szCs w:val="21"/>
              </w:rPr>
            </w:pPr>
            <w:bookmarkStart w:id="2" w:name="_Hlk56690880"/>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pStyle w:val="2"/>
            </w:pPr>
          </w:p>
          <w:p>
            <w:pPr>
              <w:pStyle w:val="2"/>
            </w:pPr>
          </w:p>
          <w:p>
            <w:pPr>
              <w:pStyle w:val="2"/>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其他符合性分析</w:t>
            </w:r>
            <w:bookmarkEnd w:id="2"/>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pStyle w:val="2"/>
            </w:pPr>
          </w:p>
          <w:p>
            <w:pPr>
              <w:pStyle w:val="2"/>
            </w:pPr>
          </w:p>
          <w:p>
            <w:pPr>
              <w:pStyle w:val="2"/>
            </w:pPr>
          </w:p>
          <w:p>
            <w:pPr>
              <w:pStyle w:val="2"/>
            </w:pPr>
          </w:p>
          <w:p>
            <w:pPr>
              <w:pStyle w:val="2"/>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其他符合性分析</w:t>
            </w: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pStyle w:val="2"/>
            </w:pPr>
          </w:p>
          <w:p>
            <w:pPr>
              <w:pStyle w:val="2"/>
            </w:pPr>
          </w:p>
          <w:p>
            <w:pPr>
              <w:pStyle w:val="2"/>
            </w:pPr>
          </w:p>
          <w:p>
            <w:pPr>
              <w:pStyle w:val="2"/>
            </w:pPr>
          </w:p>
          <w:p>
            <w:pPr>
              <w:pStyle w:val="2"/>
            </w:pPr>
          </w:p>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其他符合性分析</w:t>
            </w: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tc>
        <w:tc>
          <w:tcPr>
            <w:tcW w:w="7061" w:type="dxa"/>
            <w:gridSpan w:val="4"/>
            <w:tcMar>
              <w:top w:w="16" w:type="dxa"/>
              <w:left w:w="16" w:type="dxa"/>
              <w:right w:w="16" w:type="dxa"/>
            </w:tcMar>
            <w:vAlign w:val="center"/>
          </w:tcPr>
          <w:p>
            <w:pPr>
              <w:autoSpaceDE w:val="0"/>
              <w:autoSpaceDN w:val="0"/>
              <w:adjustRightInd w:val="0"/>
              <w:spacing w:line="400" w:lineRule="exact"/>
              <w:ind w:left="53" w:leftChars="25" w:right="53" w:rightChars="25"/>
              <w:jc w:val="left"/>
              <w:rPr>
                <w:rFonts w:eastAsia="黑体"/>
                <w:szCs w:val="21"/>
                <w:lang w:val="zh-CN"/>
              </w:rPr>
            </w:pPr>
            <w:r>
              <w:rPr>
                <w:rFonts w:eastAsia="黑体"/>
                <w:szCs w:val="21"/>
              </w:rPr>
              <w:t>1</w:t>
            </w:r>
            <w:r>
              <w:rPr>
                <w:rFonts w:hint="eastAsia" w:eastAsia="黑体"/>
                <w:szCs w:val="21"/>
                <w:lang w:val="zh-CN"/>
              </w:rPr>
              <w:t>、产业政策的符合性分析</w:t>
            </w:r>
          </w:p>
          <w:p>
            <w:pPr>
              <w:autoSpaceDE w:val="0"/>
              <w:autoSpaceDN w:val="0"/>
              <w:adjustRightInd w:val="0"/>
              <w:snapToGrid w:val="0"/>
              <w:spacing w:line="400" w:lineRule="exact"/>
              <w:ind w:left="53" w:leftChars="25" w:right="53" w:rightChars="25" w:firstLine="420" w:firstLineChars="200"/>
              <w:rPr>
                <w:szCs w:val="21"/>
              </w:rPr>
            </w:pPr>
            <w:r>
              <w:rPr>
                <w:rFonts w:hint="eastAsia"/>
                <w:szCs w:val="21"/>
              </w:rPr>
              <w:t>根据《国民经济行业分类》(GB/T4754-2017)，确定本项目行业类别和代码为陆地管道运输(G5720)。根据中华人民共和国国家发展改革委员会公布的《产业结构调整指导目录 (2019年本)》中的相关规定，本项目属于其中“鼓励类”“七、石油、天然气 3、原油、天然气、液化天然气、成品油的储运和管道输送设施、网络和液化天然气加注设施建设”。因此，本项目属于鼓励类项目，符合国家现行产业政策。</w:t>
            </w:r>
          </w:p>
          <w:p>
            <w:pPr>
              <w:autoSpaceDE w:val="0"/>
              <w:autoSpaceDN w:val="0"/>
              <w:adjustRightInd w:val="0"/>
              <w:snapToGrid w:val="0"/>
              <w:spacing w:line="400" w:lineRule="exact"/>
              <w:ind w:left="53" w:leftChars="25" w:right="53" w:rightChars="25" w:firstLine="420" w:firstLineChars="200"/>
              <w:rPr>
                <w:szCs w:val="21"/>
              </w:rPr>
            </w:pPr>
            <w:r>
              <w:rPr>
                <w:rFonts w:hint="eastAsia"/>
                <w:szCs w:val="21"/>
              </w:rPr>
              <w:t>建设单位已于2022年7月27日取得了宣汉县自然资源局《关于普光园区化工专线输气管道工程管线路径方案的复函》以及宣汉县住房和规划建设局《普光经开区化工专线输气管道工程配气站拟选址审核图》及同意意见。同时建设单位也取得在宣汉县发改局备案的《四川省固定资产投资项目备案表》，备案号：</w:t>
            </w:r>
            <w:r>
              <w:rPr>
                <w:rFonts w:ascii="宋体" w:hAnsi="宋体" w:cs="宋体"/>
                <w:szCs w:val="21"/>
              </w:rPr>
              <w:t>川投资备【</w:t>
            </w:r>
            <w:r>
              <w:rPr>
                <w:rFonts w:hint="eastAsia" w:ascii="宋体" w:hAnsi="宋体" w:cs="宋体"/>
                <w:szCs w:val="21"/>
              </w:rPr>
              <w:t>2305-511722-04-01-706177</w:t>
            </w:r>
            <w:r>
              <w:rPr>
                <w:rFonts w:ascii="宋体" w:hAnsi="宋体" w:cs="宋体"/>
                <w:szCs w:val="21"/>
              </w:rPr>
              <w:t>】</w:t>
            </w:r>
            <w:r>
              <w:rPr>
                <w:rFonts w:hint="eastAsia" w:ascii="宋体" w:hAnsi="宋体" w:cs="宋体"/>
                <w:szCs w:val="21"/>
              </w:rPr>
              <w:t>FGQB-0358号</w:t>
            </w:r>
            <w:r>
              <w:rPr>
                <w:rFonts w:hint="eastAsia"/>
                <w:szCs w:val="21"/>
              </w:rPr>
              <w:t>。</w:t>
            </w:r>
          </w:p>
          <w:p>
            <w:pPr>
              <w:autoSpaceDE w:val="0"/>
              <w:autoSpaceDN w:val="0"/>
              <w:adjustRightInd w:val="0"/>
              <w:snapToGrid w:val="0"/>
              <w:spacing w:line="400" w:lineRule="exact"/>
              <w:ind w:left="53" w:leftChars="25" w:right="53" w:rightChars="25" w:firstLine="420" w:firstLineChars="200"/>
              <w:rPr>
                <w:szCs w:val="21"/>
              </w:rPr>
            </w:pPr>
            <w:r>
              <w:rPr>
                <w:rFonts w:hint="eastAsia"/>
                <w:szCs w:val="21"/>
              </w:rPr>
              <w:t>因此，项目的建设符合国家有关产业政策。</w:t>
            </w:r>
          </w:p>
          <w:p>
            <w:pPr>
              <w:autoSpaceDE w:val="0"/>
              <w:autoSpaceDN w:val="0"/>
              <w:adjustRightInd w:val="0"/>
              <w:spacing w:line="400" w:lineRule="exact"/>
              <w:ind w:left="53" w:leftChars="25" w:right="53" w:rightChars="25"/>
              <w:jc w:val="left"/>
              <w:rPr>
                <w:rFonts w:eastAsia="黑体"/>
                <w:szCs w:val="21"/>
                <w:lang w:val="zh-CN"/>
              </w:rPr>
            </w:pPr>
            <w:r>
              <w:rPr>
                <w:rFonts w:eastAsia="黑体"/>
                <w:szCs w:val="21"/>
                <w:lang w:val="zh-CN"/>
              </w:rPr>
              <w:t>2</w:t>
            </w:r>
            <w:r>
              <w:rPr>
                <w:rFonts w:hint="eastAsia" w:eastAsia="黑体"/>
                <w:szCs w:val="21"/>
                <w:lang w:val="zh-CN"/>
              </w:rPr>
              <w:t>、</w:t>
            </w:r>
            <w:r>
              <w:rPr>
                <w:rFonts w:eastAsia="黑体"/>
                <w:szCs w:val="21"/>
                <w:lang w:val="zh-CN"/>
              </w:rPr>
              <w:t>“</w:t>
            </w:r>
            <w:r>
              <w:rPr>
                <w:rFonts w:hint="eastAsia" w:eastAsia="黑体"/>
                <w:szCs w:val="21"/>
                <w:lang w:val="zh-CN"/>
              </w:rPr>
              <w:t>三线一单</w:t>
            </w:r>
            <w:r>
              <w:rPr>
                <w:rFonts w:eastAsia="黑体"/>
                <w:szCs w:val="21"/>
                <w:lang w:val="zh-CN"/>
              </w:rPr>
              <w:t>”</w:t>
            </w:r>
            <w:r>
              <w:rPr>
                <w:rFonts w:hint="eastAsia" w:eastAsia="黑体"/>
                <w:szCs w:val="21"/>
              </w:rPr>
              <w:t>符合性分析</w:t>
            </w:r>
          </w:p>
          <w:p>
            <w:pPr>
              <w:autoSpaceDE w:val="0"/>
              <w:autoSpaceDN w:val="0"/>
              <w:adjustRightInd w:val="0"/>
              <w:snapToGrid w:val="0"/>
              <w:spacing w:line="404" w:lineRule="exact"/>
              <w:ind w:left="53" w:leftChars="25" w:right="53" w:rightChars="25" w:firstLine="420" w:firstLineChars="200"/>
              <w:jc w:val="left"/>
              <w:rPr>
                <w:kern w:val="0"/>
                <w:szCs w:val="21"/>
                <w:lang w:val="zh-CN"/>
              </w:rPr>
            </w:pPr>
            <w:r>
              <w:rPr>
                <w:rFonts w:hint="eastAsia"/>
                <w:kern w:val="0"/>
                <w:szCs w:val="21"/>
                <w:lang w:val="zh-CN"/>
              </w:rPr>
              <w:t>（1）</w:t>
            </w:r>
            <w:r>
              <w:rPr>
                <w:rFonts w:hint="eastAsia"/>
                <w:b/>
                <w:kern w:val="0"/>
                <w:szCs w:val="21"/>
                <w:lang w:val="zh-CN"/>
              </w:rPr>
              <w:t>“三线一单”的概念</w:t>
            </w:r>
          </w:p>
          <w:p>
            <w:pPr>
              <w:autoSpaceDE w:val="0"/>
              <w:autoSpaceDN w:val="0"/>
              <w:adjustRightInd w:val="0"/>
              <w:snapToGrid w:val="0"/>
              <w:spacing w:line="400" w:lineRule="exact"/>
              <w:ind w:left="53" w:leftChars="25" w:right="53" w:rightChars="25" w:firstLine="420" w:firstLineChars="200"/>
              <w:rPr>
                <w:szCs w:val="21"/>
              </w:rPr>
            </w:pPr>
            <w:r>
              <w:rPr>
                <w:rFonts w:hint="eastAsia"/>
                <w:szCs w:val="21"/>
              </w:rPr>
              <w:t>“三线一单”是指生态保护红线、环境质量底线、资源利用上线和生态环境准入清单，</w:t>
            </w:r>
            <w:r>
              <w:rPr>
                <w:szCs w:val="21"/>
              </w:rPr>
              <w:t>是推进生态环境保护精细化管理、强化国土空间环境管控、推进绿色发展高质量发展的一项重要工作。</w:t>
            </w:r>
          </w:p>
          <w:p>
            <w:pPr>
              <w:autoSpaceDE w:val="0"/>
              <w:autoSpaceDN w:val="0"/>
              <w:adjustRightInd w:val="0"/>
              <w:snapToGrid w:val="0"/>
              <w:spacing w:line="400" w:lineRule="exact"/>
              <w:ind w:left="53" w:leftChars="25" w:right="53" w:rightChars="25" w:firstLine="420" w:firstLineChars="200"/>
              <w:rPr>
                <w:kern w:val="0"/>
                <w:szCs w:val="21"/>
                <w:lang w:val="zh-CN"/>
              </w:rPr>
            </w:pPr>
            <w:r>
              <w:rPr>
                <w:rFonts w:hint="eastAsia"/>
                <w:szCs w:val="21"/>
              </w:rPr>
              <w:t>生态保护红线指在生态空间范围内具有特殊重要生态功能、必须强制性严格保护的区域；环境质量底线指结合环境质量现状和相关规划、功能区划要求，确定的分区域分阶段环境质量目标及相应的环境管控、污染物排放控制等要求；资源利用上线以保障生态安全和改善环境质量为目的，结合自然</w:t>
            </w:r>
            <w:r>
              <w:rPr>
                <w:rFonts w:hint="eastAsia"/>
                <w:kern w:val="0"/>
                <w:szCs w:val="21"/>
                <w:lang w:val="zh-CN"/>
              </w:rPr>
              <w:t>资源开发管控，提出的分区域分阶段的资源开发利用总量、强度、效率等上线管控要求；生态环境准入清单则是指基于环境管控单元，统筹考虑“三线”的管控要求，提出的空间布局、污染物排放、环境风险、资源开发利用等方面禁止和限制的环境准入要求。</w:t>
            </w:r>
          </w:p>
          <w:p>
            <w:pPr>
              <w:autoSpaceDE w:val="0"/>
              <w:autoSpaceDN w:val="0"/>
              <w:adjustRightInd w:val="0"/>
              <w:snapToGrid w:val="0"/>
              <w:spacing w:line="390" w:lineRule="exact"/>
              <w:ind w:left="-53" w:leftChars="-25" w:right="-53" w:rightChars="-25" w:firstLine="422" w:firstLineChars="200"/>
              <w:jc w:val="left"/>
              <w:rPr>
                <w:b/>
                <w:kern w:val="0"/>
                <w:szCs w:val="21"/>
                <w:lang w:val="zh-CN"/>
              </w:rPr>
            </w:pPr>
            <w:r>
              <w:rPr>
                <w:rFonts w:hint="eastAsia"/>
                <w:b/>
                <w:kern w:val="0"/>
                <w:szCs w:val="21"/>
                <w:lang w:val="zh-CN"/>
              </w:rPr>
              <w:t>达州市生态保护红线图：</w:t>
            </w:r>
          </w:p>
          <w:p>
            <w:pPr>
              <w:autoSpaceDE w:val="0"/>
              <w:autoSpaceDN w:val="0"/>
              <w:adjustRightInd w:val="0"/>
              <w:snapToGrid w:val="0"/>
              <w:spacing w:line="404" w:lineRule="exact"/>
              <w:ind w:left="25" w:right="25" w:firstLine="420" w:firstLineChars="200"/>
              <w:jc w:val="left"/>
              <w:rPr>
                <w:kern w:val="0"/>
                <w:szCs w:val="21"/>
                <w:lang w:val="zh-CN"/>
              </w:rPr>
            </w:pPr>
            <w:r>
              <w:rPr>
                <w:rFonts w:hint="eastAsia"/>
                <w:kern w:val="0"/>
                <w:szCs w:val="21"/>
                <w:lang w:val="zh-CN"/>
              </w:rPr>
              <w:t>根据《长江经济带战略环境评价四川省达州市“三线一单”生态环境分区管控优化完善研究报告》，达州市生态保护红线面积1214.56km</w:t>
            </w:r>
            <w:r>
              <w:rPr>
                <w:rFonts w:hint="eastAsia"/>
                <w:kern w:val="0"/>
                <w:szCs w:val="21"/>
                <w:vertAlign w:val="superscript"/>
                <w:lang w:val="zh-CN"/>
              </w:rPr>
              <w:t>2</w:t>
            </w:r>
            <w:r>
              <w:rPr>
                <w:rFonts w:hint="eastAsia"/>
                <w:kern w:val="0"/>
                <w:szCs w:val="21"/>
                <w:lang w:val="zh-CN"/>
              </w:rPr>
              <w:t>，占达州市国土面积比例的7.33%。达州市生态保护红线图如下。</w:t>
            </w:r>
          </w:p>
          <w:p>
            <w:pPr>
              <w:jc w:val="center"/>
            </w:pPr>
            <w:r>
              <mc:AlternateContent>
                <mc:Choice Requires="wps">
                  <w:drawing>
                    <wp:anchor distT="0" distB="0" distL="114300" distR="114300" simplePos="0" relativeHeight="251661312" behindDoc="0" locked="0" layoutInCell="1" allowOverlap="1">
                      <wp:simplePos x="0" y="0"/>
                      <wp:positionH relativeFrom="column">
                        <wp:posOffset>1775460</wp:posOffset>
                      </wp:positionH>
                      <wp:positionV relativeFrom="paragraph">
                        <wp:posOffset>2179320</wp:posOffset>
                      </wp:positionV>
                      <wp:extent cx="805180" cy="284480"/>
                      <wp:effectExtent l="38100" t="781050" r="13970" b="20320"/>
                      <wp:wrapNone/>
                      <wp:docPr id="225" name="圆角矩形标注 225"/>
                      <wp:cNvGraphicFramePr/>
                      <a:graphic xmlns:a="http://schemas.openxmlformats.org/drawingml/2006/main">
                        <a:graphicData uri="http://schemas.microsoft.com/office/word/2010/wordprocessingShape">
                          <wps:wsp>
                            <wps:cNvSpPr>
                              <a:spLocks noChangeArrowheads="1"/>
                            </wps:cNvSpPr>
                            <wps:spPr bwMode="auto">
                              <a:xfrm>
                                <a:off x="3926871" y="5318106"/>
                                <a:ext cx="805180" cy="284480"/>
                              </a:xfrm>
                              <a:prstGeom prst="wedgeRoundRectCallout">
                                <a:avLst>
                                  <a:gd name="adj1" fmla="val -52728"/>
                                  <a:gd name="adj2" fmla="val -307369"/>
                                  <a:gd name="adj3" fmla="val 16667"/>
                                </a:avLst>
                              </a:prstGeom>
                              <a:noFill/>
                              <a:ln w="9525">
                                <a:solidFill>
                                  <a:srgbClr val="FF0000"/>
                                </a:solidFill>
                                <a:miter lim="800000"/>
                              </a:ln>
                            </wps:spPr>
                            <wps:txbx>
                              <w:txbxContent>
                                <w:p>
                                  <w:pPr>
                                    <w:spacing w:line="240" w:lineRule="exact"/>
                                    <w:ind w:left="-105" w:leftChars="-50" w:right="-105" w:rightChars="-50"/>
                                    <w:jc w:val="center"/>
                                    <w:rPr>
                                      <w:b/>
                                      <w:color w:val="FF0000"/>
                                    </w:rPr>
                                  </w:pPr>
                                  <w:r>
                                    <w:rPr>
                                      <w:b/>
                                      <w:color w:val="FF0000"/>
                                    </w:rPr>
                                    <w:t>项目所在地</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39.8pt;margin-top:171.6pt;height:22.4pt;width:63.4pt;z-index:251661312;mso-width-relative:page;mso-height-relative:page;" filled="f" stroked="t" coordsize="21600,21600" o:gfxdata="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v7&#10;SnDZAAAACwEAAA8AAAAAAAAAAQAgAAAAIgAAAGRycy9kb3ducmV2LnhtbFBLAQIUABQAAAAIAIdO&#10;4kDN2smMlAIAAPUEAAAOAAAAAAAAAAEAIAAAACgBAABkcnMvZTJvRG9jLnhtbFBLBQYAAAAABgAG&#10;AFkBAAAuBgAAAAA=&#10;" adj="-589,-55592,14400">
                      <v:fill on="f" focussize="0,0"/>
                      <v:stroke color="#FF0000" miterlimit="8" joinstyle="miter"/>
                      <v:imagedata o:title=""/>
                      <o:lock v:ext="edit" aspectratio="f"/>
                      <v:textbox>
                        <w:txbxContent>
                          <w:p>
                            <w:pPr>
                              <w:spacing w:line="240" w:lineRule="exact"/>
                              <w:ind w:left="-105" w:leftChars="-50" w:right="-105" w:rightChars="-50"/>
                              <w:jc w:val="center"/>
                              <w:rPr>
                                <w:b/>
                                <w:color w:val="FF0000"/>
                              </w:rPr>
                            </w:pPr>
                            <w:r>
                              <w:rPr>
                                <w:b/>
                                <w:color w:val="FF0000"/>
                              </w:rPr>
                              <w:t>项目所在地</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1737995</wp:posOffset>
                      </wp:positionH>
                      <wp:positionV relativeFrom="paragraph">
                        <wp:posOffset>1377950</wp:posOffset>
                      </wp:positionV>
                      <wp:extent cx="35560" cy="35560"/>
                      <wp:effectExtent l="19050" t="38100" r="40640" b="40640"/>
                      <wp:wrapNone/>
                      <wp:docPr id="224" name="五角星 224"/>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136.85pt;margin-top:108.5pt;height:2.8pt;width:2.8pt;z-index:251662336;mso-width-relative:page;mso-height-relative:page;" fillcolor="#FF0000" filled="t" stroked="t" coordsize="35560,35560" o:gfxdata="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g1/m9UAAAALAQAADwAAAAAAAAABACAAAAAiAAAAZHJzL2Rvd25yZXYueG1s&#10;UEsBAhQAFAAAAAgAh07iQPC4Hu00AgAAdAQAAA4AAAAAAAAAAQAgAAAAJAEAAGRycy9lMm9Eb2Mu&#10;eG1sUEsFBgAAAAAGAAYAWQEAAMoFAAAAAA==&#10;" path="m0,13582l13582,13582,17780,0,21977,13582,35559,13582,24571,21977,28768,35559,17780,27165,6791,35559,10988,21977xe">
                      <v:path o:connectlocs="17780,0;0,13582;6791,35559;28768,35559;35559,13582" o:connectangles="247,164,82,82,0"/>
                      <v:fill on="t" focussize="0,0"/>
                      <v:stroke color="#FF0000" miterlimit="8" joinstyle="miter"/>
                      <v:imagedata o:title=""/>
                      <o:lock v:ext="edit" aspectratio="f"/>
                    </v:shape>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149860</wp:posOffset>
                      </wp:positionH>
                      <wp:positionV relativeFrom="paragraph">
                        <wp:posOffset>2823210</wp:posOffset>
                      </wp:positionV>
                      <wp:extent cx="3780155" cy="255905"/>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3780155" cy="255905"/>
                              </a:xfrm>
                              <a:prstGeom prst="rect">
                                <a:avLst/>
                              </a:prstGeom>
                              <a:noFill/>
                              <a:ln>
                                <a:noFill/>
                              </a:ln>
                            </wps:spPr>
                            <wps:txbx>
                              <w:txbxContent>
                                <w:p>
                                  <w:pPr>
                                    <w:jc w:val="center"/>
                                    <w:rPr>
                                      <w:sz w:val="18"/>
                                      <w:szCs w:val="18"/>
                                    </w:rPr>
                                  </w:pPr>
                                  <w:r>
                                    <w:rPr>
                                      <w:rFonts w:hint="eastAsia" w:eastAsia="黑体"/>
                                      <w:sz w:val="18"/>
                                      <w:szCs w:val="18"/>
                                    </w:rPr>
                                    <w:t>附图1-1   达州市生态保护红线分布图</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8pt;margin-top:222.3pt;height:20.15pt;width:297.65pt;z-index:251660288;mso-width-relative:page;mso-height-relative:page;" filled="f" stroked="f" coordsize="21600,21600" o:gfxdata="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Y6ic1wAAAAoBAAAP&#10;AAAAAAAAAAEAIAAAACIAAABkcnMvZG93bnJldi54bWxQSwECFAAUAAAACACHTuJAbeKgJRkCAAAX&#10;BAAADgAAAAAAAAABACAAAAAmAQAAZHJzL2Uyb0RvYy54bWxQSwUGAAAAAAYABgBZAQAAsQUAAAAA&#10;">
                      <v:fill on="f" focussize="0,0"/>
                      <v:stroke on="f"/>
                      <v:imagedata o:title=""/>
                      <o:lock v:ext="edit" aspectratio="f"/>
                      <v:textbox>
                        <w:txbxContent>
                          <w:p>
                            <w:pPr>
                              <w:jc w:val="center"/>
                              <w:rPr>
                                <w:sz w:val="18"/>
                                <w:szCs w:val="18"/>
                              </w:rPr>
                            </w:pPr>
                            <w:r>
                              <w:rPr>
                                <w:rFonts w:hint="eastAsia" w:eastAsia="黑体"/>
                                <w:sz w:val="18"/>
                                <w:szCs w:val="18"/>
                              </w:rPr>
                              <w:t>附图1-1   达州市生态保护红线分布图</w:t>
                            </w:r>
                          </w:p>
                          <w:p/>
                        </w:txbxContent>
                      </v:textbox>
                    </v:shape>
                  </w:pict>
                </mc:Fallback>
              </mc:AlternateContent>
            </w:r>
            <w:r>
              <w:drawing>
                <wp:inline distT="0" distB="0" distL="0" distR="0">
                  <wp:extent cx="4390390" cy="2854960"/>
                  <wp:effectExtent l="0" t="0" r="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90281" cy="2855087"/>
                          </a:xfrm>
                          <a:prstGeom prst="rect">
                            <a:avLst/>
                          </a:prstGeom>
                        </pic:spPr>
                      </pic:pic>
                    </a:graphicData>
                  </a:graphic>
                </wp:inline>
              </w:drawing>
            </w:r>
          </w:p>
          <w:p>
            <w:pPr>
              <w:autoSpaceDE w:val="0"/>
              <w:autoSpaceDN w:val="0"/>
              <w:adjustRightInd w:val="0"/>
              <w:snapToGrid w:val="0"/>
              <w:spacing w:before="240" w:beforeLines="100" w:line="404" w:lineRule="exact"/>
              <w:ind w:left="23" w:right="23" w:firstLine="420" w:firstLineChars="200"/>
              <w:jc w:val="left"/>
              <w:rPr>
                <w:b/>
                <w:bCs/>
                <w:kern w:val="0"/>
                <w:szCs w:val="21"/>
              </w:rPr>
            </w:pPr>
            <w:r>
              <w:rPr>
                <w:rFonts w:hint="eastAsia"/>
                <w:kern w:val="0"/>
                <w:szCs w:val="21"/>
                <w:lang w:val="zh-CN"/>
              </w:rPr>
              <w:t>由上图可知，项目占地范围不涉及达州市生态保护红线。</w:t>
            </w:r>
          </w:p>
          <w:p>
            <w:pPr>
              <w:autoSpaceDE w:val="0"/>
              <w:autoSpaceDN w:val="0"/>
              <w:adjustRightInd w:val="0"/>
              <w:snapToGrid w:val="0"/>
              <w:spacing w:line="404" w:lineRule="exact"/>
              <w:ind w:left="25" w:right="25" w:firstLine="422" w:firstLineChars="200"/>
              <w:jc w:val="left"/>
              <w:rPr>
                <w:b/>
                <w:bCs/>
                <w:kern w:val="0"/>
                <w:szCs w:val="21"/>
              </w:rPr>
            </w:pPr>
            <w:r>
              <w:rPr>
                <w:rFonts w:hint="eastAsia"/>
                <w:b/>
                <w:bCs/>
                <w:kern w:val="0"/>
                <w:szCs w:val="21"/>
              </w:rPr>
              <w:t>（2）分析结构</w:t>
            </w:r>
          </w:p>
          <w:p>
            <w:pPr>
              <w:autoSpaceDE w:val="0"/>
              <w:autoSpaceDN w:val="0"/>
              <w:adjustRightInd w:val="0"/>
              <w:snapToGrid w:val="0"/>
              <w:spacing w:line="404" w:lineRule="exact"/>
              <w:ind w:left="25" w:right="25" w:firstLine="420" w:firstLineChars="200"/>
              <w:jc w:val="left"/>
              <w:rPr>
                <w:kern w:val="0"/>
                <w:szCs w:val="21"/>
                <w:lang w:val="zh-CN"/>
              </w:rPr>
            </w:pPr>
            <w:r>
              <w:rPr>
                <w:rFonts w:hint="eastAsia"/>
                <w:kern w:val="0"/>
                <w:szCs w:val="21"/>
                <w:lang w:val="zh-CN"/>
              </w:rPr>
              <w:t>根据四川省生态环境厅办公室《关于印发《产业园区规划环评“三线一单”符合性分析技术要点(试行)》和《项目环评“三线一单”符合性分析技术要点(试行)》的通知》（川环办函〔2021〕469号），本项目位于普光化工园区内，园区规划环评已开展</w:t>
            </w:r>
            <w:r>
              <w:rPr>
                <w:kern w:val="0"/>
                <w:szCs w:val="21"/>
                <w:lang w:val="zh-CN"/>
              </w:rPr>
              <w:t>“三线一单”论述。因此，本项目</w:t>
            </w:r>
            <w:r>
              <w:rPr>
                <w:rFonts w:hint="eastAsia"/>
                <w:kern w:val="0"/>
                <w:szCs w:val="21"/>
                <w:lang w:val="zh-CN"/>
              </w:rPr>
              <w:t>“三线一单”的重点为分析项目与园区规划环评生态环境准入清单的符合性。</w:t>
            </w:r>
          </w:p>
          <w:p>
            <w:pPr>
              <w:autoSpaceDE w:val="0"/>
              <w:autoSpaceDN w:val="0"/>
              <w:adjustRightInd w:val="0"/>
              <w:snapToGrid w:val="0"/>
              <w:spacing w:line="404" w:lineRule="exact"/>
              <w:ind w:left="25" w:right="25" w:firstLine="422" w:firstLineChars="200"/>
              <w:jc w:val="left"/>
              <w:rPr>
                <w:b/>
                <w:bCs/>
                <w:kern w:val="0"/>
                <w:szCs w:val="21"/>
              </w:rPr>
            </w:pPr>
            <w:r>
              <w:rPr>
                <w:b/>
                <w:bCs/>
                <w:kern w:val="0"/>
                <w:szCs w:val="21"/>
              </w:rPr>
              <w:t>（</w:t>
            </w:r>
            <w:r>
              <w:rPr>
                <w:rFonts w:hint="eastAsia"/>
                <w:b/>
                <w:bCs/>
                <w:kern w:val="0"/>
                <w:szCs w:val="21"/>
              </w:rPr>
              <w:t>3</w:t>
            </w:r>
            <w:r>
              <w:rPr>
                <w:b/>
                <w:bCs/>
                <w:kern w:val="0"/>
                <w:szCs w:val="21"/>
              </w:rPr>
              <w:t>）项目所属环境管控单元</w:t>
            </w:r>
          </w:p>
          <w:p>
            <w:pPr>
              <w:autoSpaceDE w:val="0"/>
              <w:autoSpaceDN w:val="0"/>
              <w:adjustRightInd w:val="0"/>
              <w:snapToGrid w:val="0"/>
              <w:spacing w:line="404" w:lineRule="exact"/>
              <w:ind w:left="25" w:right="25" w:firstLine="420" w:firstLineChars="200"/>
              <w:rPr>
                <w:kern w:val="0"/>
                <w:szCs w:val="21"/>
                <w:lang w:val="zh-CN"/>
              </w:rPr>
            </w:pPr>
            <w:r>
              <w:rPr>
                <w:kern w:val="0"/>
                <w:szCs w:val="21"/>
                <w:lang w:val="zh-CN"/>
              </w:rPr>
              <w:t>根据《达州市人民政府&lt;关于落实生态保护红线、环境质量底线、资源利用上线制定生态环境准入清单实施生态环境分区管控的通知&gt;》（达市府发〔2021〕17号），将全市行政区域从生态环境保护角度划分为优先保护、重点管控和一般管控三类环境管控单元，全市共划定46个综合环境管控单元。</w:t>
            </w:r>
          </w:p>
          <w:p>
            <w:pPr>
              <w:autoSpaceDE w:val="0"/>
              <w:autoSpaceDN w:val="0"/>
              <w:adjustRightInd w:val="0"/>
              <w:snapToGrid w:val="0"/>
              <w:spacing w:line="404" w:lineRule="exact"/>
              <w:ind w:left="25" w:right="25" w:firstLine="422" w:firstLineChars="200"/>
              <w:rPr>
                <w:kern w:val="0"/>
                <w:szCs w:val="21"/>
                <w:lang w:val="zh-CN"/>
              </w:rPr>
            </w:pPr>
            <w:r>
              <w:rPr>
                <w:b/>
                <w:bCs/>
                <w:kern w:val="0"/>
                <w:szCs w:val="21"/>
                <w:lang w:val="zh-CN"/>
              </w:rPr>
              <w:t>优先保护单元。</w:t>
            </w:r>
            <w:r>
              <w:rPr>
                <w:kern w:val="0"/>
                <w:szCs w:val="21"/>
                <w:lang w:val="zh-CN"/>
              </w:rPr>
              <w:t>以生态环境保护为主的区域，全市划分优先保护单元17个，主要包括生态保护红线、自然保护地、饮用水水源保护区等。</w:t>
            </w:r>
          </w:p>
          <w:p>
            <w:pPr>
              <w:autoSpaceDE w:val="0"/>
              <w:autoSpaceDN w:val="0"/>
              <w:adjustRightInd w:val="0"/>
              <w:snapToGrid w:val="0"/>
              <w:spacing w:line="404" w:lineRule="exact"/>
              <w:ind w:left="25" w:right="25" w:firstLine="422" w:firstLineChars="200"/>
              <w:rPr>
                <w:kern w:val="0"/>
                <w:szCs w:val="21"/>
                <w:lang w:val="zh-CN"/>
              </w:rPr>
            </w:pPr>
            <w:r>
              <w:rPr>
                <w:b/>
                <w:bCs/>
                <w:kern w:val="0"/>
                <w:szCs w:val="21"/>
                <w:lang w:val="zh-CN"/>
              </w:rPr>
              <w:t>重点管控单元。</w:t>
            </w:r>
            <w:r>
              <w:rPr>
                <w:kern w:val="0"/>
                <w:szCs w:val="21"/>
                <w:lang w:val="zh-CN"/>
              </w:rPr>
              <w:t>涉及水、大气、土壤、自然资源等资源环境要素重点管控的区域，全市划分重点管控单元22个，主要包括人口密集的城镇规划区和产业集聚的工业园区（工业集聚区）等。</w:t>
            </w:r>
          </w:p>
          <w:p>
            <w:pPr>
              <w:autoSpaceDE w:val="0"/>
              <w:autoSpaceDN w:val="0"/>
              <w:adjustRightInd w:val="0"/>
              <w:snapToGrid w:val="0"/>
              <w:spacing w:line="400" w:lineRule="exact"/>
              <w:ind w:left="25" w:right="25" w:firstLine="422" w:firstLineChars="200"/>
              <w:rPr>
                <w:szCs w:val="21"/>
                <w:lang w:val="zh-CN"/>
              </w:rPr>
            </w:pPr>
            <w:r>
              <w:rPr>
                <w:b/>
                <w:bCs/>
                <w:kern w:val="0"/>
                <w:szCs w:val="21"/>
                <w:lang w:val="zh-CN"/>
              </w:rPr>
              <w:t>一般管控单元。</w:t>
            </w:r>
            <w:r>
              <w:rPr>
                <w:kern w:val="0"/>
                <w:szCs w:val="21"/>
                <w:lang w:val="zh-CN"/>
              </w:rPr>
              <w:t>除优先保护单元和重点管控单元之外的其他区域，全市共划分一般管控单元7个。</w:t>
            </w:r>
          </w:p>
          <w:p>
            <w:pPr>
              <w:autoSpaceDE w:val="0"/>
              <w:autoSpaceDN w:val="0"/>
              <w:adjustRightInd w:val="0"/>
              <w:snapToGrid w:val="0"/>
              <w:spacing w:line="400" w:lineRule="exact"/>
              <w:ind w:left="53" w:leftChars="25" w:right="53" w:rightChars="25" w:firstLine="420" w:firstLineChars="200"/>
              <w:rPr>
                <w:szCs w:val="21"/>
              </w:rPr>
            </w:pPr>
            <w:r>
              <w:rPr>
                <w:rFonts w:hint="eastAsia"/>
                <w:szCs w:val="21"/>
                <w:lang w:val="zh-CN"/>
              </w:rPr>
              <w:t>根据四川省“三线一单”数据分析系统分析，本项目调压站（属永久占地建设内容）位于普光化工园区，属于工业重点管控单元，共涉及到4个</w:t>
            </w:r>
            <w:r>
              <w:rPr>
                <w:szCs w:val="21"/>
              </w:rPr>
              <w:t>环境管控单元。输气管线工程（属临时占地工程，工程完工后将采取迹地恢复措施）沿线涉及工业重点管控单元和一般管控单元。</w:t>
            </w:r>
          </w:p>
          <w:p>
            <w:pPr>
              <w:autoSpaceDE w:val="0"/>
              <w:autoSpaceDN w:val="0"/>
              <w:adjustRightInd w:val="0"/>
              <w:snapToGrid w:val="0"/>
              <w:spacing w:line="400" w:lineRule="exact"/>
              <w:ind w:left="53" w:leftChars="25" w:right="53" w:rightChars="25" w:firstLine="420" w:firstLineChars="200"/>
              <w:rPr>
                <w:rFonts w:eastAsia="黑体"/>
                <w:kern w:val="0"/>
                <w:sz w:val="20"/>
                <w:szCs w:val="20"/>
              </w:rPr>
            </w:pPr>
            <w:r>
              <w:rPr>
                <w:rFonts w:hint="eastAsia"/>
                <w:szCs w:val="21"/>
              </w:rPr>
              <w:t>本</w:t>
            </w:r>
            <w:r>
              <w:rPr>
                <w:szCs w:val="21"/>
              </w:rPr>
              <w:t>项目配气站所涉及到的环境管控单元见下表。</w:t>
            </w:r>
          </w:p>
          <w:p>
            <w:pPr>
              <w:autoSpaceDE w:val="0"/>
              <w:autoSpaceDN w:val="0"/>
              <w:adjustRightInd w:val="0"/>
              <w:snapToGrid w:val="0"/>
              <w:spacing w:line="360" w:lineRule="exact"/>
              <w:jc w:val="center"/>
              <w:rPr>
                <w:rFonts w:eastAsia="黑体"/>
                <w:kern w:val="0"/>
                <w:sz w:val="16"/>
                <w:szCs w:val="18"/>
              </w:rPr>
            </w:pPr>
            <w:r>
              <w:rPr>
                <w:rFonts w:eastAsia="黑体"/>
                <w:kern w:val="0"/>
                <w:sz w:val="16"/>
                <w:szCs w:val="18"/>
                <w:lang w:val="zh-CN"/>
              </w:rPr>
              <w:t>表</w:t>
            </w:r>
            <w:r>
              <w:rPr>
                <w:rFonts w:hint="eastAsia" w:eastAsia="黑体"/>
                <w:kern w:val="0"/>
                <w:sz w:val="16"/>
                <w:szCs w:val="18"/>
              </w:rPr>
              <w:t xml:space="preserve">1-2  </w:t>
            </w:r>
            <w:r>
              <w:rPr>
                <w:rFonts w:eastAsia="黑体"/>
                <w:kern w:val="0"/>
                <w:sz w:val="16"/>
                <w:szCs w:val="18"/>
                <w:lang w:val="zh-CN"/>
              </w:rPr>
              <w:t xml:space="preserve"> 项目所涉及环境管控单元</w:t>
            </w:r>
            <w:r>
              <w:rPr>
                <w:rFonts w:eastAsia="黑体"/>
                <w:kern w:val="0"/>
                <w:sz w:val="16"/>
                <w:szCs w:val="18"/>
              </w:rPr>
              <w:t>一览表</w:t>
            </w:r>
          </w:p>
          <w:tbl>
            <w:tblPr>
              <w:tblStyle w:val="17"/>
              <w:tblW w:w="6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963"/>
              <w:gridCol w:w="756"/>
              <w:gridCol w:w="1138"/>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694" w:type="dxa"/>
                  <w:vAlign w:val="center"/>
                </w:tcPr>
                <w:p>
                  <w:pPr>
                    <w:spacing w:line="260" w:lineRule="exact"/>
                    <w:ind w:left="-92" w:leftChars="-44" w:right="-92" w:rightChars="-44"/>
                    <w:jc w:val="center"/>
                    <w:rPr>
                      <w:b/>
                      <w:bCs/>
                      <w:spacing w:val="-1"/>
                      <w:sz w:val="16"/>
                      <w:szCs w:val="18"/>
                    </w:rPr>
                  </w:pPr>
                  <w:r>
                    <w:rPr>
                      <w:b/>
                      <w:bCs/>
                      <w:spacing w:val="-1"/>
                      <w:sz w:val="16"/>
                      <w:szCs w:val="18"/>
                    </w:rPr>
                    <w:t>环境管控单元编码</w:t>
                  </w:r>
                </w:p>
              </w:tc>
              <w:tc>
                <w:tcPr>
                  <w:tcW w:w="1963" w:type="dxa"/>
                  <w:vAlign w:val="center"/>
                </w:tcPr>
                <w:p>
                  <w:pPr>
                    <w:spacing w:line="260" w:lineRule="exact"/>
                    <w:ind w:left="-92" w:leftChars="-44" w:right="-92" w:rightChars="-44"/>
                    <w:jc w:val="center"/>
                    <w:rPr>
                      <w:b/>
                      <w:bCs/>
                      <w:spacing w:val="-1"/>
                      <w:sz w:val="16"/>
                      <w:szCs w:val="18"/>
                    </w:rPr>
                  </w:pPr>
                  <w:r>
                    <w:rPr>
                      <w:b/>
                      <w:bCs/>
                      <w:spacing w:val="-1"/>
                      <w:sz w:val="16"/>
                      <w:szCs w:val="18"/>
                    </w:rPr>
                    <w:t>环境管控单元名称</w:t>
                  </w:r>
                </w:p>
              </w:tc>
              <w:tc>
                <w:tcPr>
                  <w:tcW w:w="756" w:type="dxa"/>
                  <w:vAlign w:val="center"/>
                </w:tcPr>
                <w:p>
                  <w:pPr>
                    <w:spacing w:line="260" w:lineRule="exact"/>
                    <w:ind w:left="-92" w:leftChars="-44" w:right="-92" w:rightChars="-44"/>
                    <w:jc w:val="center"/>
                    <w:rPr>
                      <w:b/>
                      <w:bCs/>
                      <w:spacing w:val="-1"/>
                      <w:sz w:val="16"/>
                      <w:szCs w:val="18"/>
                    </w:rPr>
                  </w:pPr>
                  <w:r>
                    <w:rPr>
                      <w:b/>
                      <w:bCs/>
                      <w:spacing w:val="-1"/>
                      <w:sz w:val="16"/>
                      <w:szCs w:val="18"/>
                    </w:rPr>
                    <w:t>所属区县</w:t>
                  </w:r>
                </w:p>
              </w:tc>
              <w:tc>
                <w:tcPr>
                  <w:tcW w:w="1138" w:type="dxa"/>
                  <w:vAlign w:val="center"/>
                </w:tcPr>
                <w:p>
                  <w:pPr>
                    <w:spacing w:line="260" w:lineRule="exact"/>
                    <w:ind w:left="-92" w:leftChars="-44" w:right="-92" w:rightChars="-44"/>
                    <w:jc w:val="center"/>
                    <w:rPr>
                      <w:b/>
                      <w:bCs/>
                      <w:spacing w:val="-1"/>
                      <w:sz w:val="16"/>
                      <w:szCs w:val="18"/>
                    </w:rPr>
                  </w:pPr>
                  <w:r>
                    <w:rPr>
                      <w:b/>
                      <w:bCs/>
                      <w:spacing w:val="-1"/>
                      <w:sz w:val="16"/>
                      <w:szCs w:val="18"/>
                    </w:rPr>
                    <w:t>准入清单类型</w:t>
                  </w:r>
                </w:p>
              </w:tc>
              <w:tc>
                <w:tcPr>
                  <w:tcW w:w="1266" w:type="dxa"/>
                  <w:vAlign w:val="center"/>
                </w:tcPr>
                <w:p>
                  <w:pPr>
                    <w:spacing w:line="260" w:lineRule="exact"/>
                    <w:ind w:left="-92" w:leftChars="-44" w:right="-92" w:rightChars="-44"/>
                    <w:jc w:val="center"/>
                    <w:rPr>
                      <w:b/>
                      <w:bCs/>
                      <w:spacing w:val="-1"/>
                      <w:sz w:val="16"/>
                      <w:szCs w:val="18"/>
                    </w:rPr>
                  </w:pPr>
                  <w:r>
                    <w:rPr>
                      <w:b/>
                      <w:bCs/>
                      <w:spacing w:val="-1"/>
                      <w:sz w:val="16"/>
                      <w:szCs w:val="18"/>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tblHeader/>
                <w:jc w:val="center"/>
              </w:trPr>
              <w:tc>
                <w:tcPr>
                  <w:tcW w:w="1694"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ZH51172220002</w:t>
                  </w:r>
                </w:p>
              </w:tc>
              <w:tc>
                <w:tcPr>
                  <w:tcW w:w="1963"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四川达州普光经济开发区（含锂钾综合开发产业园）</w:t>
                  </w:r>
                </w:p>
              </w:tc>
              <w:tc>
                <w:tcPr>
                  <w:tcW w:w="756"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宣汉县</w:t>
                  </w:r>
                </w:p>
              </w:tc>
              <w:tc>
                <w:tcPr>
                  <w:tcW w:w="1138"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环境管控单元</w:t>
                  </w:r>
                </w:p>
              </w:tc>
              <w:tc>
                <w:tcPr>
                  <w:tcW w:w="1266"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环境综合管控单元工业重点管控单元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 w:hRule="atLeast"/>
                <w:tblHeader/>
                <w:jc w:val="center"/>
              </w:trPr>
              <w:tc>
                <w:tcPr>
                  <w:tcW w:w="1694"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YS5117222210001</w:t>
                  </w:r>
                </w:p>
              </w:tc>
              <w:tc>
                <w:tcPr>
                  <w:tcW w:w="1963"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州河宣汉县张鼓坪控制单元</w:t>
                  </w:r>
                </w:p>
              </w:tc>
              <w:tc>
                <w:tcPr>
                  <w:tcW w:w="756"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宣汉县</w:t>
                  </w:r>
                </w:p>
              </w:tc>
              <w:tc>
                <w:tcPr>
                  <w:tcW w:w="1138"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水环境管控分区</w:t>
                  </w:r>
                </w:p>
              </w:tc>
              <w:tc>
                <w:tcPr>
                  <w:tcW w:w="1266"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 w:hRule="atLeast"/>
                <w:tblHeader/>
                <w:jc w:val="center"/>
              </w:trPr>
              <w:tc>
                <w:tcPr>
                  <w:tcW w:w="1694"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YS5117222310001</w:t>
                  </w:r>
                </w:p>
              </w:tc>
              <w:tc>
                <w:tcPr>
                  <w:tcW w:w="1963"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四川达州普光经济开发区（含锂钾综合开发产业园）</w:t>
                  </w:r>
                </w:p>
              </w:tc>
              <w:tc>
                <w:tcPr>
                  <w:tcW w:w="756"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宣汉县</w:t>
                  </w:r>
                </w:p>
              </w:tc>
              <w:tc>
                <w:tcPr>
                  <w:tcW w:w="1138"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大气环境管控分区</w:t>
                  </w:r>
                </w:p>
              </w:tc>
              <w:tc>
                <w:tcPr>
                  <w:tcW w:w="1266"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大气环境高排放重点管控区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blHeader/>
                <w:jc w:val="center"/>
              </w:trPr>
              <w:tc>
                <w:tcPr>
                  <w:tcW w:w="1694"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YS5117222420004</w:t>
                  </w:r>
                </w:p>
              </w:tc>
              <w:tc>
                <w:tcPr>
                  <w:tcW w:w="1963"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宣汉县建设用地污染风险重点管控区</w:t>
                  </w:r>
                </w:p>
              </w:tc>
              <w:tc>
                <w:tcPr>
                  <w:tcW w:w="756"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宣汉县</w:t>
                  </w:r>
                </w:p>
              </w:tc>
              <w:tc>
                <w:tcPr>
                  <w:tcW w:w="1138"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土壤污染风险管控分区</w:t>
                  </w:r>
                </w:p>
              </w:tc>
              <w:tc>
                <w:tcPr>
                  <w:tcW w:w="1266" w:type="dxa"/>
                  <w:vAlign w:val="center"/>
                </w:tcPr>
                <w:p>
                  <w:pPr>
                    <w:pStyle w:val="50"/>
                    <w:widowControl/>
                    <w:spacing w:line="300" w:lineRule="exact"/>
                    <w:ind w:left="-53" w:leftChars="-25" w:right="-53" w:rightChars="-25" w:firstLine="0" w:firstLineChars="0"/>
                    <w:jc w:val="center"/>
                    <w:rPr>
                      <w:rStyle w:val="53"/>
                      <w:rFonts w:ascii="宋体" w:hAnsi="宋体" w:cs="Times New Roman"/>
                      <w:sz w:val="16"/>
                      <w:szCs w:val="18"/>
                    </w:rPr>
                  </w:pPr>
                  <w:r>
                    <w:rPr>
                      <w:rStyle w:val="53"/>
                      <w:rFonts w:hint="eastAsia" w:ascii="宋体" w:hAnsi="宋体" w:eastAsia="宋体"/>
                      <w:sz w:val="16"/>
                      <w:szCs w:val="18"/>
                    </w:rPr>
                    <w:t>建设用地污染风险重点管控区</w:t>
                  </w:r>
                </w:p>
              </w:tc>
            </w:tr>
          </w:tbl>
          <w:p>
            <w:pPr>
              <w:autoSpaceDE w:val="0"/>
              <w:autoSpaceDN w:val="0"/>
              <w:adjustRightInd w:val="0"/>
              <w:snapToGrid w:val="0"/>
              <w:spacing w:line="400" w:lineRule="exact"/>
              <w:ind w:firstLine="420" w:firstLineChars="200"/>
              <w:jc w:val="left"/>
              <w:rPr>
                <w:szCs w:val="21"/>
              </w:rPr>
            </w:pPr>
            <w:r>
              <w:rPr>
                <w:szCs w:val="21"/>
              </w:rPr>
              <w:t>项目与环境综合管控单元位置关系图如下：</w:t>
            </w:r>
          </w:p>
          <w:p>
            <w:pPr>
              <w:jc w:val="center"/>
            </w:pPr>
            <w:r>
              <w:drawing>
                <wp:inline distT="0" distB="0" distL="0" distR="0">
                  <wp:extent cx="4283710" cy="25349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4286654" cy="2536767"/>
                          </a:xfrm>
                          <a:prstGeom prst="rect">
                            <a:avLst/>
                          </a:prstGeom>
                        </pic:spPr>
                      </pic:pic>
                    </a:graphicData>
                  </a:graphic>
                </wp:inline>
              </w:drawing>
            </w:r>
          </w:p>
          <w:p>
            <w:r>
              <mc:AlternateContent>
                <mc:Choice Requires="wps">
                  <w:drawing>
                    <wp:anchor distT="0" distB="0" distL="114300" distR="114300" simplePos="0" relativeHeight="251663360" behindDoc="0" locked="0" layoutInCell="1" allowOverlap="1">
                      <wp:simplePos x="0" y="0"/>
                      <wp:positionH relativeFrom="column">
                        <wp:posOffset>133985</wp:posOffset>
                      </wp:positionH>
                      <wp:positionV relativeFrom="paragraph">
                        <wp:posOffset>1270</wp:posOffset>
                      </wp:positionV>
                      <wp:extent cx="4069080" cy="27114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4069080"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sz w:val="18"/>
                                      <w:szCs w:val="18"/>
                                    </w:rPr>
                                  </w:pPr>
                                  <w:r>
                                    <w:rPr>
                                      <w:rFonts w:hint="eastAsia"/>
                                      <w:b/>
                                      <w:sz w:val="18"/>
                                      <w:szCs w:val="18"/>
                                    </w:rPr>
                                    <w:t>图1-2   项目与环境综合管控单元位置关系图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5pt;margin-top:0.1pt;height:21.35pt;width:320.4pt;z-index:251663360;mso-width-relative:page;mso-height-relative:page;" filled="f" stroked="f" coordsize="21600,21600" o:gfxdata="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r5/tI1wAAAAYBAAAPAAAAAAAAAAEAIAAAACIA&#10;AABkcnMvZG93bnJldi54bWxQSwECFAAUAAAACACHTuJATMT8GEMCAAB2BAAADgAAAAAAAAABACAA&#10;AAAmAQAAZHJzL2Uyb0RvYy54bWxQSwUGAAAAAAYABgBZAQAA2wUAAAAA&#10;">
                      <v:fill on="f" focussize="0,0"/>
                      <v:stroke on="f" weight="0.5pt"/>
                      <v:imagedata o:title=""/>
                      <o:lock v:ext="edit" aspectratio="f"/>
                      <v:textbox>
                        <w:txbxContent>
                          <w:p>
                            <w:pPr>
                              <w:jc w:val="center"/>
                              <w:rPr>
                                <w:b/>
                                <w:sz w:val="18"/>
                                <w:szCs w:val="18"/>
                              </w:rPr>
                            </w:pPr>
                            <w:r>
                              <w:rPr>
                                <w:rFonts w:hint="eastAsia"/>
                                <w:b/>
                                <w:sz w:val="18"/>
                                <w:szCs w:val="18"/>
                              </w:rPr>
                              <w:t>图1-2   项目与环境综合管控单元位置关系图</w:t>
                            </w:r>
                          </w:p>
                        </w:txbxContent>
                      </v:textbox>
                    </v:shape>
                  </w:pict>
                </mc:Fallback>
              </mc:AlternateContent>
            </w:r>
          </w:p>
          <w:p>
            <w:pPr>
              <w:autoSpaceDE w:val="0"/>
              <w:autoSpaceDN w:val="0"/>
              <w:adjustRightInd w:val="0"/>
              <w:snapToGrid w:val="0"/>
              <w:spacing w:line="400" w:lineRule="exact"/>
              <w:ind w:left="53" w:leftChars="25" w:right="53" w:rightChars="25" w:firstLine="420" w:firstLineChars="200"/>
              <w:rPr>
                <w:szCs w:val="21"/>
                <w:lang w:val="zh-CN"/>
              </w:rPr>
            </w:pPr>
            <w:r>
              <w:rPr>
                <w:szCs w:val="21"/>
                <w:lang w:val="zh-CN"/>
              </w:rPr>
              <w:t>综上，本项目所在区域属于工业重点管控单元。</w:t>
            </w:r>
          </w:p>
          <w:p>
            <w:pPr>
              <w:autoSpaceDE w:val="0"/>
              <w:autoSpaceDN w:val="0"/>
              <w:adjustRightInd w:val="0"/>
              <w:snapToGrid w:val="0"/>
              <w:spacing w:line="100" w:lineRule="exact"/>
              <w:ind w:left="53" w:leftChars="25" w:right="53" w:rightChars="25" w:firstLine="420" w:firstLineChars="200"/>
              <w:rPr>
                <w:rFonts w:ascii="宋体" w:hAnsi="宋体" w:cs="宋体"/>
                <w:kern w:val="0"/>
                <w:szCs w:val="21"/>
              </w:rPr>
            </w:pPr>
          </w:p>
        </w:tc>
      </w:tr>
    </w:tbl>
    <w:p>
      <w:pPr>
        <w:spacing w:line="360" w:lineRule="auto"/>
        <w:outlineLvl w:val="0"/>
        <w:rPr>
          <w:rFonts w:eastAsia="黑体"/>
          <w:sz w:val="30"/>
        </w:rPr>
        <w:sectPr>
          <w:footerReference r:id="rId5" w:type="default"/>
          <w:footerReference r:id="rId6" w:type="even"/>
          <w:pgSz w:w="11906" w:h="16838"/>
          <w:pgMar w:top="1701" w:right="1531" w:bottom="1701" w:left="1531" w:header="851" w:footer="1134" w:gutter="0"/>
          <w:pgNumType w:fmt="numberInDash" w:start="1"/>
          <w:cols w:space="720" w:num="1"/>
          <w:docGrid w:linePitch="312" w:charSpace="0"/>
        </w:sect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1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4" w:hRule="atLeast"/>
          <w:jc w:val="center"/>
        </w:trPr>
        <w:tc>
          <w:tcPr>
            <w:tcW w:w="1353" w:type="dxa"/>
          </w:tcPr>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jc w:val="center"/>
              <w:rPr>
                <w:rFonts w:eastAsia="黑体"/>
                <w:sz w:val="30"/>
              </w:rPr>
            </w:pPr>
            <w:r>
              <w:rPr>
                <w:rFonts w:hint="eastAsia" w:ascii="宋体" w:hAnsi="宋体" w:cs="宋体"/>
                <w:kern w:val="0"/>
                <w:szCs w:val="21"/>
              </w:rPr>
              <w:t>其他符合性分析</w:t>
            </w:r>
          </w:p>
        </w:tc>
        <w:tc>
          <w:tcPr>
            <w:tcW w:w="12133" w:type="dxa"/>
          </w:tcPr>
          <w:p>
            <w:pPr>
              <w:tabs>
                <w:tab w:val="left" w:pos="3653"/>
              </w:tabs>
              <w:autoSpaceDE w:val="0"/>
              <w:autoSpaceDN w:val="0"/>
              <w:adjustRightInd w:val="0"/>
              <w:spacing w:line="400" w:lineRule="exact"/>
              <w:ind w:left="53" w:leftChars="25" w:right="53" w:rightChars="25" w:firstLine="422" w:firstLineChars="200"/>
              <w:rPr>
                <w:szCs w:val="21"/>
              </w:rPr>
            </w:pPr>
            <w:r>
              <w:rPr>
                <w:rFonts w:hint="eastAsia"/>
                <w:b/>
                <w:szCs w:val="21"/>
              </w:rPr>
              <w:t>（3）生态环境准入清单符合性分析</w:t>
            </w:r>
          </w:p>
          <w:p>
            <w:pPr>
              <w:widowControl/>
              <w:spacing w:line="400" w:lineRule="exact"/>
              <w:jc w:val="center"/>
              <w:rPr>
                <w:rFonts w:eastAsia="黑体"/>
                <w:sz w:val="30"/>
              </w:rPr>
            </w:pPr>
            <w:r>
              <w:rPr>
                <w:rFonts w:ascii="黑体" w:hAnsi="黑体" w:eastAsia="黑体"/>
                <w:szCs w:val="21"/>
              </w:rPr>
              <w:t>表</w:t>
            </w:r>
            <w:r>
              <w:rPr>
                <w:rFonts w:eastAsia="黑体"/>
                <w:szCs w:val="21"/>
              </w:rPr>
              <w:t>1</w:t>
            </w:r>
            <w:r>
              <w:rPr>
                <w:rFonts w:hint="eastAsia" w:eastAsia="黑体"/>
                <w:szCs w:val="21"/>
              </w:rPr>
              <w:t>-3</w:t>
            </w:r>
            <w:r>
              <w:rPr>
                <w:rFonts w:eastAsia="黑体"/>
                <w:szCs w:val="21"/>
              </w:rPr>
              <w:t xml:space="preserve">   </w:t>
            </w:r>
            <w:r>
              <w:rPr>
                <w:rFonts w:ascii="黑体" w:hAnsi="黑体" w:eastAsia="黑体"/>
                <w:szCs w:val="21"/>
              </w:rPr>
              <w:t>项目与生态环境准入清单的符合性分析表</w:t>
            </w:r>
          </w:p>
          <w:tbl>
            <w:tblPr>
              <w:tblStyle w:val="17"/>
              <w:tblW w:w="11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45"/>
              <w:gridCol w:w="567"/>
              <w:gridCol w:w="567"/>
              <w:gridCol w:w="6777"/>
              <w:gridCol w:w="1641"/>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 w:hRule="atLeast"/>
                <w:jc w:val="center"/>
              </w:trPr>
              <w:tc>
                <w:tcPr>
                  <w:tcW w:w="9356"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bCs/>
                      <w:sz w:val="18"/>
                      <w:szCs w:val="18"/>
                    </w:rPr>
                    <w:t>“三线一单”的具体要求</w:t>
                  </w:r>
                </w:p>
              </w:tc>
              <w:tc>
                <w:tcPr>
                  <w:tcW w:w="1641"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ascii="华文中宋" w:hAnsi="华文中宋" w:eastAsia="华文中宋"/>
                      <w:bCs/>
                      <w:sz w:val="18"/>
                      <w:szCs w:val="18"/>
                    </w:rPr>
                    <w:t>本项目情况</w:t>
                  </w:r>
                </w:p>
              </w:tc>
              <w:tc>
                <w:tcPr>
                  <w:tcW w:w="728"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ascii="华文中宋" w:hAnsi="华文中宋" w:eastAsia="华文中宋"/>
                      <w:bCs/>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 w:hRule="atLeast"/>
                <w:jc w:val="center"/>
              </w:trPr>
              <w:tc>
                <w:tcPr>
                  <w:tcW w:w="2579"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类别</w:t>
                  </w:r>
                </w:p>
              </w:tc>
              <w:tc>
                <w:tcPr>
                  <w:tcW w:w="67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对应</w:t>
                  </w:r>
                  <w:r>
                    <w:rPr>
                      <w:rFonts w:ascii="华文中宋" w:hAnsi="华文中宋" w:eastAsia="华文中宋"/>
                      <w:bCs/>
                      <w:sz w:val="18"/>
                      <w:szCs w:val="18"/>
                    </w:rPr>
                    <w:t>管控要求</w:t>
                  </w:r>
                </w:p>
              </w:tc>
              <w:tc>
                <w:tcPr>
                  <w:tcW w:w="16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72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华文中宋" w:hAnsi="华文中宋" w:eastAsia="华文中宋"/>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3" w:hRule="atLeast"/>
                <w:jc w:val="center"/>
              </w:trPr>
              <w:tc>
                <w:tcPr>
                  <w:tcW w:w="1445" w:type="dxa"/>
                  <w:vMerge w:val="restart"/>
                  <w:tcBorders>
                    <w:top w:val="nil"/>
                    <w:left w:val="single" w:color="auto" w:sz="4" w:space="0"/>
                    <w:bottom w:val="single" w:color="auto" w:sz="4" w:space="0"/>
                    <w:right w:val="single" w:color="auto" w:sz="4" w:space="0"/>
                  </w:tcBorders>
                  <w:vAlign w:val="center"/>
                </w:tcPr>
                <w:p>
                  <w:pPr>
                    <w:pStyle w:val="51"/>
                    <w:widowControl/>
                    <w:spacing w:line="240" w:lineRule="exact"/>
                    <w:ind w:firstLine="0" w:firstLineChars="0"/>
                    <w:rPr>
                      <w:rFonts w:ascii="华文中宋" w:hAnsi="华文中宋" w:eastAsia="华文中宋"/>
                      <w:bCs/>
                      <w:sz w:val="18"/>
                      <w:szCs w:val="18"/>
                    </w:rPr>
                  </w:pPr>
                  <w:r>
                    <w:rPr>
                      <w:rFonts w:ascii="华文中宋" w:hAnsi="华文中宋" w:eastAsia="华文中宋"/>
                      <w:bCs/>
                      <w:sz w:val="18"/>
                      <w:szCs w:val="18"/>
                    </w:rPr>
                    <w:t>工业重点管控单元、ZH51172220002、</w:t>
                  </w:r>
                  <w:r>
                    <w:rPr>
                      <w:rFonts w:hint="eastAsia" w:ascii="华文中宋" w:hAnsi="华文中宋" w:eastAsia="华文中宋"/>
                      <w:bCs/>
                      <w:sz w:val="18"/>
                      <w:szCs w:val="18"/>
                    </w:rPr>
                    <w:t>四川达州普光经济开发区（含锂钾综合开发产业园）</w:t>
                  </w:r>
                </w:p>
              </w:tc>
              <w:tc>
                <w:tcPr>
                  <w:tcW w:w="567"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达州市普适性清单管控要求</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空间布局约束</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禁止开发建设活动的要求</w:t>
                  </w:r>
                </w:p>
                <w:p>
                  <w:pPr>
                    <w:spacing w:line="240" w:lineRule="exact"/>
                    <w:ind w:firstLine="420"/>
                    <w:rPr>
                      <w:rFonts w:ascii="华文中宋" w:hAnsi="华文中宋" w:eastAsia="华文中宋"/>
                      <w:sz w:val="18"/>
                      <w:szCs w:val="18"/>
                    </w:rPr>
                  </w:pPr>
                  <w:r>
                    <w:rPr>
                      <w:rFonts w:hint="eastAsia" w:ascii="华文中宋" w:hAnsi="华文中宋" w:eastAsia="华文中宋"/>
                      <w:sz w:val="18"/>
                      <w:szCs w:val="18"/>
                    </w:rPr>
                    <w:t>禁止开发建设活动的要求</w:t>
                  </w:r>
                </w:p>
                <w:p>
                  <w:pPr>
                    <w:spacing w:line="240" w:lineRule="exact"/>
                    <w:ind w:firstLine="420"/>
                    <w:rPr>
                      <w:rFonts w:ascii="华文中宋" w:hAnsi="华文中宋" w:eastAsia="华文中宋"/>
                      <w:sz w:val="18"/>
                      <w:szCs w:val="18"/>
                    </w:rPr>
                  </w:pPr>
                  <w:r>
                    <w:rPr>
                      <w:rFonts w:hint="eastAsia" w:ascii="华文中宋" w:hAnsi="华文中宋" w:eastAsia="华文中宋"/>
                      <w:sz w:val="18"/>
                      <w:szCs w:val="18"/>
                    </w:rPr>
                    <w:t>-禁止在长江干支流1公里范围内新建、扩建化工园区和化工项目，严控新建石油化工、煤化工、涉磷、造纸、印染、制革等项目。</w:t>
                  </w:r>
                </w:p>
                <w:p>
                  <w:pPr>
                    <w:spacing w:line="240" w:lineRule="exact"/>
                    <w:ind w:firstLine="420"/>
                    <w:rPr>
                      <w:rFonts w:ascii="华文中宋" w:hAnsi="华文中宋" w:eastAsia="华文中宋"/>
                      <w:sz w:val="18"/>
                      <w:szCs w:val="18"/>
                    </w:rPr>
                  </w:pPr>
                  <w:r>
                    <w:rPr>
                      <w:rFonts w:hint="eastAsia" w:ascii="华文中宋" w:hAnsi="华文中宋" w:eastAsia="华文中宋"/>
                      <w:sz w:val="18"/>
                      <w:szCs w:val="18"/>
                    </w:rPr>
                    <w:t>-禁止从事《长江经济带发展负面清单指南（试行）》禁止准入类事项。</w:t>
                  </w:r>
                </w:p>
                <w:p>
                  <w:pPr>
                    <w:spacing w:line="240" w:lineRule="exact"/>
                    <w:ind w:firstLine="420"/>
                    <w:rPr>
                      <w:rFonts w:ascii="华文中宋" w:hAnsi="华文中宋" w:eastAsia="华文中宋"/>
                      <w:sz w:val="18"/>
                      <w:szCs w:val="18"/>
                    </w:rPr>
                  </w:pPr>
                  <w:r>
                    <w:rPr>
                      <w:rFonts w:hint="eastAsia" w:ascii="华文中宋" w:hAnsi="华文中宋" w:eastAsia="华文中宋"/>
                      <w:sz w:val="18"/>
                      <w:szCs w:val="18"/>
                    </w:rPr>
                    <w:t>-引进项目应符合园区规划环评和区域产业准入及负面清单要求。</w:t>
                  </w:r>
                </w:p>
                <w:p>
                  <w:pPr>
                    <w:spacing w:line="240" w:lineRule="exact"/>
                    <w:ind w:firstLine="420"/>
                    <w:rPr>
                      <w:rFonts w:ascii="华文中宋" w:hAnsi="华文中宋" w:eastAsia="华文中宋"/>
                      <w:sz w:val="18"/>
                      <w:szCs w:val="18"/>
                    </w:rPr>
                  </w:pPr>
                  <w:r>
                    <w:rPr>
                      <w:rFonts w:hint="eastAsia" w:ascii="华文中宋" w:hAnsi="华文中宋" w:eastAsia="华文中宋"/>
                      <w:sz w:val="18"/>
                      <w:szCs w:val="18"/>
                    </w:rPr>
                    <w:t>-禁止新建不符合国家产业政策和行业准入条件的高污染项目。</w:t>
                  </w:r>
                </w:p>
                <w:p>
                  <w:pPr>
                    <w:spacing w:line="240" w:lineRule="exact"/>
                    <w:ind w:firstLine="420"/>
                    <w:rPr>
                      <w:rFonts w:ascii="华文中宋" w:hAnsi="华文中宋" w:eastAsia="华文中宋"/>
                      <w:sz w:val="18"/>
                      <w:szCs w:val="18"/>
                    </w:rPr>
                  </w:pPr>
                  <w:r>
                    <w:rPr>
                      <w:rFonts w:hint="eastAsia" w:ascii="华文中宋" w:hAnsi="华文中宋" w:eastAsia="华文中宋"/>
                      <w:sz w:val="18"/>
                      <w:szCs w:val="18"/>
                    </w:rPr>
                    <w:t>-工业园区禁止新建高污染燃料锅炉。</w:t>
                  </w:r>
                </w:p>
                <w:p>
                  <w:pPr>
                    <w:spacing w:line="240" w:lineRule="exact"/>
                    <w:ind w:firstLine="420"/>
                    <w:rPr>
                      <w:rFonts w:ascii="华文中宋" w:hAnsi="华文中宋" w:eastAsia="华文中宋"/>
                      <w:sz w:val="18"/>
                      <w:szCs w:val="18"/>
                    </w:rPr>
                  </w:pPr>
                  <w:r>
                    <w:rPr>
                      <w:rFonts w:hint="eastAsia" w:ascii="华文中宋" w:hAnsi="华文中宋" w:eastAsia="华文中宋"/>
                      <w:sz w:val="18"/>
                      <w:szCs w:val="18"/>
                    </w:rPr>
                    <w:t>-禁止在长江流域河湖管理范围内倾倒、填埋、堆放、弃置、处理固体废物。</w:t>
                  </w:r>
                </w:p>
                <w:p>
                  <w:pPr>
                    <w:spacing w:line="240" w:lineRule="exact"/>
                    <w:rPr>
                      <w:rFonts w:ascii="华文中宋" w:hAnsi="华文中宋" w:eastAsia="华文中宋"/>
                      <w:sz w:val="18"/>
                      <w:szCs w:val="18"/>
                    </w:rPr>
                  </w:pPr>
                  <w:r>
                    <w:rPr>
                      <w:rFonts w:hint="eastAsia" w:ascii="华文中宋" w:hAnsi="华文中宋" w:eastAsia="华文中宋"/>
                      <w:sz w:val="18"/>
                      <w:szCs w:val="18"/>
                    </w:rPr>
                    <w:t>限制开发建设活动的要求</w:t>
                  </w:r>
                </w:p>
                <w:p>
                  <w:pPr>
                    <w:spacing w:line="240" w:lineRule="exact"/>
                    <w:ind w:firstLine="420"/>
                    <w:rPr>
                      <w:rFonts w:ascii="华文中宋" w:hAnsi="华文中宋" w:eastAsia="华文中宋"/>
                      <w:sz w:val="18"/>
                      <w:szCs w:val="18"/>
                    </w:rPr>
                  </w:pPr>
                  <w:r>
                    <w:rPr>
                      <w:rFonts w:hint="eastAsia" w:ascii="华文中宋" w:hAnsi="华文中宋" w:eastAsia="华文中宋"/>
                      <w:sz w:val="18"/>
                      <w:szCs w:val="18"/>
                    </w:rPr>
                    <w:t>-严格控制污染物新增排放量，对新建排放二氧化硫、氮氧化物、工业烟粉尘和 VOCS 的项目实施现役源2倍削减量替代。</w:t>
                  </w:r>
                </w:p>
                <w:p>
                  <w:pPr>
                    <w:spacing w:line="240" w:lineRule="exact"/>
                    <w:ind w:firstLine="420"/>
                    <w:rPr>
                      <w:rFonts w:ascii="华文中宋" w:hAnsi="华文中宋" w:eastAsia="华文中宋"/>
                      <w:sz w:val="18"/>
                      <w:szCs w:val="18"/>
                    </w:rPr>
                  </w:pPr>
                  <w:r>
                    <w:rPr>
                      <w:rFonts w:hint="eastAsia" w:ascii="华文中宋" w:hAnsi="华文中宋" w:eastAsia="华文中宋"/>
                      <w:sz w:val="18"/>
                      <w:szCs w:val="18"/>
                    </w:rPr>
                    <w:t>-严格实施环评制度，将细颗粒物达标情况纳入规划环评和相关项目环评内容，加快制定颗粒物、VOCS排放总量管理配套政策。</w:t>
                  </w:r>
                </w:p>
                <w:p>
                  <w:pPr>
                    <w:spacing w:line="240" w:lineRule="exact"/>
                    <w:ind w:firstLine="420"/>
                    <w:rPr>
                      <w:rFonts w:ascii="华文中宋" w:hAnsi="华文中宋" w:eastAsia="华文中宋"/>
                      <w:sz w:val="18"/>
                      <w:szCs w:val="18"/>
                    </w:rPr>
                  </w:pPr>
                  <w:r>
                    <w:rPr>
                      <w:rFonts w:hint="eastAsia" w:ascii="华文中宋" w:hAnsi="华文中宋" w:eastAsia="华文中宋"/>
                      <w:sz w:val="18"/>
                      <w:szCs w:val="18"/>
                    </w:rPr>
                    <w:t>-严格控制新建、扩建燃煤发电项目。</w:t>
                  </w:r>
                </w:p>
                <w:p>
                  <w:pPr>
                    <w:spacing w:line="240" w:lineRule="exact"/>
                    <w:ind w:firstLine="420"/>
                    <w:rPr>
                      <w:rFonts w:ascii="华文中宋" w:hAnsi="华文中宋" w:eastAsia="华文中宋"/>
                      <w:sz w:val="18"/>
                      <w:szCs w:val="18"/>
                    </w:rPr>
                  </w:pPr>
                  <w:r>
                    <w:rPr>
                      <w:rFonts w:hint="eastAsia" w:ascii="华文中宋" w:hAnsi="华文中宋" w:eastAsia="华文中宋"/>
                      <w:sz w:val="18"/>
                      <w:szCs w:val="18"/>
                    </w:rPr>
                    <w:t>-严控达州市主城区上游沿岸地区新建石油化工、煤化工、涉磷、造纸、印染、制革等项目。</w:t>
                  </w:r>
                </w:p>
                <w:p>
                  <w:pPr>
                    <w:spacing w:line="240" w:lineRule="exact"/>
                    <w:rPr>
                      <w:rFonts w:ascii="华文中宋" w:hAnsi="华文中宋" w:eastAsia="华文中宋"/>
                      <w:sz w:val="18"/>
                      <w:szCs w:val="18"/>
                    </w:rPr>
                  </w:pPr>
                  <w:r>
                    <w:rPr>
                      <w:rFonts w:hint="eastAsia" w:ascii="华文中宋" w:hAnsi="华文中宋" w:eastAsia="华文中宋"/>
                      <w:sz w:val="18"/>
                      <w:szCs w:val="18"/>
                    </w:rPr>
                    <w:t>不符合空间布局要求活动的退出要求</w:t>
                  </w:r>
                </w:p>
                <w:p>
                  <w:pPr>
                    <w:spacing w:line="240" w:lineRule="exact"/>
                    <w:ind w:firstLine="420"/>
                    <w:rPr>
                      <w:rFonts w:ascii="华文中宋" w:hAnsi="华文中宋" w:eastAsia="华文中宋"/>
                      <w:sz w:val="18"/>
                      <w:szCs w:val="18"/>
                    </w:rPr>
                  </w:pPr>
                  <w:r>
                    <w:rPr>
                      <w:rFonts w:hint="eastAsia" w:ascii="华文中宋" w:hAnsi="华文中宋" w:eastAsia="华文中宋"/>
                      <w:sz w:val="18"/>
                      <w:szCs w:val="18"/>
                    </w:rPr>
                    <w:t>-现有属于禁止引入产业门类的企业，应按相关规定限期整治或退出。</w:t>
                  </w:r>
                </w:p>
                <w:p>
                  <w:pPr>
                    <w:spacing w:line="240" w:lineRule="exact"/>
                    <w:ind w:firstLine="420"/>
                    <w:rPr>
                      <w:rFonts w:ascii="华文中宋" w:hAnsi="华文中宋" w:eastAsia="华文中宋"/>
                      <w:sz w:val="18"/>
                      <w:szCs w:val="18"/>
                    </w:rPr>
                  </w:pPr>
                  <w:r>
                    <w:rPr>
                      <w:rFonts w:hint="eastAsia" w:ascii="华文中宋" w:hAnsi="华文中宋" w:eastAsia="华文中宋"/>
                      <w:sz w:val="18"/>
                      <w:szCs w:val="18"/>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spacing w:line="240" w:lineRule="exact"/>
                    <w:ind w:firstLine="420"/>
                    <w:rPr>
                      <w:rFonts w:ascii="华文中宋" w:hAnsi="华文中宋" w:eastAsia="华文中宋"/>
                      <w:sz w:val="18"/>
                      <w:szCs w:val="18"/>
                    </w:rPr>
                  </w:pPr>
                  <w:r>
                    <w:rPr>
                      <w:rFonts w:hint="eastAsia" w:ascii="华文中宋" w:hAnsi="华文中宋" w:eastAsia="华文中宋"/>
                      <w:sz w:val="18"/>
                      <w:szCs w:val="18"/>
                    </w:rPr>
                    <w:t>-引导重污染产业退出或搬迁、企业分类退城入园，逐步打破近水靠城的历史工业布局。加大城市区域现有装备水平低、环保设施差的微小企业“关、停、并、转”实施力度，清理建成区上风向重点涉气项目。</w:t>
                  </w:r>
                </w:p>
                <w:p>
                  <w:pPr>
                    <w:spacing w:line="240" w:lineRule="exact"/>
                    <w:ind w:firstLine="420"/>
                    <w:rPr>
                      <w:rFonts w:ascii="华文中宋" w:hAnsi="华文中宋" w:eastAsia="华文中宋"/>
                      <w:sz w:val="18"/>
                      <w:szCs w:val="18"/>
                    </w:rPr>
                  </w:pPr>
                  <w:r>
                    <w:rPr>
                      <w:rFonts w:hint="eastAsia" w:ascii="华文中宋" w:hAnsi="华文中宋" w:eastAsia="华文中宋"/>
                      <w:sz w:val="18"/>
                      <w:szCs w:val="18"/>
                    </w:rPr>
                    <w:t>-石化、现代煤化工项目应纳入国家产业规划。新建、扩建石化、化工、焦化、有色金属冶炼、平板玻璃项目应布设在依法合规设立并经规划环评的产业园区。</w:t>
                  </w:r>
                </w:p>
                <w:p>
                  <w:pPr>
                    <w:spacing w:line="240" w:lineRule="exact"/>
                    <w:rPr>
                      <w:rFonts w:ascii="华文中宋" w:hAnsi="华文中宋" w:eastAsia="华文中宋"/>
                      <w:sz w:val="18"/>
                      <w:szCs w:val="18"/>
                    </w:rPr>
                  </w:pPr>
                  <w:r>
                    <w:rPr>
                      <w:rFonts w:hint="eastAsia" w:ascii="华文中宋" w:hAnsi="华文中宋" w:eastAsia="华文中宋"/>
                      <w:sz w:val="18"/>
                      <w:szCs w:val="18"/>
                    </w:rPr>
                    <w:t>其他空间布局约束要求  暂无</w:t>
                  </w:r>
                </w:p>
              </w:tc>
              <w:tc>
                <w:tcPr>
                  <w:tcW w:w="1641" w:type="dxa"/>
                  <w:tcBorders>
                    <w:top w:val="single" w:color="auto" w:sz="4" w:space="0"/>
                    <w:left w:val="single" w:color="auto" w:sz="4" w:space="0"/>
                    <w:bottom w:val="single" w:color="auto" w:sz="4" w:space="0"/>
                    <w:right w:val="single" w:color="auto" w:sz="4" w:space="0"/>
                  </w:tcBorders>
                  <w:vAlign w:val="center"/>
                </w:tcPr>
                <w:p>
                  <w:pPr>
                    <w:spacing w:line="240" w:lineRule="exact"/>
                    <w:ind w:firstLine="180" w:firstLineChars="100"/>
                    <w:rPr>
                      <w:rFonts w:ascii="华文中宋" w:hAnsi="华文中宋" w:eastAsia="华文中宋"/>
                      <w:sz w:val="18"/>
                      <w:szCs w:val="18"/>
                    </w:rPr>
                  </w:pPr>
                  <w:r>
                    <w:rPr>
                      <w:rFonts w:hint="eastAsia" w:ascii="华文中宋" w:hAnsi="华文中宋" w:eastAsia="华文中宋"/>
                      <w:sz w:val="18"/>
                      <w:szCs w:val="18"/>
                    </w:rPr>
                    <w:t>本项目为普光园区化工专线输气管道工程，位于普光工业园区内。不属于新建化工园区和化工项目、不属于石油化工、煤化工、涉磷、造纸等项目。满足《长江经济带发展负面清单指南（试行）》要求，不属于禁止开放建设活动的项目。</w:t>
                  </w:r>
                </w:p>
                <w:p>
                  <w:pPr>
                    <w:spacing w:line="240" w:lineRule="exact"/>
                    <w:rPr>
                      <w:rFonts w:ascii="华文中宋" w:hAnsi="华文中宋" w:eastAsia="华文中宋"/>
                      <w:bCs/>
                      <w:sz w:val="18"/>
                      <w:szCs w:val="18"/>
                    </w:rPr>
                  </w:pPr>
                  <w:r>
                    <w:rPr>
                      <w:rFonts w:hint="eastAsia" w:ascii="华文中宋" w:hAnsi="华文中宋" w:eastAsia="华文中宋"/>
                      <w:sz w:val="18"/>
                      <w:szCs w:val="18"/>
                    </w:rPr>
                    <w:t xml:space="preserve">  本项目为化工专线输气管道工程，仅在非正常情况下排放VOC</w:t>
                  </w:r>
                  <w:r>
                    <w:rPr>
                      <w:rFonts w:hint="eastAsia" w:ascii="华文中宋" w:hAnsi="华文中宋" w:eastAsia="华文中宋"/>
                      <w:sz w:val="18"/>
                      <w:szCs w:val="18"/>
                      <w:vertAlign w:val="subscript"/>
                    </w:rPr>
                    <w:t>s</w:t>
                  </w:r>
                  <w:r>
                    <w:rPr>
                      <w:rFonts w:hint="eastAsia" w:ascii="华文中宋" w:hAnsi="华文中宋" w:eastAsia="华文中宋"/>
                      <w:sz w:val="18"/>
                      <w:szCs w:val="18"/>
                    </w:rPr>
                    <w:t>废气，发生概率极低；项目不涉及排放细颗粒物，不属于新建燃煤发电项目，不属于石油化工、煤化工、涉磷、造纸等项目，不属于限制开发建设活动的项目。</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44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bCs/>
                      <w:sz w:val="18"/>
                      <w:szCs w:val="18"/>
                    </w:rPr>
                    <w:t>污染物排放管控</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允许排放量要求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达州市2025年水污染物允许排放量COD4396.41t，氨氮418.7t，TP45.36t；达州市2025年大气污染物一次PM2.5 5805t、SO2 12773t、NOx11892t、VOCs 13969t</w:t>
                  </w:r>
                </w:p>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现有源提标升级改造</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-污水收集处理率达100%；</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其他污染物排放管控要求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新增源等量或倍量替代:上一年度水环境质量未完成目标的，新建排放水污染的建设项目按照总量管控要求进行倍量削减替代。</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 xml:space="preserve">上一年度空气质量年平均浓度不达标的城市，建设项目新增相关污染物按照总量管控要求进行倍量削减替代。                </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 xml:space="preserve">对新建排放二氧化硫、氮氧化物、工业烟粉尘和VOCs的项目实施现役源倍量削减量替代。严禁钢铁、水泥、电解铝、平板玻璃等行业新增产能，对确有必要新建的必须实施等量或减量置换，防范过生和落后产能跨地区转移.                                         </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 xml:space="preserve">污染物排放绩效水平准入要求:新、改扩建项目污染排放指标满足《四川省省级生态工业园区指标》综合类生态工业园区要求。工业固体废弃物利用处置率达100%，危险废物处置率达100%。          </w:t>
                  </w:r>
                </w:p>
                <w:p>
                  <w:pPr>
                    <w:pStyle w:val="51"/>
                    <w:spacing w:line="240" w:lineRule="exact"/>
                    <w:ind w:firstLine="360"/>
                    <w:jc w:val="left"/>
                    <w:rPr>
                      <w:rFonts w:ascii="华文中宋" w:hAnsi="华文中宋" w:eastAsia="华文中宋"/>
                      <w:sz w:val="18"/>
                      <w:szCs w:val="18"/>
                    </w:rPr>
                  </w:pPr>
                  <w:r>
                    <w:rPr>
                      <w:rFonts w:hint="eastAsia" w:ascii="华文中宋" w:hAnsi="华文中宋" w:eastAsia="华文中宋"/>
                      <w:sz w:val="18"/>
                      <w:szCs w:val="18"/>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钢铁行业新建应参考达州市“三线一单”生态环境分区管控中钢铁行业资源环境绩效准入门槛。           </w:t>
                  </w:r>
                  <w:r>
                    <w:rPr>
                      <w:rFonts w:ascii="华文中宋" w:hAnsi="华文中宋" w:eastAsia="华文中宋"/>
                      <w:sz w:val="18"/>
                      <w:szCs w:val="18"/>
                    </w:rPr>
                    <w:t xml:space="preserve">              </w:t>
                  </w:r>
                </w:p>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tc>
              <w:tc>
                <w:tcPr>
                  <w:tcW w:w="164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 xml:space="preserve">  本项目为普光园区化工专线输气管道工程，位于普光工业园区内。生活污水设化粪池预处理后，由周边农户运走做农肥，后期园区污水管网接通后，排入园区污水管网，过滤器清洗及排污水设隔油沉淀池处理后浇灌绿化或场地防尘洒水回用。</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ascii="华文中宋" w:hAnsi="华文中宋" w:eastAsia="华文中宋"/>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44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bCs/>
                      <w:sz w:val="18"/>
                      <w:szCs w:val="18"/>
                    </w:rPr>
                    <w:t>环境风险防控</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联防联控要求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其他环境风险防控要求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园区环境风险防控要求:园区风险防控体系要求：构建三级环境风险防控体系，强化危化品泄漏应急处置措施，确保风险可控。针对化工园区进一步强化风险防控。杜绝危化品泄漏、事故排放等，确保环境安全。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tc>
              <w:tc>
                <w:tcPr>
                  <w:tcW w:w="164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项目建成后将编制《突发环境事件应急预案》，对可能发生的环境事件采取相应的防治措施。</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 w:hRule="atLeast"/>
                <w:jc w:val="center"/>
              </w:trPr>
              <w:tc>
                <w:tcPr>
                  <w:tcW w:w="144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bCs/>
                      <w:sz w:val="18"/>
                      <w:szCs w:val="18"/>
                    </w:rPr>
                    <w:t>资源开发利用效率要求</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水资源利用总量要求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新、改扩建项目污染水耗指标满足《四川省省级生态工业园区指标》综合类生态工业园区要求；到2022年，万元国内生产总值用水量、万元工业增加值用水量较2015年分别下降30%和28%。</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地下水开采要求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以省市下发指标为准</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能源利用总量及效率要求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川东北区域实施新建项目与煤炭消费总量控制挂钩机制，耗煤建设项目实行煤炭消耗等量减量替代。提高煤炭利用效率和天然气利用占比，工业领域有序推进“煤改电”和有序推进“煤改气”。</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-大力实施和推广以电代煤、以电代油工程，重点在城市交通、工商业等领域实施以电代油、以电代煤。</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-增加天然气对煤炭和石油的替代，提高天然气民用、交通、发电、工业领域天然气消费比重。</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-实施煤炭消费总量控制：严格控制煤炭消费总量；严格控制新建、改建、扩建耗煤项目，新增耗煤项目实行煤炭消耗减量倍量替代。</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-推进清洁能源的推广使用，全面推进散煤清洁化整治；禁止新建每小时10蒸吨以下的燃煤锅炉及其他燃煤设施.</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禁燃区要求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-禁燃区内禁止销售、燃用高污染燃料；禁止新建、改建、扩建燃用高污染燃料的设施和设备。</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-禁燃区内已建成的高污染燃料燃用设施由辖区人民政府制定限期改造计划，改用天然气、页岩气、液化石油气、电或其他清洁能源。</w:t>
                  </w:r>
                </w:p>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其他资源利用效率要求  暂无</w:t>
                  </w:r>
                </w:p>
              </w:tc>
              <w:tc>
                <w:tcPr>
                  <w:tcW w:w="164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华文中宋" w:hAnsi="华文中宋" w:eastAsia="华文中宋"/>
                      <w:sz w:val="18"/>
                      <w:szCs w:val="18"/>
                    </w:rPr>
                  </w:pPr>
                  <w:r>
                    <w:rPr>
                      <w:rFonts w:ascii="华文中宋" w:hAnsi="华文中宋" w:eastAsia="华文中宋"/>
                      <w:sz w:val="18"/>
                      <w:szCs w:val="18"/>
                    </w:rPr>
                    <w:t>本项目为化工专线输气管道工程，不涉及使用煤炭等高污染燃料。用水环节主要有生活污水和过滤器定期清理废水，耗水量较小，能够满足</w:t>
                  </w:r>
                  <w:r>
                    <w:rPr>
                      <w:rFonts w:hint="eastAsia" w:ascii="华文中宋" w:hAnsi="华文中宋" w:eastAsia="华文中宋"/>
                      <w:sz w:val="18"/>
                      <w:szCs w:val="18"/>
                    </w:rPr>
                    <w:t>《四川省省级生态工业园区指标》综合类生态工业园区要求。</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ascii="华文中宋" w:hAnsi="华文中宋" w:eastAsia="华文中宋"/>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1445" w:type="dxa"/>
                  <w:vMerge w:val="continue"/>
                  <w:tcBorders>
                    <w:top w:val="nil"/>
                    <w:left w:val="single" w:color="auto" w:sz="4" w:space="0"/>
                    <w:bottom w:val="single" w:color="auto" w:sz="4" w:space="0"/>
                    <w:right w:val="single" w:color="auto" w:sz="4" w:space="0"/>
                  </w:tcBorders>
                  <w:vAlign w:val="center"/>
                </w:tcPr>
                <w:p>
                  <w:pPr>
                    <w:pStyle w:val="51"/>
                    <w:spacing w:line="240" w:lineRule="exact"/>
                    <w:ind w:firstLine="360"/>
                    <w:rPr>
                      <w:rFonts w:ascii="华文中宋" w:hAnsi="华文中宋" w:eastAsia="华文中宋"/>
                      <w:sz w:val="18"/>
                      <w:szCs w:val="18"/>
                    </w:rPr>
                  </w:pPr>
                </w:p>
              </w:tc>
              <w:tc>
                <w:tcPr>
                  <w:tcW w:w="567" w:type="dxa"/>
                  <w:vMerge w:val="restart"/>
                  <w:tcBorders>
                    <w:top w:val="nil"/>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单元级清单管控要求</w:t>
                  </w:r>
                </w:p>
              </w:tc>
              <w:tc>
                <w:tcPr>
                  <w:tcW w:w="56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空间布局约束</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禁止开发建设活动的要求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-禁止引入有色金属冶炼、印染、皮革鞣制、制浆造纸、印制电路板、专业电镀等重污染项目</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其它同达州市工业重点管控单元要求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限制开发建设活动的要求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涉及电镀的工序必须达到清洁生产一级水平其它同达州市工业重点管控单元要求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允许开发建设活动的要求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不符合空间布局要求活动的退出要求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南坝功能区：①区内环境、安全风险较大的产业应避开下风向的下八镇场镇布置；②将天然气化工、硫化工等大气污染物排放较大或存在较大风险隐患或涉及异味、恶臭影响的产业集中布局在功能区中部、罗家寨净化厂以北的区域；西部区域以及东部中石油净化厂原址用地可布局改性硫磺、天然气脱硫净化配套服务业、相关设备制造等环境影响较小的产业；仓储物流用地可布局在西南角，园区东西向工业大道两侧；③规划边界外近距离范围内不得再规划建设居住区等敏感目标以及入驻食品、医药成品等与该功能区主导产业相禁忌的产业</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普光功能区：将天然气化工、硫化工等大气污染物排放较大，或存在较大环境风险隐患，或涉及异味、恶臭影响的产业集中布局在西部扩展区域；改性硫磺、天然气脱硫净化配套服务业、相关设备制造等环境影响较小的产业优先布局在扩展区与净化厂之间的工业用地上</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柳池-方斗功能区二区：不将机械加工作为该区域主导产业机械加工企业允许其入园发展，并在项目环评阶段论证其环境合理性；农副食品加工产业中恶臭、异味影响突出的企业建议集中布局在方斗乡场镇以西、县道169线以南的区域五宝功能区：工业用地与前河之间保持足够的防护距离其它同达州市工业重点管控单元要求</w:t>
                  </w:r>
                </w:p>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其他空间布局约束要求</w:t>
                  </w:r>
                </w:p>
              </w:tc>
              <w:tc>
                <w:tcPr>
                  <w:tcW w:w="1641" w:type="dxa"/>
                  <w:tcBorders>
                    <w:top w:val="single" w:color="auto" w:sz="4" w:space="0"/>
                    <w:left w:val="single" w:color="auto" w:sz="4" w:space="0"/>
                    <w:bottom w:val="single" w:color="auto" w:sz="4" w:space="0"/>
                    <w:right w:val="single" w:color="auto" w:sz="4" w:space="0"/>
                  </w:tcBorders>
                  <w:vAlign w:val="center"/>
                </w:tcPr>
                <w:p>
                  <w:pPr>
                    <w:pStyle w:val="51"/>
                    <w:widowControl/>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本项目不属于有色金属冶炼、印染等重污染项目。本项目位于普工化工园区，位于园区中部偏西位置，不属于天然气化工、硫化工等大气污染物排放较大，或存在较大环境风险隐患，或涉及异味、恶臭影响的产业。</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1445" w:type="dxa"/>
                  <w:vMerge w:val="continue"/>
                  <w:tcBorders>
                    <w:top w:val="nil"/>
                    <w:left w:val="single" w:color="auto" w:sz="4" w:space="0"/>
                    <w:bottom w:val="single" w:color="auto" w:sz="4" w:space="0"/>
                    <w:right w:val="single" w:color="auto" w:sz="4" w:space="0"/>
                  </w:tcBorders>
                  <w:vAlign w:val="center"/>
                </w:tcPr>
                <w:p>
                  <w:pPr>
                    <w:pStyle w:val="51"/>
                    <w:spacing w:line="240" w:lineRule="exact"/>
                    <w:ind w:firstLine="360"/>
                    <w:rPr>
                      <w:rFonts w:ascii="华文中宋" w:hAnsi="华文中宋" w:eastAsia="华文中宋"/>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pStyle w:val="51"/>
                    <w:spacing w:line="240" w:lineRule="exact"/>
                    <w:ind w:firstLine="360"/>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污染物排放管控</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现有源提标升级改造</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除柳池—方斗功能区二区废水需经深度处理至主要水污染物指标达《地表水环境质量标准》III类水域水质标准，石柱槽功能区废水处理达到回用水质标准外，其他各功能区污水厂出水标准执行《城镇污水处理厂污染物排放标准》一级A标准。-含五类重点控制的重金属（汞、镉、铅、砷、铬）废水实现零排放。</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其他同达州市工业重点总体准入要求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新增源等量或倍量替代</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执行达州市工业重点管控单元总体准入要求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新增源排放标准限值</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同达州市工业重点总体准入要求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污染物排放绩效水平准入要求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针对该区域重点发展行业提出大气和水污染物排放约束性和建议性准入指标，逐步构建绿色化工等产业园区。其他同达州市工业重点总体准入要求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其他污染物排放管控要求</w:t>
                  </w:r>
                </w:p>
              </w:tc>
              <w:tc>
                <w:tcPr>
                  <w:tcW w:w="164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执行达州市工业重点管控单元总体准入要求</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445" w:type="dxa"/>
                  <w:vMerge w:val="continue"/>
                  <w:tcBorders>
                    <w:top w:val="nil"/>
                    <w:left w:val="single" w:color="auto" w:sz="4" w:space="0"/>
                    <w:bottom w:val="single" w:color="auto" w:sz="4" w:space="0"/>
                    <w:right w:val="single" w:color="auto" w:sz="4" w:space="0"/>
                  </w:tcBorders>
                  <w:vAlign w:val="center"/>
                </w:tcPr>
                <w:p>
                  <w:pPr>
                    <w:pStyle w:val="51"/>
                    <w:spacing w:line="240" w:lineRule="exact"/>
                    <w:ind w:firstLine="360"/>
                    <w:rPr>
                      <w:rFonts w:ascii="华文中宋" w:hAnsi="华文中宋" w:eastAsia="华文中宋"/>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pStyle w:val="51"/>
                    <w:spacing w:line="240" w:lineRule="exact"/>
                    <w:ind w:firstLine="360"/>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环境风险防控</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严格管控类农用地管控要求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执行达州市工业重点管控单元总体要求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安全利用类农用地管控要求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天然气化工、硫化工等污染排放较大且环境风险防范要求较高的产业应避开下风向近距离场镇等人群集中居住区，其他同达州市工业重点总体准入要求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污染地块管控要求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执行达州市工业重点管控单元总体要求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园区环境风险防控要求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执行达州市工业重点管控单元总体要求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企业环境风险防控要求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天然气化工、硫化工等污染排放较大且环境风险防范要求较高的产业应避开下风向近距离场镇等人群集中居住区。-除化工企业配套的化学物质存储区外，禁止在区内另设置存储大宗危险化学物质的仓储项目。其他同达州市工业重点总体准入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其他环境风险防控要求</w:t>
                  </w:r>
                </w:p>
              </w:tc>
              <w:tc>
                <w:tcPr>
                  <w:tcW w:w="164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执行达州市工业重点管控单元总体要求</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445" w:type="dxa"/>
                  <w:vMerge w:val="continue"/>
                  <w:tcBorders>
                    <w:top w:val="nil"/>
                    <w:left w:val="single" w:color="auto" w:sz="4" w:space="0"/>
                    <w:bottom w:val="single" w:color="auto" w:sz="4" w:space="0"/>
                    <w:right w:val="single" w:color="auto" w:sz="4" w:space="0"/>
                  </w:tcBorders>
                  <w:vAlign w:val="center"/>
                </w:tcPr>
                <w:p>
                  <w:pPr>
                    <w:pStyle w:val="51"/>
                    <w:spacing w:line="240" w:lineRule="exact"/>
                    <w:ind w:firstLine="360"/>
                    <w:rPr>
                      <w:rFonts w:ascii="华文中宋" w:hAnsi="华文中宋" w:eastAsia="华文中宋"/>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pStyle w:val="51"/>
                    <w:spacing w:line="240" w:lineRule="exact"/>
                    <w:ind w:firstLine="360"/>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sz w:val="18"/>
                      <w:szCs w:val="18"/>
                    </w:rPr>
                    <w:t>资源开发效率要求</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水资源利用效率要求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执行达州市工业重点管控单元总体要求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地下水开采要求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执行达州市工业重点管控单元总体要求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能源利用效率要求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执行达州市工业重点管控单元总体要求</w:t>
                  </w:r>
                </w:p>
                <w:p>
                  <w:pPr>
                    <w:pStyle w:val="51"/>
                    <w:spacing w:line="240" w:lineRule="exact"/>
                    <w:ind w:firstLine="360"/>
                    <w:rPr>
                      <w:rFonts w:ascii="华文中宋" w:hAnsi="华文中宋" w:eastAsia="华文中宋"/>
                      <w:sz w:val="18"/>
                      <w:szCs w:val="18"/>
                    </w:rPr>
                  </w:pPr>
                  <w:r>
                    <w:rPr>
                      <w:rFonts w:hint="eastAsia" w:ascii="华文中宋" w:hAnsi="华文中宋" w:eastAsia="华文中宋"/>
                      <w:sz w:val="18"/>
                      <w:szCs w:val="18"/>
                    </w:rPr>
                    <w:t>其他资源利用效率要求</w:t>
                  </w:r>
                </w:p>
              </w:tc>
              <w:tc>
                <w:tcPr>
                  <w:tcW w:w="1641" w:type="dxa"/>
                  <w:tcBorders>
                    <w:top w:val="single" w:color="auto" w:sz="4" w:space="0"/>
                    <w:left w:val="single" w:color="auto" w:sz="4" w:space="0"/>
                    <w:bottom w:val="single" w:color="auto" w:sz="4" w:space="0"/>
                    <w:right w:val="single" w:color="auto" w:sz="4" w:space="0"/>
                  </w:tcBorders>
                  <w:vAlign w:val="center"/>
                </w:tcPr>
                <w:p>
                  <w:pPr>
                    <w:pStyle w:val="51"/>
                    <w:widowControl/>
                    <w:shd w:val="clear" w:color="auto" w:fill="FFFFFF"/>
                    <w:spacing w:line="240" w:lineRule="exact"/>
                    <w:ind w:firstLine="0" w:firstLineChars="0"/>
                    <w:jc w:val="center"/>
                    <w:rPr>
                      <w:rFonts w:ascii="华文中宋" w:hAnsi="华文中宋" w:eastAsia="华文中宋"/>
                      <w:sz w:val="18"/>
                      <w:szCs w:val="18"/>
                    </w:rPr>
                  </w:pPr>
                  <w:r>
                    <w:rPr>
                      <w:rFonts w:hint="eastAsia" w:ascii="华文中宋" w:hAnsi="华文中宋" w:eastAsia="华文中宋"/>
                      <w:sz w:val="18"/>
                      <w:szCs w:val="18"/>
                    </w:rPr>
                    <w:t>本项目用水为园区自来水，不涉及地下水开采</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445" w:type="dxa"/>
                  <w:vMerge w:val="restart"/>
                  <w:tcBorders>
                    <w:top w:val="nil"/>
                    <w:left w:val="single" w:color="auto" w:sz="4" w:space="0"/>
                    <w:right w:val="single" w:color="auto" w:sz="4" w:space="0"/>
                  </w:tcBorders>
                  <w:vAlign w:val="center"/>
                </w:tcPr>
                <w:p>
                  <w:pPr>
                    <w:ind w:firstLine="420"/>
                    <w:rPr>
                      <w:rFonts w:ascii="华文中宋" w:hAnsi="华文中宋" w:eastAsia="华文中宋"/>
                      <w:sz w:val="18"/>
                      <w:szCs w:val="18"/>
                    </w:rPr>
                  </w:pPr>
                  <w:r>
                    <w:rPr>
                      <w:rStyle w:val="53"/>
                      <w:rFonts w:hint="eastAsia" w:ascii="华文中宋" w:hAnsi="华文中宋" w:eastAsia="华文中宋"/>
                      <w:sz w:val="18"/>
                      <w:szCs w:val="18"/>
                    </w:rPr>
                    <w:t>水环境工业污染重点管控区、YS5117222210001</w:t>
                  </w:r>
                </w:p>
                <w:p>
                  <w:pPr>
                    <w:ind w:firstLine="420"/>
                    <w:rPr>
                      <w:rFonts w:ascii="华文中宋" w:hAnsi="华文中宋" w:eastAsia="华文中宋"/>
                      <w:sz w:val="18"/>
                      <w:szCs w:val="18"/>
                    </w:rPr>
                  </w:pPr>
                  <w:r>
                    <w:rPr>
                      <w:rStyle w:val="53"/>
                      <w:rFonts w:hint="eastAsia" w:ascii="华文中宋" w:hAnsi="华文中宋" w:eastAsia="华文中宋"/>
                      <w:sz w:val="18"/>
                      <w:szCs w:val="18"/>
                    </w:rPr>
                    <w:t>、州河宣汉县张鼓坪控制单元</w:t>
                  </w:r>
                </w:p>
                <w:p>
                  <w:pPr>
                    <w:spacing w:line="240" w:lineRule="exact"/>
                    <w:jc w:val="center"/>
                    <w:rPr>
                      <w:rFonts w:ascii="华文中宋" w:hAnsi="华文中宋" w:eastAsia="华文中宋"/>
                      <w:bCs/>
                      <w:sz w:val="18"/>
                      <w:szCs w:val="18"/>
                    </w:rPr>
                  </w:pPr>
                </w:p>
              </w:tc>
              <w:tc>
                <w:tcPr>
                  <w:tcW w:w="567" w:type="dxa"/>
                  <w:vMerge w:val="restart"/>
                  <w:tcBorders>
                    <w:top w:val="nil"/>
                    <w:left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r>
                    <w:rPr>
                      <w:rFonts w:hint="eastAsia" w:ascii="华文中宋" w:hAnsi="华文中宋" w:eastAsia="华文中宋" w:cs="宋体"/>
                      <w:bCs/>
                      <w:kern w:val="0"/>
                      <w:sz w:val="18"/>
                      <w:szCs w:val="18"/>
                    </w:rPr>
                    <w:t>达州市普适性清单管控要求</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空间布局约束</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禁止开发建设活动的要求，暂无；</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限制开发建设活动的要求，暂无；</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不符合空间布局要求活动的退出要求，暂无；</w:t>
                  </w:r>
                </w:p>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kern w:val="0"/>
                      <w:sz w:val="18"/>
                      <w:szCs w:val="18"/>
                    </w:rPr>
                    <w:t>其他空间布局约束要求，暂无；</w:t>
                  </w:r>
                </w:p>
              </w:tc>
              <w:tc>
                <w:tcPr>
                  <w:tcW w:w="1641" w:type="dxa"/>
                  <w:tcBorders>
                    <w:top w:val="single" w:color="auto" w:sz="4" w:space="0"/>
                    <w:left w:val="single" w:color="auto" w:sz="4" w:space="0"/>
                    <w:bottom w:val="single" w:color="auto" w:sz="4" w:space="0"/>
                    <w:right w:val="single" w:color="auto" w:sz="4" w:space="0"/>
                  </w:tcBorders>
                  <w:vAlign w:val="center"/>
                </w:tcPr>
                <w:p>
                  <w:pPr>
                    <w:pStyle w:val="51"/>
                    <w:widowControl/>
                    <w:shd w:val="clear" w:color="auto" w:fill="FFFFFF"/>
                    <w:spacing w:line="240" w:lineRule="exact"/>
                    <w:ind w:firstLine="0" w:firstLineChars="0"/>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445" w:type="dxa"/>
                  <w:vMerge w:val="continue"/>
                  <w:tcBorders>
                    <w:top w:val="nil"/>
                    <w:left w:val="single" w:color="auto" w:sz="4" w:space="0"/>
                    <w:right w:val="single" w:color="auto" w:sz="4" w:space="0"/>
                  </w:tcBorders>
                  <w:vAlign w:val="center"/>
                </w:tcPr>
                <w:p>
                  <w:pPr>
                    <w:spacing w:line="240" w:lineRule="exact"/>
                    <w:jc w:val="center"/>
                    <w:rPr>
                      <w:rFonts w:ascii="华文中宋" w:hAnsi="华文中宋" w:eastAsia="华文中宋"/>
                      <w:sz w:val="18"/>
                      <w:szCs w:val="18"/>
                    </w:rPr>
                  </w:pPr>
                </w:p>
              </w:tc>
              <w:tc>
                <w:tcPr>
                  <w:tcW w:w="567" w:type="dxa"/>
                  <w:vMerge w:val="continue"/>
                  <w:tcBorders>
                    <w:left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污染物排放管控</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允许排放量要求，暂无；</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现有源提标升级改造，暂无；</w:t>
                  </w:r>
                </w:p>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kern w:val="0"/>
                      <w:sz w:val="18"/>
                      <w:szCs w:val="18"/>
                    </w:rPr>
                    <w:t>其他污染物排放管控要求，暂无；</w:t>
                  </w:r>
                </w:p>
              </w:tc>
              <w:tc>
                <w:tcPr>
                  <w:tcW w:w="1641" w:type="dxa"/>
                  <w:tcBorders>
                    <w:top w:val="single" w:color="auto" w:sz="4" w:space="0"/>
                    <w:left w:val="single" w:color="auto" w:sz="4" w:space="0"/>
                    <w:bottom w:val="single" w:color="auto" w:sz="4" w:space="0"/>
                    <w:right w:val="single" w:color="auto" w:sz="4" w:space="0"/>
                  </w:tcBorders>
                  <w:vAlign w:val="center"/>
                </w:tcPr>
                <w:p>
                  <w:pPr>
                    <w:pStyle w:val="51"/>
                    <w:widowControl/>
                    <w:shd w:val="clear" w:color="auto" w:fill="FFFFFF"/>
                    <w:spacing w:line="240" w:lineRule="exact"/>
                    <w:ind w:firstLine="0" w:firstLineChars="0"/>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445" w:type="dxa"/>
                  <w:vMerge w:val="continue"/>
                  <w:tcBorders>
                    <w:top w:val="nil"/>
                    <w:left w:val="single" w:color="auto" w:sz="4" w:space="0"/>
                    <w:right w:val="single" w:color="auto" w:sz="4" w:space="0"/>
                  </w:tcBorders>
                  <w:vAlign w:val="center"/>
                </w:tcPr>
                <w:p>
                  <w:pPr>
                    <w:spacing w:line="240" w:lineRule="exact"/>
                    <w:jc w:val="center"/>
                    <w:rPr>
                      <w:rFonts w:ascii="华文中宋" w:hAnsi="华文中宋" w:eastAsia="华文中宋"/>
                      <w:sz w:val="18"/>
                      <w:szCs w:val="18"/>
                    </w:rPr>
                  </w:pPr>
                </w:p>
              </w:tc>
              <w:tc>
                <w:tcPr>
                  <w:tcW w:w="567" w:type="dxa"/>
                  <w:vMerge w:val="continue"/>
                  <w:tcBorders>
                    <w:left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环境风险防控</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联防联控要求，暂无；</w:t>
                  </w:r>
                </w:p>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kern w:val="0"/>
                      <w:sz w:val="18"/>
                      <w:szCs w:val="18"/>
                    </w:rPr>
                    <w:t>其他环境风险防控要求，暂无；</w:t>
                  </w:r>
                </w:p>
              </w:tc>
              <w:tc>
                <w:tcPr>
                  <w:tcW w:w="1641" w:type="dxa"/>
                  <w:tcBorders>
                    <w:top w:val="single" w:color="auto" w:sz="4" w:space="0"/>
                    <w:left w:val="single" w:color="auto" w:sz="4" w:space="0"/>
                    <w:bottom w:val="single" w:color="auto" w:sz="4" w:space="0"/>
                    <w:right w:val="single" w:color="auto" w:sz="4" w:space="0"/>
                  </w:tcBorders>
                  <w:vAlign w:val="center"/>
                </w:tcPr>
                <w:p>
                  <w:pPr>
                    <w:pStyle w:val="51"/>
                    <w:widowControl/>
                    <w:shd w:val="clear" w:color="auto" w:fill="FFFFFF"/>
                    <w:spacing w:line="240" w:lineRule="exact"/>
                    <w:ind w:firstLine="0" w:firstLineChars="0"/>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445" w:type="dxa"/>
                  <w:vMerge w:val="continue"/>
                  <w:tcBorders>
                    <w:top w:val="nil"/>
                    <w:left w:val="single" w:color="auto" w:sz="4" w:space="0"/>
                    <w:right w:val="single" w:color="auto" w:sz="4" w:space="0"/>
                  </w:tcBorders>
                  <w:vAlign w:val="center"/>
                </w:tcPr>
                <w:p>
                  <w:pPr>
                    <w:spacing w:line="240" w:lineRule="exact"/>
                    <w:jc w:val="center"/>
                    <w:rPr>
                      <w:rFonts w:ascii="华文中宋" w:hAnsi="华文中宋" w:eastAsia="华文中宋"/>
                      <w:sz w:val="18"/>
                      <w:szCs w:val="18"/>
                    </w:rPr>
                  </w:pPr>
                </w:p>
              </w:tc>
              <w:tc>
                <w:tcPr>
                  <w:tcW w:w="567" w:type="dxa"/>
                  <w:vMerge w:val="continue"/>
                  <w:tcBorders>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资源开发效率要求</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水资源利用总量要求，暂无；</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地下水开采要求，暂无；</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能源利用总量及效率要求，暂无；</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禁燃区要求，暂无；</w:t>
                  </w:r>
                </w:p>
                <w:p>
                  <w:pPr>
                    <w:spacing w:line="240" w:lineRule="exact"/>
                    <w:rPr>
                      <w:rFonts w:ascii="华文中宋" w:hAnsi="华文中宋" w:eastAsia="华文中宋"/>
                      <w:sz w:val="18"/>
                      <w:szCs w:val="18"/>
                    </w:rPr>
                  </w:pPr>
                  <w:r>
                    <w:rPr>
                      <w:rFonts w:hint="eastAsia" w:ascii="华文中宋" w:hAnsi="华文中宋" w:eastAsia="华文中宋"/>
                      <w:kern w:val="0"/>
                      <w:sz w:val="18"/>
                      <w:szCs w:val="18"/>
                    </w:rPr>
                    <w:t>其他资源利用效率要求，暂无；</w:t>
                  </w:r>
                </w:p>
              </w:tc>
              <w:tc>
                <w:tcPr>
                  <w:tcW w:w="1641" w:type="dxa"/>
                  <w:tcBorders>
                    <w:top w:val="single" w:color="auto" w:sz="4" w:space="0"/>
                    <w:left w:val="single" w:color="auto" w:sz="4" w:space="0"/>
                    <w:bottom w:val="single" w:color="auto" w:sz="4" w:space="0"/>
                    <w:right w:val="single" w:color="auto" w:sz="4" w:space="0"/>
                  </w:tcBorders>
                  <w:vAlign w:val="center"/>
                </w:tcPr>
                <w:p>
                  <w:pPr>
                    <w:pStyle w:val="51"/>
                    <w:widowControl/>
                    <w:shd w:val="clear" w:color="auto" w:fill="FFFFFF"/>
                    <w:spacing w:line="240" w:lineRule="exact"/>
                    <w:ind w:firstLine="0" w:firstLineChars="0"/>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445" w:type="dxa"/>
                  <w:vMerge w:val="continue"/>
                  <w:tcBorders>
                    <w:left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p>
              </w:tc>
              <w:tc>
                <w:tcPr>
                  <w:tcW w:w="567"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bCs/>
                      <w:sz w:val="18"/>
                      <w:szCs w:val="18"/>
                    </w:rPr>
                    <w:t>单元级清单管控要求</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空间布局约束</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城镇污水污染控制措施要求</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工业废水污染控制措施要求</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严格落实排污许可制度，持证排污，达标排放；强化工业企业储存危险化学品监管，完善储存防护设施；加快布局分散的企业向园区集中；推进工业园区“零直排区”建设，加强企业废水预处理和排水管理，严格执行污水处理厂接管标准。新建有色金属矿产采选禁止工矿废水排放；现有企业强化尾矿库、污水处理设施监管。</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农业面源水污染控制措施要求</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船舶港口水污染控制措施要求</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饮用水水源和其它特殊水体保护要求</w:t>
                  </w:r>
                </w:p>
              </w:tc>
              <w:tc>
                <w:tcPr>
                  <w:tcW w:w="164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华文中宋" w:hAnsi="华文中宋" w:eastAsia="华文中宋"/>
                      <w:sz w:val="18"/>
                      <w:szCs w:val="18"/>
                    </w:rPr>
                  </w:pPr>
                  <w:r>
                    <w:rPr>
                      <w:rFonts w:ascii="华文中宋" w:hAnsi="华文中宋" w:eastAsia="华文中宋"/>
                      <w:sz w:val="18"/>
                      <w:szCs w:val="18"/>
                    </w:rPr>
                    <w:t>本项目生产废水处理后回用不外排。项目建成后将及时申报排污许可证</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1445" w:type="dxa"/>
                  <w:vMerge w:val="continue"/>
                  <w:tcBorders>
                    <w:left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污染物排放管控</w:t>
                  </w:r>
                </w:p>
              </w:tc>
              <w:tc>
                <w:tcPr>
                  <w:tcW w:w="6777" w:type="dxa"/>
                  <w:tcBorders>
                    <w:top w:val="single" w:color="auto" w:sz="4" w:space="0"/>
                    <w:left w:val="single" w:color="auto" w:sz="4" w:space="0"/>
                    <w:right w:val="single" w:color="auto" w:sz="4" w:space="0"/>
                  </w:tcBorders>
                  <w:vAlign w:val="center"/>
                </w:tcPr>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164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项目建成后将编制《突发环境事件应急预案》，对可能发生的环境事件采取相应的防治措施。</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445" w:type="dxa"/>
                  <w:vMerge w:val="continue"/>
                  <w:tcBorders>
                    <w:left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环境风险防控</w:t>
                  </w:r>
                </w:p>
              </w:tc>
              <w:tc>
                <w:tcPr>
                  <w:tcW w:w="6777" w:type="dxa"/>
                  <w:tcBorders>
                    <w:left w:val="single" w:color="auto" w:sz="4" w:space="0"/>
                    <w:right w:val="single" w:color="auto" w:sz="4" w:space="0"/>
                  </w:tcBorders>
                  <w:vAlign w:val="center"/>
                </w:tcPr>
                <w:p>
                  <w:pPr>
                    <w:pStyle w:val="51"/>
                    <w:spacing w:line="240" w:lineRule="exact"/>
                    <w:ind w:firstLine="0" w:firstLineChars="0"/>
                    <w:jc w:val="center"/>
                    <w:rPr>
                      <w:rFonts w:ascii="华文中宋" w:hAnsi="华文中宋" w:eastAsia="华文中宋"/>
                      <w:kern w:val="0"/>
                      <w:sz w:val="18"/>
                      <w:szCs w:val="18"/>
                    </w:rPr>
                  </w:pPr>
                  <w:r>
                    <w:rPr>
                      <w:rFonts w:hint="eastAsia" w:ascii="华文中宋" w:hAnsi="华文中宋" w:eastAsia="华文中宋"/>
                      <w:kern w:val="0"/>
                      <w:sz w:val="18"/>
                      <w:szCs w:val="18"/>
                    </w:rPr>
                    <w:t>/</w:t>
                  </w:r>
                </w:p>
              </w:tc>
              <w:tc>
                <w:tcPr>
                  <w:tcW w:w="1641" w:type="dxa"/>
                  <w:tcBorders>
                    <w:top w:val="single" w:color="auto" w:sz="4" w:space="0"/>
                    <w:left w:val="single" w:color="auto" w:sz="4" w:space="0"/>
                    <w:bottom w:val="single" w:color="auto" w:sz="4" w:space="0"/>
                    <w:right w:val="single" w:color="auto" w:sz="4" w:space="0"/>
                  </w:tcBorders>
                  <w:vAlign w:val="center"/>
                </w:tcPr>
                <w:p>
                  <w:pPr>
                    <w:pStyle w:val="51"/>
                    <w:widowControl/>
                    <w:shd w:val="clear" w:color="auto" w:fill="FFFFFF"/>
                    <w:spacing w:line="240" w:lineRule="exact"/>
                    <w:ind w:firstLine="0" w:firstLineChars="0"/>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445" w:type="dxa"/>
                  <w:vMerge w:val="continue"/>
                  <w:tcBorders>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资源开发效率要求</w:t>
                  </w:r>
                </w:p>
              </w:tc>
              <w:tc>
                <w:tcPr>
                  <w:tcW w:w="6777" w:type="dxa"/>
                  <w:tcBorders>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城镇污水污染控制措施要求</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工业废水污染控制措施要求</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严格落实排污许可制度，持证排污，达标排放；强化工业企业储存危险化学品监管，完善储存防护设施；加快布局分散的企业向园区集中；推进工业园区“零直排区”建设，加强企业废水预处理和排水管理，严格执行污水处理厂接管标准。新建有色金属矿产采选禁止工矿废水排放；现有企业强化尾矿库、污水处理设施监管。</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农业面源水污染控制措施要求</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船舶港口水污染控制措施要求</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饮用水水源和其它特殊水体保护要求</w:t>
                  </w:r>
                </w:p>
              </w:tc>
              <w:tc>
                <w:tcPr>
                  <w:tcW w:w="1641" w:type="dxa"/>
                  <w:tcBorders>
                    <w:top w:val="single" w:color="auto" w:sz="4" w:space="0"/>
                    <w:left w:val="single" w:color="auto" w:sz="4" w:space="0"/>
                    <w:bottom w:val="single" w:color="auto" w:sz="4" w:space="0"/>
                    <w:right w:val="single" w:color="auto" w:sz="4" w:space="0"/>
                  </w:tcBorders>
                  <w:vAlign w:val="center"/>
                </w:tcPr>
                <w:p>
                  <w:pPr>
                    <w:pStyle w:val="51"/>
                    <w:widowControl/>
                    <w:shd w:val="clear" w:color="auto" w:fill="FFFFFF"/>
                    <w:spacing w:line="240" w:lineRule="exact"/>
                    <w:ind w:firstLine="0" w:firstLineChars="0"/>
                    <w:jc w:val="center"/>
                    <w:rPr>
                      <w:rFonts w:ascii="华文中宋" w:hAnsi="华文中宋" w:eastAsia="华文中宋"/>
                      <w:sz w:val="18"/>
                      <w:szCs w:val="18"/>
                    </w:rPr>
                  </w:pPr>
                  <w:r>
                    <w:rPr>
                      <w:rFonts w:ascii="华文中宋" w:hAnsi="华文中宋" w:eastAsia="华文中宋"/>
                      <w:sz w:val="18"/>
                      <w:szCs w:val="18"/>
                    </w:rPr>
                    <w:t>本项目生产废水处理后回用不外排。项目建成后将及时申报排污许可证</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445" w:type="dxa"/>
                  <w:vMerge w:val="restart"/>
                  <w:tcBorders>
                    <w:left w:val="single" w:color="auto" w:sz="4" w:space="0"/>
                    <w:right w:val="single" w:color="auto" w:sz="4" w:space="0"/>
                  </w:tcBorders>
                  <w:vAlign w:val="center"/>
                </w:tcPr>
                <w:p>
                  <w:pPr>
                    <w:rPr>
                      <w:rFonts w:ascii="华文中宋" w:hAnsi="华文中宋" w:eastAsia="华文中宋"/>
                      <w:sz w:val="18"/>
                      <w:szCs w:val="18"/>
                    </w:rPr>
                  </w:pPr>
                  <w:r>
                    <w:rPr>
                      <w:rStyle w:val="53"/>
                      <w:rFonts w:hint="eastAsia" w:ascii="华文中宋" w:hAnsi="华文中宋" w:eastAsia="华文中宋"/>
                      <w:sz w:val="18"/>
                      <w:szCs w:val="18"/>
                    </w:rPr>
                    <w:t>大气环境高排放重点管控区</w:t>
                  </w:r>
                  <w:r>
                    <w:rPr>
                      <w:rFonts w:ascii="华文中宋" w:hAnsi="华文中宋" w:eastAsia="华文中宋"/>
                      <w:bCs/>
                      <w:sz w:val="18"/>
                      <w:szCs w:val="18"/>
                    </w:rPr>
                    <w:t>、</w:t>
                  </w:r>
                  <w:r>
                    <w:rPr>
                      <w:rStyle w:val="53"/>
                      <w:rFonts w:hint="eastAsia" w:ascii="华文中宋" w:hAnsi="华文中宋" w:eastAsia="华文中宋"/>
                      <w:sz w:val="18"/>
                      <w:szCs w:val="18"/>
                    </w:rPr>
                    <w:t>YS5117222310001</w:t>
                  </w:r>
                  <w:r>
                    <w:rPr>
                      <w:rFonts w:ascii="华文中宋" w:hAnsi="华文中宋" w:eastAsia="华文中宋"/>
                      <w:bCs/>
                      <w:sz w:val="18"/>
                      <w:szCs w:val="18"/>
                    </w:rPr>
                    <w:t>、</w:t>
                  </w:r>
                  <w:r>
                    <w:rPr>
                      <w:rStyle w:val="53"/>
                      <w:rFonts w:hint="eastAsia" w:ascii="华文中宋" w:hAnsi="华文中宋" w:eastAsia="华文中宋"/>
                      <w:sz w:val="18"/>
                      <w:szCs w:val="18"/>
                    </w:rPr>
                    <w:t>四川达州普光经济开发区（含锂钾综合开发产业园）</w:t>
                  </w:r>
                </w:p>
              </w:tc>
              <w:tc>
                <w:tcPr>
                  <w:tcW w:w="567" w:type="dxa"/>
                  <w:vMerge w:val="restart"/>
                  <w:tcBorders>
                    <w:top w:val="nil"/>
                    <w:left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r>
                    <w:rPr>
                      <w:rFonts w:hint="eastAsia" w:ascii="华文中宋" w:hAnsi="华文中宋" w:eastAsia="华文中宋"/>
                      <w:sz w:val="18"/>
                      <w:szCs w:val="18"/>
                    </w:rPr>
                    <w:t>达州市普适性清单管控要求</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空间布局约束</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禁止开发建设活动的要求，暂无；</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限制开发建设活动的要求，暂无；</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不符合空间布局要求活动的退出要求，暂无；</w:t>
                  </w:r>
                </w:p>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kern w:val="0"/>
                      <w:sz w:val="18"/>
                      <w:szCs w:val="18"/>
                    </w:rPr>
                    <w:t>其他空间布局约束要求，暂无；</w:t>
                  </w:r>
                </w:p>
              </w:tc>
              <w:tc>
                <w:tcPr>
                  <w:tcW w:w="1641" w:type="dxa"/>
                  <w:tcBorders>
                    <w:top w:val="single" w:color="auto" w:sz="4" w:space="0"/>
                    <w:left w:val="single" w:color="auto" w:sz="4" w:space="0"/>
                    <w:bottom w:val="single" w:color="auto" w:sz="4" w:space="0"/>
                    <w:right w:val="single" w:color="auto" w:sz="4" w:space="0"/>
                  </w:tcBorders>
                  <w:vAlign w:val="center"/>
                </w:tcPr>
                <w:p>
                  <w:pPr>
                    <w:pStyle w:val="51"/>
                    <w:widowControl/>
                    <w:shd w:val="clear" w:color="auto" w:fill="FFFFFF"/>
                    <w:spacing w:line="240" w:lineRule="exact"/>
                    <w:ind w:firstLine="0" w:firstLineChars="0"/>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pStyle w:val="51"/>
                    <w:widowControl/>
                    <w:shd w:val="clear" w:color="auto" w:fill="FFFFFF"/>
                    <w:spacing w:line="240" w:lineRule="exact"/>
                    <w:ind w:firstLine="0" w:firstLineChars="0"/>
                    <w:jc w:val="center"/>
                    <w:rPr>
                      <w:rFonts w:ascii="华文中宋" w:hAnsi="华文中宋" w:eastAsia="华文中宋"/>
                      <w:sz w:val="18"/>
                      <w:szCs w:val="18"/>
                    </w:rPr>
                  </w:pPr>
                  <w:r>
                    <w:rPr>
                      <w:rFonts w:hint="eastAsia" w:ascii="华文中宋" w:hAnsi="华文中宋" w:eastAsia="华文中宋"/>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445" w:type="dxa"/>
                  <w:vMerge w:val="continue"/>
                  <w:tcBorders>
                    <w:left w:val="single" w:color="auto" w:sz="4" w:space="0"/>
                    <w:right w:val="single" w:color="auto" w:sz="4" w:space="0"/>
                  </w:tcBorders>
                  <w:vAlign w:val="center"/>
                </w:tcPr>
                <w:p>
                  <w:pPr>
                    <w:spacing w:line="240" w:lineRule="exact"/>
                    <w:jc w:val="center"/>
                    <w:rPr>
                      <w:rFonts w:ascii="华文中宋" w:hAnsi="华文中宋" w:eastAsia="华文中宋"/>
                      <w:sz w:val="18"/>
                      <w:szCs w:val="18"/>
                    </w:rPr>
                  </w:pPr>
                </w:p>
              </w:tc>
              <w:tc>
                <w:tcPr>
                  <w:tcW w:w="567" w:type="dxa"/>
                  <w:vMerge w:val="continue"/>
                  <w:tcBorders>
                    <w:left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污染物排放管控</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允许排放量要求，暂无；</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现有源提标升级改造，暂无；</w:t>
                  </w:r>
                </w:p>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kern w:val="0"/>
                      <w:sz w:val="18"/>
                      <w:szCs w:val="18"/>
                    </w:rPr>
                    <w:t>其他污染物排放管控要求，暂无；</w:t>
                  </w:r>
                </w:p>
              </w:tc>
              <w:tc>
                <w:tcPr>
                  <w:tcW w:w="1641" w:type="dxa"/>
                  <w:tcBorders>
                    <w:top w:val="single" w:color="auto" w:sz="4" w:space="0"/>
                    <w:left w:val="single" w:color="auto" w:sz="4" w:space="0"/>
                    <w:bottom w:val="single" w:color="auto" w:sz="4" w:space="0"/>
                    <w:right w:val="single" w:color="auto" w:sz="4" w:space="0"/>
                  </w:tcBorders>
                  <w:vAlign w:val="center"/>
                </w:tcPr>
                <w:p>
                  <w:pPr>
                    <w:pStyle w:val="51"/>
                    <w:widowControl/>
                    <w:shd w:val="clear" w:color="auto" w:fill="FFFFFF"/>
                    <w:spacing w:line="240" w:lineRule="exact"/>
                    <w:ind w:firstLine="0" w:firstLineChars="0"/>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pStyle w:val="51"/>
                    <w:widowControl/>
                    <w:shd w:val="clear" w:color="auto" w:fill="FFFFFF"/>
                    <w:spacing w:line="240" w:lineRule="exact"/>
                    <w:ind w:firstLine="0" w:firstLineChars="0"/>
                    <w:jc w:val="center"/>
                    <w:rPr>
                      <w:rFonts w:ascii="华文中宋" w:hAnsi="华文中宋" w:eastAsia="华文中宋"/>
                      <w:sz w:val="18"/>
                      <w:szCs w:val="18"/>
                    </w:rPr>
                  </w:pPr>
                  <w:r>
                    <w:rPr>
                      <w:rFonts w:hint="eastAsia" w:ascii="华文中宋" w:hAnsi="华文中宋" w:eastAsia="华文中宋"/>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445" w:type="dxa"/>
                  <w:vMerge w:val="continue"/>
                  <w:tcBorders>
                    <w:left w:val="single" w:color="auto" w:sz="4" w:space="0"/>
                    <w:right w:val="single" w:color="auto" w:sz="4" w:space="0"/>
                  </w:tcBorders>
                  <w:vAlign w:val="center"/>
                </w:tcPr>
                <w:p>
                  <w:pPr>
                    <w:spacing w:line="240" w:lineRule="exact"/>
                    <w:jc w:val="center"/>
                    <w:rPr>
                      <w:rFonts w:ascii="华文中宋" w:hAnsi="华文中宋" w:eastAsia="华文中宋"/>
                      <w:sz w:val="18"/>
                      <w:szCs w:val="18"/>
                    </w:rPr>
                  </w:pPr>
                </w:p>
              </w:tc>
              <w:tc>
                <w:tcPr>
                  <w:tcW w:w="567" w:type="dxa"/>
                  <w:vMerge w:val="continue"/>
                  <w:tcBorders>
                    <w:left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环境风险防控</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联防联控要求，暂无；</w:t>
                  </w:r>
                </w:p>
                <w:p>
                  <w:pPr>
                    <w:pStyle w:val="51"/>
                    <w:spacing w:line="240" w:lineRule="exact"/>
                    <w:ind w:firstLine="0" w:firstLineChars="0"/>
                    <w:rPr>
                      <w:rFonts w:ascii="华文中宋" w:hAnsi="华文中宋" w:eastAsia="华文中宋"/>
                      <w:sz w:val="18"/>
                      <w:szCs w:val="18"/>
                    </w:rPr>
                  </w:pPr>
                  <w:r>
                    <w:rPr>
                      <w:rFonts w:hint="eastAsia" w:ascii="华文中宋" w:hAnsi="华文中宋" w:eastAsia="华文中宋"/>
                      <w:kern w:val="0"/>
                      <w:sz w:val="18"/>
                      <w:szCs w:val="18"/>
                    </w:rPr>
                    <w:t>其他环境风险防控要求，暂无；</w:t>
                  </w:r>
                </w:p>
              </w:tc>
              <w:tc>
                <w:tcPr>
                  <w:tcW w:w="1641" w:type="dxa"/>
                  <w:tcBorders>
                    <w:top w:val="single" w:color="auto" w:sz="4" w:space="0"/>
                    <w:left w:val="single" w:color="auto" w:sz="4" w:space="0"/>
                    <w:bottom w:val="single" w:color="auto" w:sz="4" w:space="0"/>
                    <w:right w:val="single" w:color="auto" w:sz="4" w:space="0"/>
                  </w:tcBorders>
                  <w:vAlign w:val="center"/>
                </w:tcPr>
                <w:p>
                  <w:pPr>
                    <w:pStyle w:val="51"/>
                    <w:widowControl/>
                    <w:shd w:val="clear" w:color="auto" w:fill="FFFFFF"/>
                    <w:spacing w:line="240" w:lineRule="exact"/>
                    <w:ind w:firstLine="0" w:firstLineChars="0"/>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pStyle w:val="51"/>
                    <w:widowControl/>
                    <w:shd w:val="clear" w:color="auto" w:fill="FFFFFF"/>
                    <w:spacing w:line="240" w:lineRule="exact"/>
                    <w:ind w:firstLine="0" w:firstLineChars="0"/>
                    <w:jc w:val="center"/>
                    <w:rPr>
                      <w:rFonts w:ascii="华文中宋" w:hAnsi="华文中宋" w:eastAsia="华文中宋"/>
                      <w:sz w:val="18"/>
                      <w:szCs w:val="18"/>
                    </w:rPr>
                  </w:pPr>
                  <w:r>
                    <w:rPr>
                      <w:rFonts w:hint="eastAsia" w:ascii="华文中宋" w:hAnsi="华文中宋" w:eastAsia="华文中宋"/>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445" w:type="dxa"/>
                  <w:vMerge w:val="continue"/>
                  <w:tcBorders>
                    <w:left w:val="single" w:color="auto" w:sz="4" w:space="0"/>
                    <w:right w:val="single" w:color="auto" w:sz="4" w:space="0"/>
                  </w:tcBorders>
                  <w:vAlign w:val="center"/>
                </w:tcPr>
                <w:p>
                  <w:pPr>
                    <w:spacing w:line="240" w:lineRule="exact"/>
                    <w:jc w:val="center"/>
                    <w:rPr>
                      <w:rFonts w:ascii="华文中宋" w:hAnsi="华文中宋" w:eastAsia="华文中宋"/>
                      <w:sz w:val="18"/>
                      <w:szCs w:val="18"/>
                    </w:rPr>
                  </w:pPr>
                </w:p>
              </w:tc>
              <w:tc>
                <w:tcPr>
                  <w:tcW w:w="567" w:type="dxa"/>
                  <w:vMerge w:val="continue"/>
                  <w:tcBorders>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资源开发效率要求</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水资源利用总量要求，暂无；</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地下水开采要求，暂无；</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能源利用总量及效率要求，暂无；</w:t>
                  </w:r>
                </w:p>
                <w:p>
                  <w:pPr>
                    <w:pStyle w:val="51"/>
                    <w:spacing w:line="24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禁燃区要求，暂无；</w:t>
                  </w:r>
                </w:p>
                <w:p>
                  <w:pPr>
                    <w:spacing w:line="240" w:lineRule="exact"/>
                    <w:rPr>
                      <w:rFonts w:ascii="华文中宋" w:hAnsi="华文中宋" w:eastAsia="华文中宋"/>
                      <w:sz w:val="18"/>
                      <w:szCs w:val="18"/>
                    </w:rPr>
                  </w:pPr>
                  <w:r>
                    <w:rPr>
                      <w:rFonts w:hint="eastAsia" w:ascii="华文中宋" w:hAnsi="华文中宋" w:eastAsia="华文中宋"/>
                      <w:kern w:val="0"/>
                      <w:sz w:val="18"/>
                      <w:szCs w:val="18"/>
                    </w:rPr>
                    <w:t>其他资源利用效率要求，暂无；</w:t>
                  </w:r>
                </w:p>
              </w:tc>
              <w:tc>
                <w:tcPr>
                  <w:tcW w:w="1641" w:type="dxa"/>
                  <w:tcBorders>
                    <w:top w:val="single" w:color="auto" w:sz="4" w:space="0"/>
                    <w:left w:val="single" w:color="auto" w:sz="4" w:space="0"/>
                    <w:bottom w:val="single" w:color="auto" w:sz="4" w:space="0"/>
                    <w:right w:val="single" w:color="auto" w:sz="4" w:space="0"/>
                  </w:tcBorders>
                  <w:vAlign w:val="center"/>
                </w:tcPr>
                <w:p>
                  <w:pPr>
                    <w:pStyle w:val="51"/>
                    <w:widowControl/>
                    <w:shd w:val="clear" w:color="auto" w:fill="FFFFFF"/>
                    <w:spacing w:line="240" w:lineRule="exact"/>
                    <w:ind w:firstLine="0" w:firstLineChars="0"/>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pStyle w:val="51"/>
                    <w:widowControl/>
                    <w:shd w:val="clear" w:color="auto" w:fill="FFFFFF"/>
                    <w:spacing w:line="240" w:lineRule="exact"/>
                    <w:ind w:firstLine="0" w:firstLineChars="0"/>
                    <w:jc w:val="center"/>
                    <w:rPr>
                      <w:rFonts w:ascii="华文中宋" w:hAnsi="华文中宋" w:eastAsia="华文中宋"/>
                      <w:sz w:val="18"/>
                      <w:szCs w:val="18"/>
                    </w:rPr>
                  </w:pPr>
                  <w:r>
                    <w:rPr>
                      <w:rFonts w:hint="eastAsia" w:ascii="华文中宋" w:hAnsi="华文中宋" w:eastAsia="华文中宋"/>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445" w:type="dxa"/>
                  <w:vMerge w:val="continue"/>
                  <w:tcBorders>
                    <w:left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p>
              </w:tc>
              <w:tc>
                <w:tcPr>
                  <w:tcW w:w="567"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bCs/>
                      <w:sz w:val="18"/>
                      <w:szCs w:val="18"/>
                    </w:rPr>
                    <w:t>单元级清单管控要求</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空间布局约束</w:t>
                  </w:r>
                </w:p>
              </w:tc>
              <w:tc>
                <w:tcPr>
                  <w:tcW w:w="6777"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禁止开发建设活动的要求</w:t>
                  </w:r>
                </w:p>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限制开发建设活动的要求</w:t>
                  </w:r>
                </w:p>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允许开发建设活动的要求</w:t>
                  </w:r>
                </w:p>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不符合空间布局要求活动的退出要求</w:t>
                  </w:r>
                </w:p>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其他空间布局约束要求</w:t>
                  </w:r>
                </w:p>
              </w:tc>
              <w:tc>
                <w:tcPr>
                  <w:tcW w:w="1641" w:type="dxa"/>
                  <w:tcBorders>
                    <w:top w:val="single" w:color="auto" w:sz="4" w:space="0"/>
                    <w:left w:val="single" w:color="auto" w:sz="4" w:space="0"/>
                    <w:bottom w:val="single" w:color="auto" w:sz="4" w:space="0"/>
                    <w:right w:val="single" w:color="auto" w:sz="4" w:space="0"/>
                  </w:tcBorders>
                  <w:vAlign w:val="center"/>
                </w:tcPr>
                <w:p>
                  <w:pPr>
                    <w:pStyle w:val="51"/>
                    <w:widowControl/>
                    <w:shd w:val="clear" w:color="auto" w:fill="FFFFFF"/>
                    <w:spacing w:line="240" w:lineRule="exact"/>
                    <w:ind w:firstLine="0" w:firstLineChars="0"/>
                    <w:jc w:val="center"/>
                    <w:rPr>
                      <w:rFonts w:ascii="华文中宋" w:hAnsi="华文中宋" w:eastAsia="华文中宋"/>
                      <w:sz w:val="18"/>
                      <w:szCs w:val="18"/>
                    </w:rPr>
                  </w:pPr>
                  <w:r>
                    <w:rPr>
                      <w:rFonts w:hint="eastAsia" w:ascii="华文中宋" w:hAnsi="华文中宋" w:eastAsia="华文中宋"/>
                      <w:sz w:val="18"/>
                      <w:szCs w:val="18"/>
                    </w:rPr>
                    <w:t>同达州市普适性清单管控要求分析</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1445" w:type="dxa"/>
                  <w:vMerge w:val="continue"/>
                  <w:tcBorders>
                    <w:left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污染物排放管控</w:t>
                  </w:r>
                </w:p>
              </w:tc>
              <w:tc>
                <w:tcPr>
                  <w:tcW w:w="6777"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大气环境质量执行标准</w:t>
                  </w:r>
                </w:p>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《环境空气质量标准》（GB3095-2012）：二级</w:t>
                  </w:r>
                </w:p>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区域大气污染物削减/替代要求</w:t>
                  </w:r>
                </w:p>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新增大气污染物排放的建设项目实施总量削减替代。</w:t>
                  </w:r>
                </w:p>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燃煤和其他能源大气污染控制要求</w:t>
                  </w:r>
                </w:p>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工业废气污染控制要求</w:t>
                  </w:r>
                </w:p>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机动车船大气污染控制要求</w:t>
                  </w:r>
                </w:p>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扬尘污染控制要求</w:t>
                  </w:r>
                </w:p>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农业生产经营活动大气污染控制要求</w:t>
                  </w:r>
                </w:p>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重点行业企业专项治理要求</w:t>
                  </w:r>
                </w:p>
                <w:p>
                  <w:pPr>
                    <w:spacing w:line="240" w:lineRule="exact"/>
                    <w:jc w:val="left"/>
                    <w:rPr>
                      <w:rFonts w:ascii="华文中宋" w:hAnsi="华文中宋" w:eastAsia="华文中宋"/>
                      <w:sz w:val="18"/>
                      <w:szCs w:val="18"/>
                    </w:rPr>
                  </w:pPr>
                  <w:r>
                    <w:rPr>
                      <w:rFonts w:hint="eastAsia" w:ascii="华文中宋" w:hAnsi="华文中宋" w:eastAsia="华文中宋"/>
                      <w:sz w:val="18"/>
                      <w:szCs w:val="18"/>
                    </w:rPr>
                    <w:t>其他大气污染物排放管控要求</w:t>
                  </w:r>
                </w:p>
              </w:tc>
              <w:tc>
                <w:tcPr>
                  <w:tcW w:w="164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华文中宋" w:hAnsi="华文中宋" w:eastAsia="华文中宋"/>
                      <w:sz w:val="18"/>
                      <w:szCs w:val="18"/>
                    </w:rPr>
                  </w:pPr>
                  <w:r>
                    <w:rPr>
                      <w:rFonts w:ascii="华文中宋" w:hAnsi="华文中宋" w:eastAsia="华文中宋"/>
                      <w:sz w:val="18"/>
                      <w:szCs w:val="18"/>
                    </w:rPr>
                    <w:t>本项目营运期仅非正常情况下会排放少量废气，区域环境空气质量执行</w:t>
                  </w:r>
                  <w:r>
                    <w:rPr>
                      <w:rFonts w:hint="eastAsia" w:ascii="华文中宋" w:hAnsi="华文中宋" w:eastAsia="华文中宋"/>
                      <w:sz w:val="18"/>
                      <w:szCs w:val="18"/>
                    </w:rPr>
                    <w:t>《环境空气质量标准》（GB3095-2012）二级标准。</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445" w:type="dxa"/>
                  <w:vMerge w:val="continue"/>
                  <w:tcBorders>
                    <w:left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环境风险防控</w:t>
                  </w:r>
                </w:p>
              </w:tc>
              <w:tc>
                <w:tcPr>
                  <w:tcW w:w="6777" w:type="dxa"/>
                  <w:vMerge w:val="restart"/>
                  <w:tcBorders>
                    <w:top w:val="single" w:color="auto" w:sz="4" w:space="0"/>
                    <w:left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c>
                <w:tcPr>
                  <w:tcW w:w="1641" w:type="dxa"/>
                  <w:vMerge w:val="restart"/>
                  <w:tcBorders>
                    <w:top w:val="single" w:color="auto" w:sz="4" w:space="0"/>
                    <w:left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445" w:type="dxa"/>
                  <w:vMerge w:val="continue"/>
                  <w:tcBorders>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资源开发效率要求</w:t>
                  </w:r>
                </w:p>
              </w:tc>
              <w:tc>
                <w:tcPr>
                  <w:tcW w:w="6777" w:type="dxa"/>
                  <w:vMerge w:val="continue"/>
                  <w:tcBorders>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p>
              </w:tc>
              <w:tc>
                <w:tcPr>
                  <w:tcW w:w="1641" w:type="dxa"/>
                  <w:vMerge w:val="continue"/>
                  <w:tcBorders>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445" w:type="dxa"/>
                  <w:vMerge w:val="restart"/>
                  <w:tcBorders>
                    <w:top w:val="nil"/>
                    <w:left w:val="single" w:color="auto" w:sz="4" w:space="0"/>
                    <w:right w:val="single" w:color="auto" w:sz="4" w:space="0"/>
                  </w:tcBorders>
                  <w:vAlign w:val="center"/>
                </w:tcPr>
                <w:p>
                  <w:pPr>
                    <w:rPr>
                      <w:rFonts w:ascii="华文中宋" w:hAnsi="华文中宋" w:eastAsia="华文中宋"/>
                      <w:sz w:val="18"/>
                      <w:szCs w:val="18"/>
                    </w:rPr>
                  </w:pPr>
                  <w:r>
                    <w:rPr>
                      <w:rStyle w:val="53"/>
                      <w:rFonts w:hint="eastAsia" w:ascii="华文中宋" w:hAnsi="华文中宋" w:eastAsia="华文中宋"/>
                      <w:sz w:val="18"/>
                      <w:szCs w:val="18"/>
                    </w:rPr>
                    <w:t>建设用地污染风险重点管控区、YS5117222420004、宣汉县建设用地污染风险重点管控区</w:t>
                  </w:r>
                </w:p>
              </w:tc>
              <w:tc>
                <w:tcPr>
                  <w:tcW w:w="567"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bCs/>
                      <w:sz w:val="18"/>
                      <w:szCs w:val="18"/>
                    </w:rPr>
                    <w:t>达州市普适性清单管控要求</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空间布局约束</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2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禁止开发建设活动的要求，暂无；</w:t>
                  </w:r>
                </w:p>
                <w:p>
                  <w:pPr>
                    <w:pStyle w:val="51"/>
                    <w:spacing w:line="22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 xml:space="preserve">限制开发建设活动的要求，暂无； </w:t>
                  </w:r>
                </w:p>
                <w:p>
                  <w:pPr>
                    <w:pStyle w:val="51"/>
                    <w:spacing w:line="22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不符合空间布局要求活动的退出要求，暂无；</w:t>
                  </w:r>
                </w:p>
                <w:p>
                  <w:pPr>
                    <w:pStyle w:val="51"/>
                    <w:spacing w:line="220" w:lineRule="exact"/>
                    <w:ind w:firstLine="0" w:firstLineChars="0"/>
                    <w:rPr>
                      <w:rFonts w:ascii="华文中宋" w:hAnsi="华文中宋" w:eastAsia="华文中宋"/>
                      <w:sz w:val="18"/>
                      <w:szCs w:val="18"/>
                    </w:rPr>
                  </w:pPr>
                  <w:r>
                    <w:rPr>
                      <w:rFonts w:hint="eastAsia" w:ascii="华文中宋" w:hAnsi="华文中宋" w:eastAsia="华文中宋"/>
                      <w:kern w:val="0"/>
                      <w:sz w:val="18"/>
                      <w:szCs w:val="18"/>
                    </w:rPr>
                    <w:t>其他空间布局约束要求，暂无；</w:t>
                  </w:r>
                </w:p>
              </w:tc>
              <w:tc>
                <w:tcPr>
                  <w:tcW w:w="164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445" w:type="dxa"/>
                  <w:vMerge w:val="continue"/>
                  <w:tcBorders>
                    <w:left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污染物排放管控</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2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 xml:space="preserve">允许排放量要求，暂无； </w:t>
                  </w:r>
                </w:p>
                <w:p>
                  <w:pPr>
                    <w:pStyle w:val="51"/>
                    <w:spacing w:line="22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 xml:space="preserve">现有源提标升级改造，暂无； </w:t>
                  </w:r>
                </w:p>
                <w:p>
                  <w:pPr>
                    <w:pStyle w:val="51"/>
                    <w:spacing w:line="220" w:lineRule="exact"/>
                    <w:ind w:firstLine="0" w:firstLineChars="0"/>
                    <w:rPr>
                      <w:rFonts w:ascii="华文中宋" w:hAnsi="华文中宋" w:eastAsia="华文中宋"/>
                      <w:sz w:val="18"/>
                      <w:szCs w:val="18"/>
                    </w:rPr>
                  </w:pPr>
                  <w:r>
                    <w:rPr>
                      <w:rFonts w:hint="eastAsia" w:ascii="华文中宋" w:hAnsi="华文中宋" w:eastAsia="华文中宋"/>
                      <w:kern w:val="0"/>
                      <w:sz w:val="18"/>
                      <w:szCs w:val="18"/>
                    </w:rPr>
                    <w:t>其他污染物排放管控要求，暂无；</w:t>
                  </w:r>
                </w:p>
              </w:tc>
              <w:tc>
                <w:tcPr>
                  <w:tcW w:w="164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445" w:type="dxa"/>
                  <w:vMerge w:val="continue"/>
                  <w:tcBorders>
                    <w:left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环境风险防控</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2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 xml:space="preserve">联防联控要求，暂无； </w:t>
                  </w:r>
                </w:p>
                <w:p>
                  <w:pPr>
                    <w:pStyle w:val="51"/>
                    <w:spacing w:line="220" w:lineRule="exact"/>
                    <w:ind w:firstLine="0" w:firstLineChars="0"/>
                    <w:rPr>
                      <w:rFonts w:ascii="华文中宋" w:hAnsi="华文中宋" w:eastAsia="华文中宋"/>
                      <w:sz w:val="18"/>
                      <w:szCs w:val="18"/>
                    </w:rPr>
                  </w:pPr>
                  <w:r>
                    <w:rPr>
                      <w:rFonts w:hint="eastAsia" w:ascii="华文中宋" w:hAnsi="华文中宋" w:eastAsia="华文中宋"/>
                      <w:kern w:val="0"/>
                      <w:sz w:val="18"/>
                      <w:szCs w:val="18"/>
                    </w:rPr>
                    <w:t>其他环境风险防控要求，暂无；</w:t>
                  </w:r>
                </w:p>
              </w:tc>
              <w:tc>
                <w:tcPr>
                  <w:tcW w:w="164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445" w:type="dxa"/>
                  <w:vMerge w:val="continue"/>
                  <w:tcBorders>
                    <w:left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资源开发效率要求</w:t>
                  </w:r>
                </w:p>
              </w:tc>
              <w:tc>
                <w:tcPr>
                  <w:tcW w:w="6777" w:type="dxa"/>
                  <w:tcBorders>
                    <w:top w:val="single" w:color="auto" w:sz="4" w:space="0"/>
                    <w:left w:val="single" w:color="auto" w:sz="4" w:space="0"/>
                    <w:bottom w:val="single" w:color="auto" w:sz="4" w:space="0"/>
                    <w:right w:val="single" w:color="auto" w:sz="4" w:space="0"/>
                  </w:tcBorders>
                  <w:vAlign w:val="center"/>
                </w:tcPr>
                <w:p>
                  <w:pPr>
                    <w:pStyle w:val="51"/>
                    <w:spacing w:line="22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 xml:space="preserve">水资源利用总量要求，暂无； </w:t>
                  </w:r>
                </w:p>
                <w:p>
                  <w:pPr>
                    <w:pStyle w:val="51"/>
                    <w:spacing w:line="22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 xml:space="preserve">地下水开采要求，暂无； </w:t>
                  </w:r>
                </w:p>
                <w:p>
                  <w:pPr>
                    <w:pStyle w:val="51"/>
                    <w:spacing w:line="22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 xml:space="preserve">能源利用总量及效率要求，暂无； </w:t>
                  </w:r>
                </w:p>
                <w:p>
                  <w:pPr>
                    <w:pStyle w:val="51"/>
                    <w:spacing w:line="220" w:lineRule="exact"/>
                    <w:ind w:firstLine="0" w:firstLineChars="0"/>
                    <w:rPr>
                      <w:rFonts w:ascii="华文中宋" w:hAnsi="华文中宋" w:eastAsia="华文中宋"/>
                      <w:kern w:val="0"/>
                      <w:sz w:val="18"/>
                      <w:szCs w:val="18"/>
                    </w:rPr>
                  </w:pPr>
                  <w:r>
                    <w:rPr>
                      <w:rFonts w:hint="eastAsia" w:ascii="华文中宋" w:hAnsi="华文中宋" w:eastAsia="华文中宋"/>
                      <w:kern w:val="0"/>
                      <w:sz w:val="18"/>
                      <w:szCs w:val="18"/>
                    </w:rPr>
                    <w:t xml:space="preserve">禁燃区要求，暂无； </w:t>
                  </w:r>
                </w:p>
                <w:p>
                  <w:pPr>
                    <w:spacing w:line="220" w:lineRule="exact"/>
                    <w:rPr>
                      <w:rFonts w:ascii="华文中宋" w:hAnsi="华文中宋" w:eastAsia="华文中宋"/>
                      <w:sz w:val="18"/>
                      <w:szCs w:val="18"/>
                    </w:rPr>
                  </w:pPr>
                  <w:r>
                    <w:rPr>
                      <w:rFonts w:hint="eastAsia" w:ascii="华文中宋" w:hAnsi="华文中宋" w:eastAsia="华文中宋"/>
                      <w:kern w:val="0"/>
                      <w:sz w:val="18"/>
                      <w:szCs w:val="18"/>
                    </w:rPr>
                    <w:t>其他资源利用效率要求，暂无；</w:t>
                  </w:r>
                  <w:r>
                    <w:rPr>
                      <w:rFonts w:ascii="华文中宋" w:hAnsi="华文中宋" w:eastAsia="华文中宋"/>
                      <w:sz w:val="18"/>
                      <w:szCs w:val="18"/>
                    </w:rPr>
                    <w:t xml:space="preserve"> </w:t>
                  </w:r>
                </w:p>
              </w:tc>
              <w:tc>
                <w:tcPr>
                  <w:tcW w:w="164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445" w:type="dxa"/>
                  <w:vMerge w:val="continue"/>
                  <w:tcBorders>
                    <w:left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p>
              </w:tc>
              <w:tc>
                <w:tcPr>
                  <w:tcW w:w="567"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bCs/>
                      <w:sz w:val="18"/>
                      <w:szCs w:val="18"/>
                    </w:rPr>
                    <w:t>单元级清单管控要求</w:t>
                  </w: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空间布局约束</w:t>
                  </w:r>
                </w:p>
              </w:tc>
              <w:tc>
                <w:tcPr>
                  <w:tcW w:w="6777"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华文中宋" w:hAnsi="华文中宋" w:eastAsia="华文中宋"/>
                      <w:kern w:val="0"/>
                      <w:sz w:val="18"/>
                      <w:szCs w:val="18"/>
                    </w:rPr>
                  </w:pPr>
                  <w:r>
                    <w:rPr>
                      <w:rFonts w:hint="eastAsia" w:ascii="华文中宋" w:hAnsi="华文中宋" w:eastAsia="华文中宋"/>
                      <w:kern w:val="0"/>
                      <w:sz w:val="18"/>
                      <w:szCs w:val="18"/>
                    </w:rPr>
                    <w:t>禁止开发建设活动的要求</w:t>
                  </w:r>
                </w:p>
                <w:p>
                  <w:pPr>
                    <w:spacing w:line="220" w:lineRule="exact"/>
                    <w:rPr>
                      <w:rFonts w:ascii="华文中宋" w:hAnsi="华文中宋" w:eastAsia="华文中宋"/>
                      <w:kern w:val="0"/>
                      <w:sz w:val="18"/>
                      <w:szCs w:val="18"/>
                    </w:rPr>
                  </w:pPr>
                  <w:r>
                    <w:rPr>
                      <w:rFonts w:hint="eastAsia" w:ascii="华文中宋" w:hAnsi="华文中宋" w:eastAsia="华文中宋"/>
                      <w:kern w:val="0"/>
                      <w:sz w:val="18"/>
                      <w:szCs w:val="18"/>
                    </w:rPr>
                    <w:t>限制开发建设活动的要求</w:t>
                  </w:r>
                </w:p>
                <w:p>
                  <w:pPr>
                    <w:spacing w:line="220" w:lineRule="exact"/>
                    <w:rPr>
                      <w:rFonts w:ascii="华文中宋" w:hAnsi="华文中宋" w:eastAsia="华文中宋"/>
                      <w:kern w:val="0"/>
                      <w:sz w:val="18"/>
                      <w:szCs w:val="18"/>
                    </w:rPr>
                  </w:pPr>
                  <w:r>
                    <w:rPr>
                      <w:rFonts w:hint="eastAsia" w:ascii="华文中宋" w:hAnsi="华文中宋" w:eastAsia="华文中宋"/>
                      <w:kern w:val="0"/>
                      <w:sz w:val="18"/>
                      <w:szCs w:val="18"/>
                    </w:rPr>
                    <w:t>允许开发建设活动的要求</w:t>
                  </w:r>
                </w:p>
                <w:p>
                  <w:pPr>
                    <w:spacing w:line="220" w:lineRule="exact"/>
                    <w:rPr>
                      <w:rFonts w:ascii="华文中宋" w:hAnsi="华文中宋" w:eastAsia="华文中宋"/>
                      <w:kern w:val="0"/>
                      <w:sz w:val="18"/>
                      <w:szCs w:val="18"/>
                    </w:rPr>
                  </w:pPr>
                  <w:r>
                    <w:rPr>
                      <w:rFonts w:hint="eastAsia" w:ascii="华文中宋" w:hAnsi="华文中宋" w:eastAsia="华文中宋"/>
                      <w:kern w:val="0"/>
                      <w:sz w:val="18"/>
                      <w:szCs w:val="18"/>
                    </w:rPr>
                    <w:t>不符合空间布局要求活动的退出要求</w:t>
                  </w:r>
                </w:p>
                <w:p>
                  <w:pPr>
                    <w:spacing w:line="220" w:lineRule="exact"/>
                    <w:rPr>
                      <w:rFonts w:ascii="华文中宋" w:hAnsi="华文中宋" w:eastAsia="华文中宋"/>
                      <w:sz w:val="18"/>
                      <w:szCs w:val="18"/>
                    </w:rPr>
                  </w:pPr>
                  <w:r>
                    <w:rPr>
                      <w:rFonts w:hint="eastAsia" w:ascii="华文中宋" w:hAnsi="华文中宋" w:eastAsia="华文中宋"/>
                      <w:kern w:val="0"/>
                      <w:sz w:val="18"/>
                      <w:szCs w:val="18"/>
                    </w:rPr>
                    <w:t>其他空间布局约束要求</w:t>
                  </w:r>
                </w:p>
              </w:tc>
              <w:tc>
                <w:tcPr>
                  <w:tcW w:w="164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445" w:type="dxa"/>
                  <w:vMerge w:val="continue"/>
                  <w:tcBorders>
                    <w:left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污染物排放管控</w:t>
                  </w:r>
                </w:p>
              </w:tc>
              <w:tc>
                <w:tcPr>
                  <w:tcW w:w="6777" w:type="dxa"/>
                  <w:vMerge w:val="restart"/>
                  <w:tcBorders>
                    <w:top w:val="single" w:color="auto" w:sz="4" w:space="0"/>
                    <w:left w:val="single" w:color="auto" w:sz="4" w:space="0"/>
                    <w:right w:val="single" w:color="auto" w:sz="4" w:space="0"/>
                  </w:tcBorders>
                  <w:vAlign w:val="center"/>
                </w:tcPr>
                <w:p>
                  <w:pPr>
                    <w:pStyle w:val="51"/>
                    <w:widowControl/>
                    <w:shd w:val="clear" w:color="auto" w:fill="FFFFFF"/>
                    <w:spacing w:line="240" w:lineRule="exact"/>
                    <w:ind w:firstLine="0" w:firstLineChars="0"/>
                    <w:jc w:val="center"/>
                    <w:rPr>
                      <w:rFonts w:ascii="华文中宋" w:hAnsi="华文中宋" w:eastAsia="华文中宋"/>
                      <w:sz w:val="18"/>
                      <w:szCs w:val="18"/>
                    </w:rPr>
                  </w:pPr>
                  <w:r>
                    <w:rPr>
                      <w:rFonts w:hint="eastAsia" w:ascii="华文中宋" w:hAnsi="华文中宋" w:eastAsia="华文中宋"/>
                      <w:sz w:val="18"/>
                      <w:szCs w:val="18"/>
                    </w:rPr>
                    <w:t>/</w:t>
                  </w:r>
                </w:p>
              </w:tc>
              <w:tc>
                <w:tcPr>
                  <w:tcW w:w="164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445" w:type="dxa"/>
                  <w:vMerge w:val="continue"/>
                  <w:tcBorders>
                    <w:left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环境风险防控</w:t>
                  </w:r>
                </w:p>
              </w:tc>
              <w:tc>
                <w:tcPr>
                  <w:tcW w:w="6777" w:type="dxa"/>
                  <w:vMerge w:val="continue"/>
                  <w:tcBorders>
                    <w:left w:val="single" w:color="auto" w:sz="4" w:space="0"/>
                    <w:right w:val="single" w:color="auto" w:sz="4" w:space="0"/>
                  </w:tcBorders>
                  <w:vAlign w:val="center"/>
                </w:tcPr>
                <w:p>
                  <w:pPr>
                    <w:spacing w:line="240" w:lineRule="exact"/>
                    <w:jc w:val="center"/>
                    <w:rPr>
                      <w:rFonts w:ascii="华文中宋" w:hAnsi="华文中宋" w:eastAsia="华文中宋"/>
                      <w:sz w:val="18"/>
                      <w:szCs w:val="18"/>
                    </w:rPr>
                  </w:pPr>
                </w:p>
              </w:tc>
              <w:tc>
                <w:tcPr>
                  <w:tcW w:w="164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 w:hRule="atLeast"/>
                <w:jc w:val="center"/>
              </w:trPr>
              <w:tc>
                <w:tcPr>
                  <w:tcW w:w="1445" w:type="dxa"/>
                  <w:vMerge w:val="continue"/>
                  <w:tcBorders>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华文中宋" w:hAnsi="华文中宋" w:eastAsia="华文中宋"/>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bCs/>
                      <w:sz w:val="18"/>
                      <w:szCs w:val="18"/>
                    </w:rPr>
                  </w:pPr>
                  <w:r>
                    <w:rPr>
                      <w:rFonts w:hint="eastAsia" w:ascii="华文中宋" w:hAnsi="华文中宋" w:eastAsia="华文中宋"/>
                      <w:bCs/>
                      <w:sz w:val="18"/>
                      <w:szCs w:val="18"/>
                    </w:rPr>
                    <w:t>资源开发效率要求</w:t>
                  </w:r>
                </w:p>
              </w:tc>
              <w:tc>
                <w:tcPr>
                  <w:tcW w:w="6777" w:type="dxa"/>
                  <w:vMerge w:val="continue"/>
                  <w:tcBorders>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p>
              </w:tc>
              <w:tc>
                <w:tcPr>
                  <w:tcW w:w="164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华文中宋" w:hAnsi="华文中宋" w:eastAsia="华文中宋"/>
                      <w:sz w:val="18"/>
                      <w:szCs w:val="18"/>
                    </w:rPr>
                  </w:pPr>
                  <w:r>
                    <w:rPr>
                      <w:rFonts w:hint="eastAsia" w:ascii="华文中宋" w:hAnsi="华文中宋" w:eastAsia="华文中宋"/>
                      <w:sz w:val="18"/>
                      <w:szCs w:val="18"/>
                    </w:rPr>
                    <w:t>/</w:t>
                  </w:r>
                </w:p>
              </w:tc>
            </w:tr>
          </w:tbl>
          <w:p>
            <w:pPr>
              <w:pStyle w:val="2"/>
              <w:spacing w:after="0" w:line="400" w:lineRule="exact"/>
              <w:rPr>
                <w:rFonts w:eastAsia="黑体"/>
                <w:sz w:val="30"/>
              </w:rPr>
            </w:pPr>
            <w:r>
              <w:rPr>
                <w:rFonts w:hint="eastAsia" w:ascii="宋体" w:hAnsi="宋体"/>
                <w:kern w:val="0"/>
              </w:rPr>
              <w:t>本项目建设符合“三线一单”管控机制要求，项目建设可行。</w:t>
            </w:r>
          </w:p>
        </w:tc>
      </w:tr>
    </w:tbl>
    <w:p>
      <w:pPr>
        <w:spacing w:line="360" w:lineRule="auto"/>
        <w:outlineLvl w:val="0"/>
        <w:rPr>
          <w:rFonts w:eastAsia="黑体"/>
          <w:sz w:val="30"/>
        </w:rPr>
        <w:sectPr>
          <w:pgSz w:w="16838" w:h="11906" w:orient="landscape"/>
          <w:pgMar w:top="1531" w:right="1701" w:bottom="1531" w:left="1701" w:header="851" w:footer="1077" w:gutter="0"/>
          <w:pgNumType w:fmt="numberInDash"/>
          <w:cols w:space="720" w:num="1"/>
          <w:docGrid w:linePitch="312" w:charSpace="0"/>
        </w:sect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6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pPr>
              <w:spacing w:line="360" w:lineRule="auto"/>
              <w:outlineLvl w:val="0"/>
              <w:rPr>
                <w:rFonts w:eastAsia="黑体"/>
                <w:sz w:val="30"/>
              </w:rPr>
            </w:pPr>
          </w:p>
        </w:tc>
        <w:tc>
          <w:tcPr>
            <w:tcW w:w="6746" w:type="dxa"/>
          </w:tcPr>
          <w:p>
            <w:pPr>
              <w:adjustRightInd w:val="0"/>
              <w:snapToGrid w:val="0"/>
              <w:spacing w:line="400" w:lineRule="exact"/>
              <w:ind w:left="-53" w:leftChars="-25" w:right="-53" w:rightChars="-25"/>
              <w:jc w:val="left"/>
              <w:rPr>
                <w:rFonts w:ascii="黑体" w:hAnsi="黑体" w:eastAsia="黑体" w:cs="宋体"/>
                <w:bCs/>
                <w:kern w:val="0"/>
                <w:sz w:val="20"/>
                <w:szCs w:val="21"/>
              </w:rPr>
            </w:pPr>
            <w:r>
              <w:rPr>
                <w:rFonts w:hint="eastAsia" w:ascii="黑体" w:hAnsi="黑体" w:eastAsia="黑体" w:cs="宋体"/>
                <w:bCs/>
                <w:szCs w:val="21"/>
              </w:rPr>
              <w:t>3、与《四川省、重庆市长江经济带发展负面清单实施细则(试行，2022年版）》的符合性分析</w:t>
            </w:r>
          </w:p>
          <w:p>
            <w:pPr>
              <w:autoSpaceDE w:val="0"/>
              <w:autoSpaceDN w:val="0"/>
              <w:adjustRightInd w:val="0"/>
              <w:spacing w:line="400" w:lineRule="exact"/>
              <w:ind w:left="53" w:leftChars="25" w:right="53" w:rightChars="25" w:firstLine="420" w:firstLineChars="200"/>
              <w:jc w:val="left"/>
              <w:rPr>
                <w:rFonts w:ascii="黑体" w:hAnsi="黑体" w:eastAsia="黑体"/>
                <w:szCs w:val="21"/>
              </w:rPr>
            </w:pPr>
            <w:r>
              <w:rPr>
                <w:rFonts w:hint="eastAsia"/>
                <w:bCs/>
                <w:szCs w:val="21"/>
              </w:rPr>
              <w:t>四川省推动长江经济带发展领导小组办公室、重庆市推动长江经济带发展领导小组办公室于2022年8月25日，发布了《关于印发</w:t>
            </w:r>
            <w:r>
              <w:rPr>
                <w:rFonts w:hint="eastAsia" w:ascii="宋体" w:hAnsi="宋体" w:cs="宋体"/>
                <w:bCs/>
                <w:szCs w:val="21"/>
              </w:rPr>
              <w:t>&lt;</w:t>
            </w:r>
            <w:r>
              <w:rPr>
                <w:rFonts w:hint="eastAsia"/>
                <w:bCs/>
                <w:szCs w:val="21"/>
              </w:rPr>
              <w:t>四川省、重庆市长江经济带发展负面清单实施细则(试行，2022年版）</w:t>
            </w:r>
            <w:r>
              <w:rPr>
                <w:rFonts w:hint="eastAsia" w:ascii="宋体" w:hAnsi="宋体" w:cs="宋体"/>
                <w:bCs/>
                <w:szCs w:val="21"/>
              </w:rPr>
              <w:t>&gt;的通知</w:t>
            </w:r>
            <w:r>
              <w:rPr>
                <w:rFonts w:hint="eastAsia"/>
                <w:bCs/>
                <w:szCs w:val="21"/>
              </w:rPr>
              <w:t>》（川长江</w:t>
            </w:r>
            <w:r>
              <w:rPr>
                <w:bCs/>
                <w:szCs w:val="21"/>
              </w:rPr>
              <w:t>办</w:t>
            </w:r>
            <w:r>
              <w:rPr>
                <w:rFonts w:eastAsia="微软雅黑"/>
                <w:bCs/>
                <w:szCs w:val="21"/>
              </w:rPr>
              <w:t>〔2022〕17号</w:t>
            </w:r>
            <w:r>
              <w:rPr>
                <w:bCs/>
                <w:szCs w:val="21"/>
              </w:rPr>
              <w:t>）。</w:t>
            </w:r>
            <w:r>
              <w:rPr>
                <w:rFonts w:hint="eastAsia"/>
                <w:bCs/>
                <w:szCs w:val="21"/>
              </w:rPr>
              <w:t>本项目与《四川省、重庆市长江经济带发展负面清单实施细则(试行，2022年版）》的符合性分析见下表</w:t>
            </w:r>
            <w:r>
              <w:rPr>
                <w:rFonts w:hint="eastAsia" w:cs="宋体"/>
                <w:kern w:val="0"/>
                <w:szCs w:val="21"/>
              </w:rPr>
              <w:t>。</w:t>
            </w:r>
          </w:p>
          <w:p>
            <w:pPr>
              <w:autoSpaceDE w:val="0"/>
              <w:autoSpaceDN w:val="0"/>
              <w:adjustRightInd w:val="0"/>
              <w:spacing w:line="400" w:lineRule="exact"/>
              <w:ind w:left="53" w:leftChars="25" w:right="53" w:rightChars="25"/>
              <w:jc w:val="center"/>
              <w:rPr>
                <w:rFonts w:ascii="黑体" w:hAnsi="黑体" w:eastAsia="黑体"/>
                <w:szCs w:val="21"/>
              </w:rPr>
            </w:pPr>
            <w:r>
              <w:rPr>
                <w:rFonts w:hint="eastAsia"/>
                <w:b/>
                <w:bCs/>
                <w:sz w:val="18"/>
                <w:szCs w:val="18"/>
              </w:rPr>
              <w:t>表1-4  项目与四川省、重庆市长江经济带发展负面清单实施细则(试行，2022年版）的符合性分析</w:t>
            </w:r>
          </w:p>
          <w:tbl>
            <w:tblPr>
              <w:tblStyle w:val="17"/>
              <w:tblW w:w="6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0"/>
              <w:gridCol w:w="3290"/>
              <w:gridCol w:w="2280"/>
              <w:gridCol w:w="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 w:hRule="atLeast"/>
                <w:tblHeader/>
                <w:jc w:val="center"/>
              </w:trPr>
              <w:tc>
                <w:tcPr>
                  <w:tcW w:w="430"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序号</w:t>
                  </w:r>
                </w:p>
              </w:tc>
              <w:tc>
                <w:tcPr>
                  <w:tcW w:w="3290"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《负面清单》原文内容</w:t>
                  </w:r>
                </w:p>
              </w:tc>
              <w:tc>
                <w:tcPr>
                  <w:tcW w:w="2280"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本项目情况</w:t>
                  </w:r>
                </w:p>
              </w:tc>
              <w:tc>
                <w:tcPr>
                  <w:tcW w:w="525"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blHeader/>
                <w:jc w:val="center"/>
              </w:trPr>
              <w:tc>
                <w:tcPr>
                  <w:tcW w:w="430" w:type="dxa"/>
                  <w:tcBorders>
                    <w:top w:val="single" w:color="000000" w:sz="4" w:space="0"/>
                  </w:tcBorders>
                  <w:vAlign w:val="center"/>
                </w:tcPr>
                <w:p>
                  <w:pPr>
                    <w:adjustRightInd w:val="0"/>
                    <w:snapToGrid w:val="0"/>
                    <w:spacing w:line="260" w:lineRule="exact"/>
                    <w:jc w:val="center"/>
                    <w:rPr>
                      <w:sz w:val="15"/>
                      <w:szCs w:val="15"/>
                    </w:rPr>
                  </w:pPr>
                  <w:r>
                    <w:rPr>
                      <w:rFonts w:hint="eastAsia"/>
                      <w:sz w:val="15"/>
                      <w:szCs w:val="15"/>
                    </w:rPr>
                    <w:t>1</w:t>
                  </w:r>
                </w:p>
              </w:tc>
              <w:tc>
                <w:tcPr>
                  <w:tcW w:w="3290" w:type="dxa"/>
                  <w:tcBorders>
                    <w:top w:val="single" w:color="000000" w:sz="4" w:space="0"/>
                  </w:tcBorders>
                  <w:vAlign w:val="center"/>
                </w:tcPr>
                <w:p>
                  <w:pPr>
                    <w:pStyle w:val="14"/>
                    <w:keepNext/>
                    <w:keepLines/>
                    <w:widowControl w:val="0"/>
                    <w:autoSpaceDE w:val="0"/>
                    <w:spacing w:before="0" w:beforeAutospacing="0" w:after="0" w:afterAutospacing="0" w:line="260" w:lineRule="exact"/>
                    <w:rPr>
                      <w:rFonts w:ascii="Times New Roman" w:hAnsi="Times New Roman"/>
                      <w:sz w:val="15"/>
                      <w:szCs w:val="15"/>
                    </w:rPr>
                  </w:pPr>
                  <w:r>
                    <w:rPr>
                      <w:rFonts w:hint="eastAsia" w:ascii="Times New Roman" w:hAnsi="Times New Roman"/>
                      <w:sz w:val="15"/>
                      <w:szCs w:val="15"/>
                    </w:rPr>
                    <w:t>第七条 禁止在自然保护区核心区、缓冲区的岸线和河段范围内投资建设旅游和生产经营项目。自然保护区的内部未分区的，依照核心区和缓冲区的规定管控。</w:t>
                  </w:r>
                </w:p>
              </w:tc>
              <w:tc>
                <w:tcPr>
                  <w:tcW w:w="2280" w:type="dxa"/>
                  <w:tcBorders>
                    <w:top w:val="single" w:color="000000" w:sz="4" w:space="0"/>
                  </w:tcBorders>
                  <w:vAlign w:val="center"/>
                </w:tcPr>
                <w:p>
                  <w:pPr>
                    <w:pStyle w:val="14"/>
                    <w:keepNext/>
                    <w:keepLines/>
                    <w:widowControl w:val="0"/>
                    <w:autoSpaceDE w:val="0"/>
                    <w:spacing w:before="0" w:beforeAutospacing="0" w:after="0" w:afterAutospacing="0" w:line="260" w:lineRule="exact"/>
                    <w:rPr>
                      <w:rFonts w:ascii="Times New Roman" w:hAnsi="Times New Roman"/>
                      <w:sz w:val="15"/>
                      <w:szCs w:val="15"/>
                    </w:rPr>
                  </w:pPr>
                  <w:r>
                    <w:rPr>
                      <w:sz w:val="15"/>
                      <w:szCs w:val="15"/>
                    </w:rPr>
                    <w:t>本项目</w:t>
                  </w:r>
                  <w:r>
                    <w:rPr>
                      <w:rFonts w:hint="eastAsia"/>
                      <w:sz w:val="15"/>
                      <w:szCs w:val="15"/>
                    </w:rPr>
                    <w:t>位于普光化工园区，建设区域不属于自然保护区等生态敏感区。</w:t>
                  </w:r>
                </w:p>
              </w:tc>
              <w:tc>
                <w:tcPr>
                  <w:tcW w:w="525" w:type="dxa"/>
                  <w:tcBorders>
                    <w:top w:val="single" w:color="000000" w:sz="4" w:space="0"/>
                  </w:tcBorders>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blHeader/>
                <w:jc w:val="center"/>
              </w:trPr>
              <w:tc>
                <w:tcPr>
                  <w:tcW w:w="430" w:type="dxa"/>
                  <w:vAlign w:val="center"/>
                </w:tcPr>
                <w:p>
                  <w:pPr>
                    <w:adjustRightInd w:val="0"/>
                    <w:snapToGrid w:val="0"/>
                    <w:spacing w:line="260" w:lineRule="exact"/>
                    <w:jc w:val="center"/>
                    <w:rPr>
                      <w:sz w:val="15"/>
                      <w:szCs w:val="15"/>
                    </w:rPr>
                  </w:pPr>
                  <w:r>
                    <w:rPr>
                      <w:rFonts w:hint="eastAsia"/>
                      <w:sz w:val="15"/>
                      <w:szCs w:val="15"/>
                    </w:rPr>
                    <w:t>2</w:t>
                  </w:r>
                </w:p>
              </w:tc>
              <w:tc>
                <w:tcPr>
                  <w:tcW w:w="3290" w:type="dxa"/>
                  <w:vAlign w:val="center"/>
                </w:tcPr>
                <w:p>
                  <w:pPr>
                    <w:pStyle w:val="14"/>
                    <w:keepNext/>
                    <w:keepLines/>
                    <w:widowControl w:val="0"/>
                    <w:autoSpaceDE w:val="0"/>
                    <w:spacing w:before="0" w:beforeAutospacing="0" w:after="0" w:afterAutospacing="0" w:line="260" w:lineRule="exact"/>
                    <w:rPr>
                      <w:rFonts w:ascii="Times New Roman" w:hAnsi="Times New Roman"/>
                      <w:sz w:val="15"/>
                      <w:szCs w:val="15"/>
                    </w:rPr>
                  </w:pPr>
                  <w:r>
                    <w:rPr>
                      <w:rFonts w:hint="eastAsia" w:ascii="Times New Roman" w:hAnsi="Times New Roman"/>
                      <w:sz w:val="15"/>
                      <w:szCs w:val="15"/>
                    </w:rPr>
                    <w:t>第九条 禁止在饮用水水源准保护区的岸线和河段范围内新建、扩建对水体污染严重的建设项目，禁止改建增加排污量的建设项目。</w:t>
                  </w:r>
                </w:p>
              </w:tc>
              <w:tc>
                <w:tcPr>
                  <w:tcW w:w="2280" w:type="dxa"/>
                  <w:vAlign w:val="center"/>
                </w:tcPr>
                <w:p>
                  <w:pPr>
                    <w:pStyle w:val="14"/>
                    <w:keepNext/>
                    <w:keepLines/>
                    <w:widowControl w:val="0"/>
                    <w:autoSpaceDE w:val="0"/>
                    <w:spacing w:before="0" w:beforeAutospacing="0" w:after="0" w:afterAutospacing="0" w:line="260" w:lineRule="exact"/>
                    <w:rPr>
                      <w:rFonts w:ascii="Times New Roman" w:hAnsi="Times New Roman"/>
                      <w:sz w:val="15"/>
                      <w:szCs w:val="15"/>
                    </w:rPr>
                  </w:pPr>
                  <w:r>
                    <w:rPr>
                      <w:sz w:val="15"/>
                      <w:szCs w:val="15"/>
                    </w:rPr>
                    <w:t>本项目</w:t>
                  </w:r>
                  <w:r>
                    <w:rPr>
                      <w:rFonts w:hint="eastAsia"/>
                      <w:sz w:val="15"/>
                      <w:szCs w:val="15"/>
                    </w:rPr>
                    <w:t>位于普光化工园区，区域属于后河流域范围。园区内有一条小河沟（金银河）流过，由童家湾处汇入后河，小河沟位于项目东南面约1.62km。建设区域不属于饮用水源保护区范围。</w:t>
                  </w:r>
                </w:p>
              </w:tc>
              <w:tc>
                <w:tcPr>
                  <w:tcW w:w="525"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tblHeader/>
                <w:jc w:val="center"/>
              </w:trPr>
              <w:tc>
                <w:tcPr>
                  <w:tcW w:w="430" w:type="dxa"/>
                  <w:vAlign w:val="center"/>
                </w:tcPr>
                <w:p>
                  <w:pPr>
                    <w:adjustRightInd w:val="0"/>
                    <w:snapToGrid w:val="0"/>
                    <w:spacing w:line="260" w:lineRule="exact"/>
                    <w:jc w:val="center"/>
                    <w:rPr>
                      <w:sz w:val="15"/>
                      <w:szCs w:val="15"/>
                    </w:rPr>
                  </w:pPr>
                  <w:r>
                    <w:rPr>
                      <w:rFonts w:hint="eastAsia"/>
                      <w:sz w:val="15"/>
                      <w:szCs w:val="15"/>
                    </w:rPr>
                    <w:t>3</w:t>
                  </w:r>
                </w:p>
              </w:tc>
              <w:tc>
                <w:tcPr>
                  <w:tcW w:w="3290" w:type="dxa"/>
                  <w:vAlign w:val="center"/>
                </w:tcPr>
                <w:p>
                  <w:pPr>
                    <w:pStyle w:val="14"/>
                    <w:keepNext/>
                    <w:keepLines/>
                    <w:widowControl w:val="0"/>
                    <w:autoSpaceDE w:val="0"/>
                    <w:spacing w:before="0" w:beforeAutospacing="0" w:after="0" w:afterAutospacing="0" w:line="260" w:lineRule="exact"/>
                    <w:rPr>
                      <w:rFonts w:ascii="Times New Roman" w:hAnsi="Times New Roman"/>
                      <w:sz w:val="15"/>
                      <w:szCs w:val="15"/>
                    </w:rPr>
                  </w:pPr>
                  <w:r>
                    <w:rPr>
                      <w:rFonts w:hint="eastAsia" w:ascii="Times New Roman" w:hAnsi="Times New Roman"/>
                      <w:sz w:val="15"/>
                      <w:szCs w:val="15"/>
                    </w:rPr>
                    <w:t>第十八条 禁止在长江干支流、重要湖泊岸线一公里范围内新建、扩建化工园区和化工项目。</w:t>
                  </w:r>
                </w:p>
              </w:tc>
              <w:tc>
                <w:tcPr>
                  <w:tcW w:w="2280" w:type="dxa"/>
                  <w:vAlign w:val="center"/>
                </w:tcPr>
                <w:p>
                  <w:pPr>
                    <w:pStyle w:val="14"/>
                    <w:keepNext/>
                    <w:keepLines/>
                    <w:widowControl w:val="0"/>
                    <w:autoSpaceDE w:val="0"/>
                    <w:spacing w:before="0" w:beforeAutospacing="0" w:after="0" w:afterAutospacing="0" w:line="260" w:lineRule="exact"/>
                    <w:rPr>
                      <w:rFonts w:ascii="Times New Roman" w:hAnsi="Times New Roman"/>
                      <w:sz w:val="15"/>
                      <w:szCs w:val="15"/>
                    </w:rPr>
                  </w:pPr>
                  <w:r>
                    <w:rPr>
                      <w:sz w:val="15"/>
                      <w:szCs w:val="15"/>
                    </w:rPr>
                    <w:t>本项目</w:t>
                  </w:r>
                  <w:r>
                    <w:rPr>
                      <w:rFonts w:hint="eastAsia"/>
                      <w:sz w:val="15"/>
                      <w:szCs w:val="15"/>
                    </w:rPr>
                    <w:t>不属于化工项目</w:t>
                  </w:r>
                </w:p>
              </w:tc>
              <w:tc>
                <w:tcPr>
                  <w:tcW w:w="525"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blHeader/>
                <w:jc w:val="center"/>
              </w:trPr>
              <w:tc>
                <w:tcPr>
                  <w:tcW w:w="430" w:type="dxa"/>
                  <w:vAlign w:val="center"/>
                </w:tcPr>
                <w:p>
                  <w:pPr>
                    <w:adjustRightInd w:val="0"/>
                    <w:snapToGrid w:val="0"/>
                    <w:spacing w:line="260" w:lineRule="exact"/>
                    <w:jc w:val="center"/>
                    <w:rPr>
                      <w:sz w:val="15"/>
                      <w:szCs w:val="15"/>
                    </w:rPr>
                  </w:pPr>
                  <w:r>
                    <w:rPr>
                      <w:rFonts w:hint="eastAsia"/>
                      <w:sz w:val="15"/>
                      <w:szCs w:val="15"/>
                    </w:rPr>
                    <w:t>4</w:t>
                  </w:r>
                </w:p>
              </w:tc>
              <w:tc>
                <w:tcPr>
                  <w:tcW w:w="3290" w:type="dxa"/>
                  <w:vAlign w:val="center"/>
                </w:tcPr>
                <w:p>
                  <w:pPr>
                    <w:pStyle w:val="14"/>
                    <w:keepNext/>
                    <w:keepLines/>
                    <w:widowControl w:val="0"/>
                    <w:autoSpaceDE w:val="0"/>
                    <w:spacing w:before="0" w:beforeAutospacing="0" w:after="0" w:afterAutospacing="0" w:line="260" w:lineRule="exact"/>
                    <w:rPr>
                      <w:rFonts w:ascii="Times New Roman" w:hAnsi="Times New Roman"/>
                      <w:sz w:val="15"/>
                      <w:szCs w:val="15"/>
                    </w:rPr>
                  </w:pPr>
                  <w:r>
                    <w:rPr>
                      <w:rFonts w:hint="eastAsia" w:ascii="Times New Roman" w:hAnsi="Times New Roman"/>
                      <w:sz w:val="15"/>
                      <w:szCs w:val="15"/>
                    </w:rPr>
                    <w:t>第十九条 禁止在长江干流岸线三公里范围内和重要支流岸线一公里范围内新建、改建、扩建尾矿库、冶炼渣库、磷石膏库，以提升安全、生态环境保护水平为目的的改建除外。</w:t>
                  </w:r>
                </w:p>
              </w:tc>
              <w:tc>
                <w:tcPr>
                  <w:tcW w:w="2280" w:type="dxa"/>
                </w:tcPr>
                <w:p>
                  <w:pPr>
                    <w:pStyle w:val="14"/>
                    <w:keepNext/>
                    <w:keepLines/>
                    <w:widowControl w:val="0"/>
                    <w:autoSpaceDE w:val="0"/>
                    <w:spacing w:before="0" w:beforeAutospacing="0" w:after="0" w:afterAutospacing="0" w:line="260" w:lineRule="exact"/>
                    <w:rPr>
                      <w:rFonts w:ascii="Times New Roman" w:hAnsi="Times New Roman"/>
                      <w:sz w:val="15"/>
                      <w:szCs w:val="15"/>
                    </w:rPr>
                  </w:pPr>
                  <w:r>
                    <w:rPr>
                      <w:sz w:val="15"/>
                      <w:szCs w:val="15"/>
                    </w:rPr>
                    <w:t>本项目</w:t>
                  </w:r>
                  <w:r>
                    <w:rPr>
                      <w:rFonts w:hint="eastAsia"/>
                      <w:sz w:val="15"/>
                      <w:szCs w:val="15"/>
                    </w:rPr>
                    <w:t>为天然气输气管道工程，不涉及建设</w:t>
                  </w:r>
                  <w:r>
                    <w:rPr>
                      <w:rFonts w:hint="eastAsia" w:ascii="Times New Roman" w:hAnsi="Times New Roman"/>
                      <w:sz w:val="15"/>
                      <w:szCs w:val="15"/>
                    </w:rPr>
                    <w:t>尾矿库、冶炼渣库、磷石膏库等</w:t>
                  </w:r>
                </w:p>
              </w:tc>
              <w:tc>
                <w:tcPr>
                  <w:tcW w:w="525"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tblHeader/>
                <w:jc w:val="center"/>
              </w:trPr>
              <w:tc>
                <w:tcPr>
                  <w:tcW w:w="430" w:type="dxa"/>
                  <w:vAlign w:val="center"/>
                </w:tcPr>
                <w:p>
                  <w:pPr>
                    <w:adjustRightInd w:val="0"/>
                    <w:snapToGrid w:val="0"/>
                    <w:spacing w:line="260" w:lineRule="exact"/>
                    <w:jc w:val="center"/>
                    <w:rPr>
                      <w:sz w:val="15"/>
                      <w:szCs w:val="15"/>
                    </w:rPr>
                  </w:pPr>
                  <w:r>
                    <w:rPr>
                      <w:rFonts w:hint="eastAsia"/>
                      <w:sz w:val="15"/>
                      <w:szCs w:val="15"/>
                    </w:rPr>
                    <w:t>5</w:t>
                  </w:r>
                </w:p>
              </w:tc>
              <w:tc>
                <w:tcPr>
                  <w:tcW w:w="3290" w:type="dxa"/>
                  <w:vAlign w:val="center"/>
                </w:tcPr>
                <w:p>
                  <w:pPr>
                    <w:pStyle w:val="14"/>
                    <w:keepNext/>
                    <w:keepLines/>
                    <w:widowControl w:val="0"/>
                    <w:autoSpaceDE w:val="0"/>
                    <w:spacing w:before="0" w:beforeAutospacing="0" w:after="0" w:afterAutospacing="0" w:line="260" w:lineRule="exact"/>
                    <w:rPr>
                      <w:rFonts w:ascii="Times New Roman" w:hAnsi="Times New Roman"/>
                      <w:sz w:val="15"/>
                      <w:szCs w:val="15"/>
                    </w:rPr>
                  </w:pPr>
                  <w:r>
                    <w:rPr>
                      <w:rFonts w:hint="eastAsia" w:ascii="Times New Roman" w:hAnsi="Times New Roman"/>
                      <w:sz w:val="15"/>
                      <w:szCs w:val="15"/>
                    </w:rPr>
                    <w:t>第二十一条禁止在合规园区外新建、扩建钢铁、石化、化工、焦化、建材、有色、制浆造纸等高污染项目。</w:t>
                  </w:r>
                </w:p>
              </w:tc>
              <w:tc>
                <w:tcPr>
                  <w:tcW w:w="2280" w:type="dxa"/>
                </w:tcPr>
                <w:p>
                  <w:pPr>
                    <w:pStyle w:val="14"/>
                    <w:keepNext/>
                    <w:keepLines/>
                    <w:widowControl w:val="0"/>
                    <w:autoSpaceDE w:val="0"/>
                    <w:spacing w:before="0" w:beforeAutospacing="0" w:after="0" w:afterAutospacing="0" w:line="260" w:lineRule="exact"/>
                    <w:rPr>
                      <w:sz w:val="15"/>
                      <w:szCs w:val="15"/>
                    </w:rPr>
                  </w:pPr>
                  <w:r>
                    <w:rPr>
                      <w:rFonts w:hint="eastAsia"/>
                      <w:sz w:val="15"/>
                      <w:szCs w:val="15"/>
                    </w:rPr>
                    <w:t>本项目不属于</w:t>
                  </w:r>
                  <w:r>
                    <w:rPr>
                      <w:rFonts w:hint="eastAsia" w:ascii="Times New Roman" w:hAnsi="Times New Roman"/>
                      <w:sz w:val="15"/>
                      <w:szCs w:val="15"/>
                    </w:rPr>
                    <w:t>钢铁、石化、化工、焦化、建材、有色、制浆造纸等高污染项目</w:t>
                  </w:r>
                </w:p>
              </w:tc>
              <w:tc>
                <w:tcPr>
                  <w:tcW w:w="525"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tblHeader/>
                <w:jc w:val="center"/>
              </w:trPr>
              <w:tc>
                <w:tcPr>
                  <w:tcW w:w="430" w:type="dxa"/>
                  <w:vAlign w:val="center"/>
                </w:tcPr>
                <w:p>
                  <w:pPr>
                    <w:adjustRightInd w:val="0"/>
                    <w:snapToGrid w:val="0"/>
                    <w:spacing w:line="260" w:lineRule="exact"/>
                    <w:jc w:val="center"/>
                    <w:rPr>
                      <w:sz w:val="15"/>
                      <w:szCs w:val="15"/>
                    </w:rPr>
                  </w:pPr>
                  <w:r>
                    <w:rPr>
                      <w:rFonts w:hint="eastAsia"/>
                      <w:sz w:val="15"/>
                      <w:szCs w:val="15"/>
                    </w:rPr>
                    <w:t>6</w:t>
                  </w:r>
                </w:p>
              </w:tc>
              <w:tc>
                <w:tcPr>
                  <w:tcW w:w="3290" w:type="dxa"/>
                  <w:vAlign w:val="center"/>
                </w:tcPr>
                <w:p>
                  <w:pPr>
                    <w:pStyle w:val="14"/>
                    <w:keepNext/>
                    <w:keepLines/>
                    <w:widowControl w:val="0"/>
                    <w:autoSpaceDE w:val="0"/>
                    <w:spacing w:before="0" w:beforeAutospacing="0" w:after="0" w:afterAutospacing="0" w:line="260" w:lineRule="exact"/>
                    <w:rPr>
                      <w:rFonts w:ascii="Times New Roman" w:hAnsi="Times New Roman"/>
                      <w:sz w:val="15"/>
                      <w:szCs w:val="15"/>
                    </w:rPr>
                  </w:pPr>
                  <w:r>
                    <w:rPr>
                      <w:rFonts w:hint="eastAsia" w:ascii="Times New Roman" w:hAnsi="Times New Roman"/>
                      <w:sz w:val="15"/>
                      <w:szCs w:val="15"/>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280" w:type="dxa"/>
                </w:tcPr>
                <w:p>
                  <w:pPr>
                    <w:pStyle w:val="14"/>
                    <w:keepNext/>
                    <w:keepLines/>
                    <w:widowControl w:val="0"/>
                    <w:autoSpaceDE w:val="0"/>
                    <w:spacing w:before="0" w:beforeAutospacing="0" w:after="0" w:afterAutospacing="0" w:line="260" w:lineRule="exact"/>
                    <w:rPr>
                      <w:sz w:val="15"/>
                      <w:szCs w:val="15"/>
                    </w:rPr>
                  </w:pPr>
                  <w:r>
                    <w:rPr>
                      <w:rFonts w:hint="eastAsia"/>
                      <w:sz w:val="15"/>
                      <w:szCs w:val="15"/>
                    </w:rPr>
                    <w:t>本项目符合国家现行产业政策，已取得核准立项手续。</w:t>
                  </w:r>
                </w:p>
              </w:tc>
              <w:tc>
                <w:tcPr>
                  <w:tcW w:w="525"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blHeader/>
                <w:jc w:val="center"/>
              </w:trPr>
              <w:tc>
                <w:tcPr>
                  <w:tcW w:w="430" w:type="dxa"/>
                  <w:vAlign w:val="center"/>
                </w:tcPr>
                <w:p>
                  <w:pPr>
                    <w:adjustRightInd w:val="0"/>
                    <w:snapToGrid w:val="0"/>
                    <w:spacing w:line="260" w:lineRule="exact"/>
                    <w:jc w:val="center"/>
                    <w:rPr>
                      <w:sz w:val="15"/>
                      <w:szCs w:val="15"/>
                    </w:rPr>
                  </w:pPr>
                  <w:r>
                    <w:rPr>
                      <w:rFonts w:hint="eastAsia"/>
                      <w:sz w:val="15"/>
                      <w:szCs w:val="15"/>
                    </w:rPr>
                    <w:t>7</w:t>
                  </w:r>
                </w:p>
              </w:tc>
              <w:tc>
                <w:tcPr>
                  <w:tcW w:w="3290" w:type="dxa"/>
                  <w:vAlign w:val="center"/>
                </w:tcPr>
                <w:p>
                  <w:pPr>
                    <w:pStyle w:val="14"/>
                    <w:keepNext/>
                    <w:keepLines/>
                    <w:widowControl w:val="0"/>
                    <w:autoSpaceDE w:val="0"/>
                    <w:spacing w:before="0" w:beforeAutospacing="0" w:after="0" w:afterAutospacing="0" w:line="280" w:lineRule="exact"/>
                    <w:rPr>
                      <w:rFonts w:ascii="Times New Roman" w:hAnsi="Times New Roman"/>
                      <w:sz w:val="15"/>
                      <w:szCs w:val="15"/>
                    </w:rPr>
                  </w:pPr>
                  <w:r>
                    <w:rPr>
                      <w:rFonts w:hint="eastAsia" w:ascii="Times New Roman" w:hAnsi="Times New Roman"/>
                      <w:sz w:val="15"/>
                      <w:szCs w:val="15"/>
                    </w:rPr>
                    <w:t>第二十四条 禁止新建、扩建不符合国家产能置换要求的严重过剩产能行业的项目。对于不符合国家产能置换要求的严重过剩产能行业，不得以其他任何名义、任何方式备案新增产能项目。</w:t>
                  </w:r>
                </w:p>
              </w:tc>
              <w:tc>
                <w:tcPr>
                  <w:tcW w:w="2280" w:type="dxa"/>
                </w:tcPr>
                <w:p>
                  <w:pPr>
                    <w:pStyle w:val="14"/>
                    <w:keepNext/>
                    <w:keepLines/>
                    <w:widowControl w:val="0"/>
                    <w:autoSpaceDE w:val="0"/>
                    <w:spacing w:before="0" w:beforeAutospacing="0" w:after="0" w:afterAutospacing="0" w:line="280" w:lineRule="exact"/>
                    <w:rPr>
                      <w:sz w:val="15"/>
                      <w:szCs w:val="15"/>
                    </w:rPr>
                  </w:pPr>
                  <w:r>
                    <w:rPr>
                      <w:rFonts w:hint="eastAsia"/>
                      <w:sz w:val="15"/>
                      <w:szCs w:val="15"/>
                    </w:rPr>
                    <w:t>本项目为天然气输气管道工程，不属于</w:t>
                  </w:r>
                  <w:r>
                    <w:rPr>
                      <w:rFonts w:hint="eastAsia" w:ascii="Times New Roman" w:hAnsi="Times New Roman"/>
                      <w:sz w:val="15"/>
                      <w:szCs w:val="15"/>
                    </w:rPr>
                    <w:t>国家产能置换要求的严重过剩产能行业的项目</w:t>
                  </w:r>
                </w:p>
              </w:tc>
              <w:tc>
                <w:tcPr>
                  <w:tcW w:w="525"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 w:hRule="atLeast"/>
                <w:tblHeader/>
                <w:jc w:val="center"/>
              </w:trPr>
              <w:tc>
                <w:tcPr>
                  <w:tcW w:w="430" w:type="dxa"/>
                  <w:vAlign w:val="center"/>
                </w:tcPr>
                <w:p>
                  <w:pPr>
                    <w:adjustRightInd w:val="0"/>
                    <w:snapToGrid w:val="0"/>
                    <w:spacing w:line="260" w:lineRule="exact"/>
                    <w:jc w:val="center"/>
                    <w:rPr>
                      <w:sz w:val="15"/>
                      <w:szCs w:val="15"/>
                    </w:rPr>
                  </w:pPr>
                  <w:r>
                    <w:rPr>
                      <w:rFonts w:hint="eastAsia"/>
                      <w:sz w:val="15"/>
                      <w:szCs w:val="15"/>
                    </w:rPr>
                    <w:t>8</w:t>
                  </w:r>
                </w:p>
              </w:tc>
              <w:tc>
                <w:tcPr>
                  <w:tcW w:w="3290" w:type="dxa"/>
                  <w:vAlign w:val="center"/>
                </w:tcPr>
                <w:p>
                  <w:pPr>
                    <w:pStyle w:val="14"/>
                    <w:keepNext/>
                    <w:keepLines/>
                    <w:widowControl w:val="0"/>
                    <w:autoSpaceDE w:val="0"/>
                    <w:spacing w:before="0" w:beforeAutospacing="0" w:after="0" w:afterAutospacing="0" w:line="280" w:lineRule="exact"/>
                    <w:rPr>
                      <w:rFonts w:ascii="Times New Roman" w:hAnsi="Times New Roman"/>
                      <w:sz w:val="15"/>
                      <w:szCs w:val="15"/>
                    </w:rPr>
                  </w:pPr>
                  <w:r>
                    <w:rPr>
                      <w:rFonts w:hint="eastAsia" w:ascii="Times New Roman" w:hAnsi="Times New Roman"/>
                      <w:sz w:val="15"/>
                      <w:szCs w:val="15"/>
                    </w:rPr>
                    <w:t>第二十六条 禁止新建、扩建不符合要求的高耗能、高排放、低水平项目。</w:t>
                  </w:r>
                </w:p>
              </w:tc>
              <w:tc>
                <w:tcPr>
                  <w:tcW w:w="2280" w:type="dxa"/>
                </w:tcPr>
                <w:p>
                  <w:pPr>
                    <w:pStyle w:val="14"/>
                    <w:keepNext/>
                    <w:keepLines/>
                    <w:widowControl w:val="0"/>
                    <w:autoSpaceDE w:val="0"/>
                    <w:spacing w:before="0" w:beforeAutospacing="0" w:after="0" w:afterAutospacing="0" w:line="280" w:lineRule="exact"/>
                    <w:rPr>
                      <w:sz w:val="15"/>
                      <w:szCs w:val="15"/>
                    </w:rPr>
                  </w:pPr>
                  <w:r>
                    <w:rPr>
                      <w:rFonts w:hint="eastAsia"/>
                      <w:sz w:val="15"/>
                      <w:szCs w:val="15"/>
                    </w:rPr>
                    <w:t>本项目营运期耗能主要为电能，正常情况下不排放大气污染物，不属于高耗能、高排放、低水平项目</w:t>
                  </w:r>
                </w:p>
              </w:tc>
              <w:tc>
                <w:tcPr>
                  <w:tcW w:w="525" w:type="dxa"/>
                  <w:vAlign w:val="center"/>
                </w:tcPr>
                <w:p>
                  <w:pPr>
                    <w:adjustRightInd w:val="0"/>
                    <w:snapToGrid w:val="0"/>
                    <w:spacing w:line="260" w:lineRule="exact"/>
                    <w:jc w:val="center"/>
                    <w:rPr>
                      <w:sz w:val="15"/>
                      <w:szCs w:val="15"/>
                    </w:rPr>
                  </w:pPr>
                  <w:r>
                    <w:rPr>
                      <w:rFonts w:hint="eastAsia"/>
                      <w:sz w:val="15"/>
                      <w:szCs w:val="15"/>
                    </w:rPr>
                    <w:t>符合</w:t>
                  </w:r>
                </w:p>
              </w:tc>
            </w:tr>
          </w:tbl>
          <w:p>
            <w:pPr>
              <w:autoSpaceDE w:val="0"/>
              <w:autoSpaceDN w:val="0"/>
              <w:adjustRightInd w:val="0"/>
              <w:spacing w:line="400" w:lineRule="exact"/>
              <w:ind w:left="53" w:leftChars="25" w:right="53" w:rightChars="25"/>
              <w:jc w:val="left"/>
              <w:rPr>
                <w:rFonts w:ascii="黑体" w:hAnsi="黑体" w:eastAsia="黑体"/>
                <w:bCs/>
                <w:szCs w:val="21"/>
                <w:lang w:val="zh-CN"/>
              </w:rPr>
            </w:pPr>
            <w:r>
              <w:rPr>
                <w:rFonts w:ascii="黑体" w:hAnsi="黑体" w:eastAsia="黑体"/>
                <w:szCs w:val="21"/>
              </w:rPr>
              <w:t>4</w:t>
            </w:r>
            <w:r>
              <w:rPr>
                <w:rFonts w:hint="eastAsia" w:ascii="黑体" w:hAnsi="黑体" w:eastAsia="黑体"/>
                <w:szCs w:val="21"/>
                <w:lang w:val="zh-CN"/>
              </w:rPr>
              <w:t>、</w:t>
            </w:r>
            <w:r>
              <w:rPr>
                <w:rFonts w:hint="eastAsia" w:ascii="黑体" w:hAnsi="黑体" w:eastAsia="黑体"/>
                <w:bCs/>
                <w:szCs w:val="21"/>
                <w:lang w:val="zh-CN"/>
              </w:rPr>
              <w:t>与《输气管道工程设计规范》（GB50251-2015）符合性分析</w:t>
            </w:r>
          </w:p>
          <w:p>
            <w:pPr>
              <w:autoSpaceDE w:val="0"/>
              <w:autoSpaceDN w:val="0"/>
              <w:adjustRightInd w:val="0"/>
              <w:snapToGrid w:val="0"/>
              <w:spacing w:line="400" w:lineRule="exact"/>
              <w:ind w:left="53" w:leftChars="25" w:right="53" w:rightChars="25" w:firstLine="420" w:firstLineChars="200"/>
              <w:rPr>
                <w:szCs w:val="21"/>
                <w:lang w:val="zh-CN"/>
              </w:rPr>
            </w:pPr>
            <w:r>
              <w:rPr>
                <w:rFonts w:hint="eastAsia"/>
                <w:szCs w:val="21"/>
                <w:lang w:val="zh-CN"/>
              </w:rPr>
              <w:t>本项目与《输气管道工程设计规范》（GB50251-2015）的符合性分析见</w:t>
            </w:r>
            <w:r>
              <w:rPr>
                <w:rFonts w:hint="eastAsia"/>
                <w:szCs w:val="21"/>
              </w:rPr>
              <w:t>下表</w:t>
            </w:r>
            <w:r>
              <w:rPr>
                <w:rFonts w:hint="eastAsia"/>
                <w:szCs w:val="21"/>
                <w:lang w:val="zh-CN"/>
              </w:rPr>
              <w:t>。</w:t>
            </w:r>
          </w:p>
          <w:p>
            <w:pPr>
              <w:tabs>
                <w:tab w:val="left" w:pos="3653"/>
              </w:tabs>
              <w:autoSpaceDE w:val="0"/>
              <w:autoSpaceDN w:val="0"/>
              <w:adjustRightInd w:val="0"/>
              <w:spacing w:line="280" w:lineRule="exact"/>
              <w:jc w:val="center"/>
              <w:rPr>
                <w:rFonts w:eastAsia="黑体"/>
                <w:kern w:val="0"/>
                <w:sz w:val="16"/>
                <w:szCs w:val="22"/>
              </w:rPr>
            </w:pPr>
            <w:r>
              <w:rPr>
                <w:rFonts w:hint="eastAsia" w:eastAsia="黑体"/>
                <w:kern w:val="0"/>
                <w:sz w:val="16"/>
                <w:szCs w:val="22"/>
              </w:rPr>
              <w:t xml:space="preserve">表1-5   </w:t>
            </w:r>
            <w:r>
              <w:rPr>
                <w:rFonts w:hint="eastAsia" w:eastAsia="黑体"/>
                <w:kern w:val="0"/>
                <w:sz w:val="16"/>
                <w:szCs w:val="22"/>
                <w:lang w:val="zh-CN"/>
              </w:rPr>
              <w:t>与“输气管道工程设计规范”的</w:t>
            </w:r>
            <w:r>
              <w:rPr>
                <w:rFonts w:hint="eastAsia" w:eastAsia="黑体"/>
                <w:kern w:val="0"/>
                <w:sz w:val="16"/>
                <w:szCs w:val="22"/>
              </w:rPr>
              <w:t>符合性分析</w:t>
            </w:r>
          </w:p>
          <w:tbl>
            <w:tblPr>
              <w:tblStyle w:val="17"/>
              <w:tblW w:w="63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
              <w:gridCol w:w="2409"/>
              <w:gridCol w:w="2676"/>
              <w:gridCol w:w="8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 w:hRule="atLeast"/>
                <w:jc w:val="center"/>
              </w:trPr>
              <w:tc>
                <w:tcPr>
                  <w:tcW w:w="425" w:type="dxa"/>
                  <w:vAlign w:val="center"/>
                </w:tcPr>
                <w:p>
                  <w:pPr>
                    <w:pStyle w:val="54"/>
                    <w:autoSpaceDE w:val="0"/>
                    <w:spacing w:before="0" w:beforeAutospacing="0" w:line="240" w:lineRule="exact"/>
                    <w:jc w:val="center"/>
                    <w:rPr>
                      <w:rFonts w:ascii="Times New Roman" w:hAnsi="Times New Roman"/>
                      <w:b/>
                      <w:bCs/>
                      <w:sz w:val="15"/>
                      <w:szCs w:val="15"/>
                    </w:rPr>
                  </w:pPr>
                  <w:r>
                    <w:rPr>
                      <w:rFonts w:hint="eastAsia" w:ascii="Times New Roman" w:hAnsi="Times New Roman"/>
                      <w:b/>
                      <w:bCs/>
                      <w:sz w:val="15"/>
                      <w:szCs w:val="15"/>
                    </w:rPr>
                    <w:t>序号</w:t>
                  </w:r>
                </w:p>
              </w:tc>
              <w:tc>
                <w:tcPr>
                  <w:tcW w:w="2409" w:type="dxa"/>
                  <w:vAlign w:val="center"/>
                </w:tcPr>
                <w:p>
                  <w:pPr>
                    <w:pStyle w:val="54"/>
                    <w:autoSpaceDE w:val="0"/>
                    <w:spacing w:before="0" w:beforeAutospacing="0" w:line="240" w:lineRule="exact"/>
                    <w:jc w:val="center"/>
                    <w:rPr>
                      <w:rFonts w:ascii="Times New Roman" w:hAnsi="Times New Roman"/>
                      <w:b/>
                      <w:bCs/>
                      <w:sz w:val="15"/>
                      <w:szCs w:val="15"/>
                    </w:rPr>
                  </w:pPr>
                  <w:r>
                    <w:rPr>
                      <w:rFonts w:ascii="Times New Roman" w:hAnsi="Times New Roman"/>
                      <w:b/>
                      <w:bCs/>
                      <w:sz w:val="15"/>
                      <w:szCs w:val="15"/>
                    </w:rPr>
                    <w:t>规范要求</w:t>
                  </w:r>
                </w:p>
              </w:tc>
              <w:tc>
                <w:tcPr>
                  <w:tcW w:w="2676" w:type="dxa"/>
                  <w:vAlign w:val="center"/>
                </w:tcPr>
                <w:p>
                  <w:pPr>
                    <w:pStyle w:val="54"/>
                    <w:autoSpaceDE w:val="0"/>
                    <w:spacing w:before="0" w:beforeAutospacing="0" w:line="240" w:lineRule="exact"/>
                    <w:jc w:val="center"/>
                    <w:rPr>
                      <w:rFonts w:ascii="Times New Roman" w:hAnsi="Times New Roman"/>
                      <w:b/>
                      <w:bCs/>
                      <w:sz w:val="15"/>
                      <w:szCs w:val="15"/>
                    </w:rPr>
                  </w:pPr>
                  <w:r>
                    <w:rPr>
                      <w:rFonts w:ascii="Times New Roman" w:hAnsi="Times New Roman"/>
                      <w:b/>
                      <w:bCs/>
                      <w:sz w:val="15"/>
                      <w:szCs w:val="15"/>
                    </w:rPr>
                    <w:t>本项目情况</w:t>
                  </w:r>
                </w:p>
              </w:tc>
              <w:tc>
                <w:tcPr>
                  <w:tcW w:w="888" w:type="dxa"/>
                  <w:vAlign w:val="center"/>
                </w:tcPr>
                <w:p>
                  <w:pPr>
                    <w:pStyle w:val="54"/>
                    <w:autoSpaceDE w:val="0"/>
                    <w:spacing w:before="0" w:beforeAutospacing="0" w:line="240" w:lineRule="exact"/>
                    <w:jc w:val="center"/>
                    <w:rPr>
                      <w:rFonts w:ascii="Times New Roman" w:hAnsi="Times New Roman"/>
                      <w:b/>
                      <w:bCs/>
                      <w:sz w:val="15"/>
                      <w:szCs w:val="15"/>
                    </w:rPr>
                  </w:pPr>
                  <w:r>
                    <w:rPr>
                      <w:rFonts w:ascii="Times New Roman" w:hAnsi="Times New Roman"/>
                      <w:b/>
                      <w:bCs/>
                      <w:sz w:val="15"/>
                      <w:szCs w:val="15"/>
                    </w:rPr>
                    <w:t>符合分析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 w:hRule="atLeast"/>
                <w:jc w:val="center"/>
              </w:trPr>
              <w:tc>
                <w:tcPr>
                  <w:tcW w:w="425"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eastAsia="Calibri"/>
                      <w:sz w:val="15"/>
                      <w:szCs w:val="15"/>
                    </w:rPr>
                    <w:t>1</w:t>
                  </w:r>
                </w:p>
              </w:tc>
              <w:tc>
                <w:tcPr>
                  <w:tcW w:w="2409"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4.1.1线路走向应根据工程建设目的和气源、市场分布，结合沿线城镇、交通、水利、矿产资源和环境敏感区的现状与规划，以及沿 途地区的地形、地质、水文、气象、地震等自然条件，通过综合分析和多方案技术经济比较，确定线路总体走向</w:t>
                  </w:r>
                </w:p>
              </w:tc>
              <w:tc>
                <w:tcPr>
                  <w:tcW w:w="2676"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气源管道在中石化普光配气站接管后，向西方向沿石化路东一段（X028）北侧敷设约0.7km后，折向北穿越小河，穿越小河后继续向北敷设约0.1km，然后转向西敷设普光化工园规划边界东侧，然后转向北沿普光化工园规划道路东侧敷设1.4km，最后转向西侧继续沿规划道路北侧敷设约3.2km到达新建普光化工配气站，线路总长度约6km，其中起点段约1.5km位于化工园规划区绿地范围内。根据宣汉县自然资源局复函：“经核实，该项目位于普光化工园区内，涉及普光镇场镇规划，不涉及生态保护红线和任何自然保护地，该项目范围内无永久基本农田，与四川省达州市宣汉地区富钾卤水勘查和天然气勘查开采项目存在平面重叠，请你单位按相关要求做好压覆矿调查工作，原则同意该项目路径选址方案”。项目管线途径区域无高后果区、采气井场及采矿区作业区。下游供气管网主要沿园区既有道路或规划道路敷设，符合要求和规划</w:t>
                  </w:r>
                </w:p>
              </w:tc>
              <w:tc>
                <w:tcPr>
                  <w:tcW w:w="888"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sz w:val="15"/>
                      <w:szCs w:val="15"/>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 w:hRule="atLeast"/>
                <w:jc w:val="center"/>
              </w:trPr>
              <w:tc>
                <w:tcPr>
                  <w:tcW w:w="425"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eastAsia="Calibri"/>
                      <w:sz w:val="15"/>
                      <w:szCs w:val="15"/>
                    </w:rPr>
                    <w:t>2</w:t>
                  </w:r>
                </w:p>
              </w:tc>
              <w:tc>
                <w:tcPr>
                  <w:tcW w:w="2409"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4.1.2线路应避开军事禁区、飞机场、铁路及汽车客运站、海(河)港码头等区域。</w:t>
                  </w:r>
                </w:p>
              </w:tc>
              <w:tc>
                <w:tcPr>
                  <w:tcW w:w="2676"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线路未穿越军事禁区、飞机场、铁路及汽车客运站、海(河) 港码头等区域。</w:t>
                  </w:r>
                </w:p>
              </w:tc>
              <w:tc>
                <w:tcPr>
                  <w:tcW w:w="888"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sz w:val="15"/>
                      <w:szCs w:val="15"/>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 w:hRule="atLeast"/>
                <w:jc w:val="center"/>
              </w:trPr>
              <w:tc>
                <w:tcPr>
                  <w:tcW w:w="425"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eastAsia="Calibri"/>
                      <w:sz w:val="15"/>
                      <w:szCs w:val="15"/>
                    </w:rPr>
                    <w:t>3</w:t>
                  </w:r>
                </w:p>
              </w:tc>
              <w:tc>
                <w:tcPr>
                  <w:tcW w:w="2409"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4.1.2除为管道工程专门修建的隧道、桥梁外，不应在铁路或公路的隧道内及桥梁上敷设输气管道。输气管道从铁路或公路桥下交叉通过时，不应改变桥梁下的水文条件。</w:t>
                  </w:r>
                </w:p>
              </w:tc>
              <w:tc>
                <w:tcPr>
                  <w:tcW w:w="2676" w:type="dxa"/>
                  <w:vAlign w:val="center"/>
                </w:tcPr>
                <w:p>
                  <w:pPr>
                    <w:pStyle w:val="54"/>
                    <w:autoSpaceDE w:val="0"/>
                    <w:spacing w:before="0" w:beforeAutospacing="0" w:line="240" w:lineRule="exact"/>
                    <w:jc w:val="both"/>
                    <w:rPr>
                      <w:rFonts w:ascii="Times New Roman" w:hAnsi="Times New Roman"/>
                      <w:sz w:val="15"/>
                      <w:szCs w:val="15"/>
                    </w:rPr>
                  </w:pPr>
                  <w:r>
                    <w:rPr>
                      <w:rFonts w:ascii="Times New Roman" w:hAnsi="Times New Roman"/>
                      <w:sz w:val="15"/>
                      <w:szCs w:val="15"/>
                    </w:rPr>
                    <w:t>本项目管线工程不涉及</w:t>
                  </w:r>
                  <w:r>
                    <w:rPr>
                      <w:rFonts w:hint="eastAsia" w:ascii="Times New Roman" w:hAnsi="Times New Roman"/>
                      <w:sz w:val="15"/>
                      <w:szCs w:val="15"/>
                    </w:rPr>
                    <w:t>铁路或公路桥下交叉通过；也不需要修建隧道、桥梁</w:t>
                  </w:r>
                </w:p>
              </w:tc>
              <w:tc>
                <w:tcPr>
                  <w:tcW w:w="888"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sz w:val="15"/>
                      <w:szCs w:val="15"/>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 w:hRule="atLeast"/>
                <w:jc w:val="center"/>
              </w:trPr>
              <w:tc>
                <w:tcPr>
                  <w:tcW w:w="425"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eastAsia="Calibri"/>
                      <w:sz w:val="15"/>
                      <w:szCs w:val="15"/>
                    </w:rPr>
                    <w:t>4</w:t>
                  </w:r>
                </w:p>
              </w:tc>
              <w:tc>
                <w:tcPr>
                  <w:tcW w:w="2409"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4.1.2输气管道应避开滑坡、崩塌、塌陷、泥石流、洪水严重侵蚀等地质灾害地段，宜避开矿山采空区及全新世活动断层。当受到条件限制必须通 过上述区域时，应选择危害程度较小的位置通过，并采取相应的防护措施</w:t>
                  </w:r>
                </w:p>
              </w:tc>
              <w:tc>
                <w:tcPr>
                  <w:tcW w:w="2676"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项目输气管道未穿越滑坡、崩塌、 塌陷、泥石流、洪水严重侵蚀等地质灾害地段</w:t>
                  </w:r>
                </w:p>
              </w:tc>
              <w:tc>
                <w:tcPr>
                  <w:tcW w:w="888"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sz w:val="15"/>
                      <w:szCs w:val="15"/>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 w:hRule="atLeast"/>
                <w:jc w:val="center"/>
              </w:trPr>
              <w:tc>
                <w:tcPr>
                  <w:tcW w:w="425"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eastAsia="Calibri"/>
                      <w:sz w:val="15"/>
                      <w:szCs w:val="15"/>
                    </w:rPr>
                    <w:t>5</w:t>
                  </w:r>
                </w:p>
              </w:tc>
              <w:tc>
                <w:tcPr>
                  <w:tcW w:w="2409"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4.3.1输气管道应采用埋地方式敷设，特殊地段可采用土堤或地面形式敷 设</w:t>
                  </w:r>
                </w:p>
              </w:tc>
              <w:tc>
                <w:tcPr>
                  <w:tcW w:w="2676"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本项目拟采用埋地方式敷设</w:t>
                  </w:r>
                </w:p>
              </w:tc>
              <w:tc>
                <w:tcPr>
                  <w:tcW w:w="888"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sz w:val="15"/>
                      <w:szCs w:val="15"/>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 w:hRule="atLeast"/>
                <w:jc w:val="center"/>
              </w:trPr>
              <w:tc>
                <w:tcPr>
                  <w:tcW w:w="425"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eastAsia="Calibri"/>
                      <w:sz w:val="15"/>
                      <w:szCs w:val="15"/>
                    </w:rPr>
                    <w:t>6</w:t>
                  </w:r>
                </w:p>
              </w:tc>
              <w:tc>
                <w:tcPr>
                  <w:tcW w:w="2409"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4.3.1埋地管道覆土层最小厚度应符合表4.3.2的规定。在不能满足要求的覆土厚度或外荷载过大、外部作业可能危及管道之处，应采取保护措施。</w:t>
                  </w:r>
                </w:p>
              </w:tc>
              <w:tc>
                <w:tcPr>
                  <w:tcW w:w="2676" w:type="dxa"/>
                  <w:vAlign w:val="center"/>
                </w:tcPr>
                <w:p>
                  <w:pPr>
                    <w:pStyle w:val="54"/>
                    <w:autoSpaceDE w:val="0"/>
                    <w:spacing w:before="0" w:beforeAutospacing="0" w:line="240" w:lineRule="exact"/>
                    <w:jc w:val="both"/>
                    <w:rPr>
                      <w:rFonts w:ascii="Times New Roman" w:hAnsi="Times New Roman"/>
                      <w:sz w:val="15"/>
                      <w:szCs w:val="15"/>
                    </w:rPr>
                  </w:pPr>
                  <w:r>
                    <w:rPr>
                      <w:rFonts w:ascii="Times New Roman" w:hAnsi="Times New Roman"/>
                      <w:sz w:val="15"/>
                      <w:szCs w:val="15"/>
                    </w:rPr>
                    <w:t>本项目设计穿越公路时覆土不小于</w:t>
                  </w:r>
                  <w:r>
                    <w:rPr>
                      <w:rFonts w:hint="eastAsia" w:ascii="Times New Roman" w:hAnsi="Times New Roman"/>
                      <w:sz w:val="15"/>
                      <w:szCs w:val="15"/>
                    </w:rPr>
                    <w:t>1.2m，穿越旱地林地时不小于1.0m，穿越岩石类地区不小于0.5m</w:t>
                  </w:r>
                </w:p>
              </w:tc>
              <w:tc>
                <w:tcPr>
                  <w:tcW w:w="888"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sz w:val="15"/>
                      <w:szCs w:val="15"/>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 w:hRule="atLeast"/>
                <w:jc w:val="center"/>
              </w:trPr>
              <w:tc>
                <w:tcPr>
                  <w:tcW w:w="425"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eastAsia="Calibri"/>
                      <w:sz w:val="15"/>
                      <w:szCs w:val="15"/>
                    </w:rPr>
                    <w:t>7</w:t>
                  </w:r>
                </w:p>
              </w:tc>
              <w:tc>
                <w:tcPr>
                  <w:tcW w:w="2409"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4.3.9当输气管道采用土堤埋设时，土堤高度和顶部宽度应根据地形、工程地质、水文地质、土壤类别及性质确定，并应符合下列规定：1管道在土堤中的覆土厚度不应小于0.8m,土堤顶部宽度不应小于管道直径的两倍且不得小于1.0m。</w:t>
                  </w:r>
                </w:p>
              </w:tc>
              <w:tc>
                <w:tcPr>
                  <w:tcW w:w="2676" w:type="dxa"/>
                  <w:vAlign w:val="center"/>
                </w:tcPr>
                <w:p>
                  <w:pPr>
                    <w:pStyle w:val="54"/>
                    <w:autoSpaceDE w:val="0"/>
                    <w:spacing w:line="240" w:lineRule="exact"/>
                    <w:rPr>
                      <w:rFonts w:ascii="Times New Roman" w:hAnsi="Times New Roman"/>
                      <w:sz w:val="15"/>
                      <w:szCs w:val="15"/>
                    </w:rPr>
                  </w:pPr>
                  <w:r>
                    <w:rPr>
                      <w:rFonts w:ascii="Times New Roman" w:hAnsi="Times New Roman"/>
                      <w:sz w:val="15"/>
                      <w:szCs w:val="15"/>
                    </w:rPr>
                    <w:t>本项目管道</w:t>
                  </w:r>
                  <w:r>
                    <w:rPr>
                      <w:rFonts w:hint="eastAsia" w:ascii="Times New Roman" w:hAnsi="Times New Roman"/>
                      <w:sz w:val="15"/>
                      <w:szCs w:val="15"/>
                    </w:rPr>
                    <w:t>穿越公路时，管顶覆土厚度不小于1.2m，穿越旱地、林地不小于1.0m，岩石类地区不小于0.5m</w:t>
                  </w:r>
                </w:p>
              </w:tc>
              <w:tc>
                <w:tcPr>
                  <w:tcW w:w="888"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sz w:val="15"/>
                      <w:szCs w:val="15"/>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 w:hRule="atLeast"/>
                <w:jc w:val="center"/>
              </w:trPr>
              <w:tc>
                <w:tcPr>
                  <w:tcW w:w="425"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eastAsia="Calibri"/>
                      <w:sz w:val="15"/>
                      <w:szCs w:val="15"/>
                    </w:rPr>
                    <w:t>8</w:t>
                  </w:r>
                </w:p>
              </w:tc>
              <w:tc>
                <w:tcPr>
                  <w:tcW w:w="2409"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4.3.9输气管道应设置线路截断阀(室), 管道沿线相邻截断阀之间的间距应符合下列规定：1以一级地区为主的管段不宜大于 32km;2以二级地区为主的管段不宜大于 24km;3以三级地区为主的管段不宜大于16km;4 以四级地区为主的管段不宜大于 8km;</w:t>
                  </w:r>
                </w:p>
              </w:tc>
              <w:tc>
                <w:tcPr>
                  <w:tcW w:w="2676" w:type="dxa"/>
                  <w:vAlign w:val="center"/>
                </w:tcPr>
                <w:p>
                  <w:pPr>
                    <w:pStyle w:val="54"/>
                    <w:autoSpaceDE w:val="0"/>
                    <w:spacing w:before="0" w:beforeAutospacing="0" w:line="240" w:lineRule="exact"/>
                    <w:jc w:val="both"/>
                    <w:rPr>
                      <w:rFonts w:ascii="Times New Roman" w:hAnsi="Times New Roman"/>
                      <w:sz w:val="15"/>
                      <w:szCs w:val="15"/>
                    </w:rPr>
                  </w:pPr>
                  <w:r>
                    <w:rPr>
                      <w:rFonts w:ascii="Times New Roman" w:hAnsi="Times New Roman"/>
                      <w:sz w:val="15"/>
                      <w:szCs w:val="15"/>
                    </w:rPr>
                    <w:t>项目管道沿线不设置截断阀（室）</w:t>
                  </w:r>
                </w:p>
              </w:tc>
              <w:tc>
                <w:tcPr>
                  <w:tcW w:w="888"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 w:hRule="atLeast"/>
                <w:jc w:val="center"/>
              </w:trPr>
              <w:tc>
                <w:tcPr>
                  <w:tcW w:w="425"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eastAsia="Calibri"/>
                      <w:sz w:val="15"/>
                      <w:szCs w:val="15"/>
                    </w:rPr>
                    <w:t>16</w:t>
                  </w:r>
                </w:p>
              </w:tc>
              <w:tc>
                <w:tcPr>
                  <w:tcW w:w="2409"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4.6.1输气管道应采取外防腐层加阴极保护的联合防护措施，管道的防腐蚀设计应符合现行国家标准《钢质管道外腐蚀控制规范》GB/T21447的有关规定。</w:t>
                  </w:r>
                </w:p>
              </w:tc>
              <w:tc>
                <w:tcPr>
                  <w:tcW w:w="2676"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本项目拟采取外防腐层加阴极保护的联合防护措施</w:t>
                  </w:r>
                </w:p>
              </w:tc>
              <w:tc>
                <w:tcPr>
                  <w:tcW w:w="888"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sz w:val="15"/>
                      <w:szCs w:val="15"/>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 w:hRule="atLeast"/>
                <w:jc w:val="center"/>
              </w:trPr>
              <w:tc>
                <w:tcPr>
                  <w:tcW w:w="425"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eastAsia="Calibri"/>
                      <w:sz w:val="15"/>
                      <w:szCs w:val="15"/>
                    </w:rPr>
                    <w:t>17</w:t>
                  </w:r>
                </w:p>
              </w:tc>
              <w:tc>
                <w:tcPr>
                  <w:tcW w:w="2409"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4.6.2管道外防腐层类型、等级的选择应根据地形与地质条件、管道所处环境的腐蚀性、地理位置、输送介质温度、杂散电流、经济性等综合因素确定。管道外防腐层的性能及施工技术要求应符合国家现行相关标准的规定。</w:t>
                  </w:r>
                </w:p>
              </w:tc>
              <w:tc>
                <w:tcPr>
                  <w:tcW w:w="2676"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项目管道外防腐层为三层PE类型加阴极保护的联合保护方案</w:t>
                  </w:r>
                </w:p>
              </w:tc>
              <w:tc>
                <w:tcPr>
                  <w:tcW w:w="888"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sz w:val="15"/>
                      <w:szCs w:val="15"/>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 w:hRule="atLeast"/>
                <w:jc w:val="center"/>
              </w:trPr>
              <w:tc>
                <w:tcPr>
                  <w:tcW w:w="425"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eastAsia="Calibri"/>
                      <w:sz w:val="15"/>
                      <w:szCs w:val="15"/>
                    </w:rPr>
                    <w:t>18</w:t>
                  </w:r>
                </w:p>
              </w:tc>
              <w:tc>
                <w:tcPr>
                  <w:tcW w:w="2409"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4.6.8地面以上敷设的管道如需保温时，应采用防腐层进行防腐，保温层材料和保护层材料的性能应符合现行国家标准《工业设备及管道绝热工程设计规范》GB50264 的有关规定</w:t>
                  </w:r>
                </w:p>
              </w:tc>
              <w:tc>
                <w:tcPr>
                  <w:tcW w:w="2676" w:type="dxa"/>
                  <w:vAlign w:val="center"/>
                </w:tcPr>
                <w:p>
                  <w:pPr>
                    <w:pStyle w:val="54"/>
                    <w:autoSpaceDE w:val="0"/>
                    <w:spacing w:before="0" w:beforeAutospacing="0" w:line="240" w:lineRule="exact"/>
                    <w:jc w:val="both"/>
                    <w:rPr>
                      <w:rFonts w:ascii="Times New Roman" w:hAnsi="Times New Roman"/>
                      <w:sz w:val="15"/>
                      <w:szCs w:val="15"/>
                    </w:rPr>
                  </w:pPr>
                  <w:r>
                    <w:rPr>
                      <w:rFonts w:ascii="Times New Roman" w:hAnsi="Times New Roman"/>
                      <w:sz w:val="15"/>
                      <w:szCs w:val="15"/>
                    </w:rPr>
                    <w:t>项目不涉及地面以上敷设管道</w:t>
                  </w:r>
                </w:p>
              </w:tc>
              <w:tc>
                <w:tcPr>
                  <w:tcW w:w="888"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 w:hRule="atLeast"/>
                <w:jc w:val="center"/>
              </w:trPr>
              <w:tc>
                <w:tcPr>
                  <w:tcW w:w="425"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eastAsia="Calibri"/>
                      <w:sz w:val="15"/>
                      <w:szCs w:val="15"/>
                    </w:rPr>
                    <w:t>19</w:t>
                  </w:r>
                </w:p>
              </w:tc>
              <w:tc>
                <w:tcPr>
                  <w:tcW w:w="2409"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4.7.4河流、沟渠穿越地段的水工保护设计应符合现行国家标准《油气输 送管道穿越工程设计规范》GB 50423 的有关规定</w:t>
                  </w:r>
                </w:p>
              </w:tc>
              <w:tc>
                <w:tcPr>
                  <w:tcW w:w="2676" w:type="dxa"/>
                  <w:vAlign w:val="center"/>
                </w:tcPr>
                <w:p>
                  <w:pPr>
                    <w:pStyle w:val="54"/>
                    <w:autoSpaceDE w:val="0"/>
                    <w:spacing w:before="0" w:beforeAutospacing="0" w:line="240" w:lineRule="exact"/>
                    <w:jc w:val="both"/>
                    <w:rPr>
                      <w:rFonts w:ascii="Times New Roman" w:hAnsi="Times New Roman"/>
                      <w:sz w:val="15"/>
                      <w:szCs w:val="15"/>
                    </w:rPr>
                  </w:pPr>
                  <w:r>
                    <w:rPr>
                      <w:rFonts w:ascii="Times New Roman" w:hAnsi="Times New Roman"/>
                      <w:sz w:val="15"/>
                      <w:szCs w:val="15"/>
                    </w:rPr>
                    <w:t>本项目管线工程涉及穿越小河流</w:t>
                  </w:r>
                  <w:r>
                    <w:rPr>
                      <w:rFonts w:hint="eastAsia" w:ascii="Times New Roman" w:hAnsi="Times New Roman"/>
                      <w:sz w:val="15"/>
                      <w:szCs w:val="15"/>
                    </w:rPr>
                    <w:t>1次，长度约80m，水工保护设计能够满足GB 50423 的有关规定</w:t>
                  </w:r>
                </w:p>
              </w:tc>
              <w:tc>
                <w:tcPr>
                  <w:tcW w:w="888"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sz w:val="15"/>
                      <w:szCs w:val="15"/>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 w:hRule="atLeast"/>
                <w:jc w:val="center"/>
              </w:trPr>
              <w:tc>
                <w:tcPr>
                  <w:tcW w:w="425"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eastAsia="Calibri"/>
                      <w:sz w:val="15"/>
                      <w:szCs w:val="15"/>
                    </w:rPr>
                    <w:t>20</w:t>
                  </w:r>
                </w:p>
              </w:tc>
              <w:tc>
                <w:tcPr>
                  <w:tcW w:w="2409"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4.8.1管道沿线应设置里程桩、转角桩、标志桩、交叉桩和警示牌等永久 性标识。</w:t>
                  </w:r>
                </w:p>
              </w:tc>
              <w:tc>
                <w:tcPr>
                  <w:tcW w:w="2676"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项目管道沿线设有里程桩、转角桩、标志桩、交叉 桩和警示牌设置</w:t>
                  </w:r>
                </w:p>
              </w:tc>
              <w:tc>
                <w:tcPr>
                  <w:tcW w:w="888"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sz w:val="15"/>
                      <w:szCs w:val="15"/>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 w:hRule="atLeast"/>
                <w:jc w:val="center"/>
              </w:trPr>
              <w:tc>
                <w:tcPr>
                  <w:tcW w:w="425"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eastAsia="Calibri"/>
                      <w:sz w:val="15"/>
                      <w:szCs w:val="15"/>
                    </w:rPr>
                    <w:t>21</w:t>
                  </w:r>
                </w:p>
              </w:tc>
              <w:tc>
                <w:tcPr>
                  <w:tcW w:w="2409"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4.8.3通过人口密集区、易受第三方损坏地段的埋地管道应加密设置标识桩和警示牌，并应在管顶上方连续埋设警示带。</w:t>
                  </w:r>
                </w:p>
              </w:tc>
              <w:tc>
                <w:tcPr>
                  <w:tcW w:w="2676" w:type="dxa"/>
                  <w:vAlign w:val="center"/>
                </w:tcPr>
                <w:p>
                  <w:pPr>
                    <w:pStyle w:val="54"/>
                    <w:autoSpaceDE w:val="0"/>
                    <w:spacing w:before="0" w:beforeAutospacing="0" w:line="240" w:lineRule="exact"/>
                    <w:jc w:val="both"/>
                    <w:rPr>
                      <w:rFonts w:ascii="Times New Roman" w:hAnsi="Times New Roman"/>
                      <w:sz w:val="15"/>
                      <w:szCs w:val="15"/>
                    </w:rPr>
                  </w:pPr>
                  <w:r>
                    <w:rPr>
                      <w:rFonts w:hint="eastAsia" w:ascii="Times New Roman" w:hAnsi="Times New Roman"/>
                      <w:sz w:val="15"/>
                      <w:szCs w:val="15"/>
                    </w:rPr>
                    <w:t>项目管道沿线设有里程桩、转角桩、标志桩、交叉 桩和警示牌设置</w:t>
                  </w:r>
                </w:p>
              </w:tc>
              <w:tc>
                <w:tcPr>
                  <w:tcW w:w="888"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sz w:val="15"/>
                      <w:szCs w:val="15"/>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 w:hRule="atLeast"/>
                <w:jc w:val="center"/>
              </w:trPr>
              <w:tc>
                <w:tcPr>
                  <w:tcW w:w="425"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eastAsia="Calibri"/>
                      <w:sz w:val="15"/>
                      <w:szCs w:val="15"/>
                    </w:rPr>
                    <w:t>22</w:t>
                  </w:r>
                </w:p>
              </w:tc>
              <w:tc>
                <w:tcPr>
                  <w:tcW w:w="2409" w:type="dxa"/>
                  <w:vAlign w:val="center"/>
                </w:tcPr>
                <w:p>
                  <w:pPr>
                    <w:pStyle w:val="54"/>
                    <w:autoSpaceDE w:val="0"/>
                    <w:spacing w:before="0" w:beforeAutospacing="0" w:line="260" w:lineRule="exact"/>
                    <w:jc w:val="both"/>
                    <w:rPr>
                      <w:rFonts w:ascii="Times New Roman" w:hAnsi="Times New Roman"/>
                      <w:sz w:val="15"/>
                      <w:szCs w:val="15"/>
                    </w:rPr>
                  </w:pPr>
                  <w:r>
                    <w:rPr>
                      <w:rFonts w:hint="eastAsia" w:ascii="Times New Roman" w:hAnsi="Times New Roman"/>
                      <w:sz w:val="15"/>
                      <w:szCs w:val="15"/>
                    </w:rPr>
                    <w:t>11.1.1设计文件应明确输气管道和管道附件的焊接接头形式及焊接检验要求</w:t>
                  </w:r>
                </w:p>
              </w:tc>
              <w:tc>
                <w:tcPr>
                  <w:tcW w:w="2676" w:type="dxa"/>
                  <w:vAlign w:val="center"/>
                </w:tcPr>
                <w:p>
                  <w:pPr>
                    <w:pStyle w:val="54"/>
                    <w:autoSpaceDE w:val="0"/>
                    <w:spacing w:line="260" w:lineRule="exact"/>
                    <w:rPr>
                      <w:rFonts w:ascii="Times New Roman" w:hAnsi="Times New Roman"/>
                      <w:sz w:val="15"/>
                      <w:szCs w:val="15"/>
                    </w:rPr>
                  </w:pPr>
                  <w:r>
                    <w:rPr>
                      <w:rFonts w:hint="eastAsia" w:ascii="Times New Roman" w:hAnsi="Times New Roman"/>
                      <w:sz w:val="15"/>
                      <w:szCs w:val="15"/>
                    </w:rPr>
                    <w:t>项目设计文件中已明确管道焊接前按《钢质管道焊接及验收》(SY/T4103一2014) 进行焊接工艺评定。在纵向坡度地段组对应根据地质情况，对管子和施工机具采取稳固措施，其施工方法根据地形、地势、地质情况确定。山区石方地段宜采用沟下组对，组对前根据测量角度准备好弯头、弯管，再进行安装焊接焊条、焊丝选择方面，原则上采用低氢型焊条；焊接采用氟弧焊打底，手工焊填充、盖面。</w:t>
                  </w:r>
                </w:p>
              </w:tc>
              <w:tc>
                <w:tcPr>
                  <w:tcW w:w="888"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sz w:val="15"/>
                      <w:szCs w:val="15"/>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 w:hRule="atLeast"/>
                <w:jc w:val="center"/>
              </w:trPr>
              <w:tc>
                <w:tcPr>
                  <w:tcW w:w="425"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eastAsia="Calibri"/>
                      <w:sz w:val="15"/>
                      <w:szCs w:val="15"/>
                    </w:rPr>
                    <w:t>23</w:t>
                  </w:r>
                </w:p>
              </w:tc>
              <w:tc>
                <w:tcPr>
                  <w:tcW w:w="2409" w:type="dxa"/>
                  <w:vAlign w:val="center"/>
                </w:tcPr>
                <w:p>
                  <w:pPr>
                    <w:pStyle w:val="54"/>
                    <w:autoSpaceDE w:val="0"/>
                    <w:spacing w:before="0" w:beforeAutospacing="0" w:line="260" w:lineRule="exact"/>
                    <w:jc w:val="both"/>
                    <w:rPr>
                      <w:rFonts w:ascii="Times New Roman" w:hAnsi="Times New Roman"/>
                      <w:sz w:val="15"/>
                      <w:szCs w:val="15"/>
                    </w:rPr>
                  </w:pPr>
                  <w:r>
                    <w:rPr>
                      <w:rFonts w:hint="eastAsia" w:ascii="Times New Roman" w:hAnsi="Times New Roman"/>
                      <w:sz w:val="15"/>
                      <w:szCs w:val="15"/>
                    </w:rPr>
                    <w:t>11.1.6焊管之间对接焊时，制管焊缝应错开且间距不宜小于100mm。输气站内地面安装的有缝管，制管焊缝布置应避开现场开孔的位置。</w:t>
                  </w:r>
                </w:p>
              </w:tc>
              <w:tc>
                <w:tcPr>
                  <w:tcW w:w="2676" w:type="dxa"/>
                  <w:vAlign w:val="center"/>
                </w:tcPr>
                <w:p>
                  <w:pPr>
                    <w:pStyle w:val="54"/>
                    <w:autoSpaceDE w:val="0"/>
                    <w:spacing w:before="0" w:beforeAutospacing="0" w:line="260" w:lineRule="exact"/>
                    <w:jc w:val="both"/>
                    <w:rPr>
                      <w:rFonts w:ascii="Times New Roman" w:hAnsi="Times New Roman"/>
                      <w:sz w:val="15"/>
                      <w:szCs w:val="15"/>
                    </w:rPr>
                  </w:pPr>
                  <w:r>
                    <w:rPr>
                      <w:rFonts w:hint="eastAsia" w:ascii="Times New Roman" w:hAnsi="Times New Roman"/>
                      <w:sz w:val="15"/>
                      <w:szCs w:val="15"/>
                    </w:rPr>
                    <w:t>项目设计文件中已明确</w:t>
                  </w:r>
                </w:p>
              </w:tc>
              <w:tc>
                <w:tcPr>
                  <w:tcW w:w="888" w:type="dxa"/>
                  <w:vAlign w:val="center"/>
                </w:tcPr>
                <w:p>
                  <w:pPr>
                    <w:pStyle w:val="54"/>
                    <w:autoSpaceDE w:val="0"/>
                    <w:spacing w:before="0" w:beforeAutospacing="0" w:line="240" w:lineRule="exact"/>
                    <w:jc w:val="center"/>
                    <w:rPr>
                      <w:rFonts w:ascii="Times New Roman" w:hAnsi="Times New Roman"/>
                      <w:sz w:val="15"/>
                      <w:szCs w:val="15"/>
                    </w:rPr>
                  </w:pPr>
                  <w:r>
                    <w:rPr>
                      <w:rFonts w:hint="eastAsia" w:ascii="Times New Roman" w:hAnsi="Times New Roman"/>
                      <w:sz w:val="15"/>
                      <w:szCs w:val="15"/>
                    </w:rPr>
                    <w:t>符合要求</w:t>
                  </w:r>
                </w:p>
              </w:tc>
            </w:tr>
          </w:tbl>
          <w:p>
            <w:pPr>
              <w:pStyle w:val="2"/>
            </w:pPr>
          </w:p>
          <w:p>
            <w:pPr>
              <w:pStyle w:val="2"/>
            </w:pPr>
          </w:p>
          <w:p>
            <w:pPr>
              <w:pStyle w:val="2"/>
            </w:pPr>
          </w:p>
        </w:tc>
      </w:tr>
    </w:tbl>
    <w:p>
      <w:pPr>
        <w:spacing w:line="360" w:lineRule="auto"/>
        <w:outlineLvl w:val="0"/>
        <w:rPr>
          <w:rFonts w:eastAsia="黑体"/>
          <w:sz w:val="30"/>
        </w:rPr>
        <w:sectPr>
          <w:footerReference r:id="rId7" w:type="default"/>
          <w:pgSz w:w="11906" w:h="16838"/>
          <w:pgMar w:top="1701" w:right="1531" w:bottom="1701" w:left="1531" w:header="851" w:footer="1077" w:gutter="0"/>
          <w:pgNumType w:fmt="numberInDash"/>
          <w:cols w:space="720" w:num="1"/>
          <w:docGrid w:linePitch="312" w:charSpace="0"/>
        </w:sectPr>
      </w:pPr>
    </w:p>
    <w:p>
      <w:pPr>
        <w:pStyle w:val="14"/>
        <w:jc w:val="center"/>
        <w:outlineLvl w:val="0"/>
        <w:rPr>
          <w:rFonts w:ascii="黑体" w:hAnsi="黑体" w:eastAsia="黑体"/>
          <w:snapToGrid w:val="0"/>
          <w:sz w:val="30"/>
          <w:szCs w:val="30"/>
        </w:rPr>
      </w:pPr>
      <w:r>
        <w:rPr>
          <w:rFonts w:hint="eastAsia" w:ascii="黑体" w:hAnsi="黑体" w:eastAsia="黑体"/>
          <w:snapToGrid w:val="0"/>
          <w:sz w:val="30"/>
          <w:szCs w:val="30"/>
        </w:rPr>
        <w:t>二、建设内容</w:t>
      </w:r>
    </w:p>
    <w:tbl>
      <w:tblPr>
        <w:tblStyle w:val="17"/>
        <w:tblW w:w="8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4"/>
        <w:gridCol w:w="81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744"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地理位置</w:t>
            </w:r>
          </w:p>
        </w:tc>
        <w:tc>
          <w:tcPr>
            <w:tcW w:w="8169" w:type="dxa"/>
            <w:vAlign w:val="center"/>
          </w:tcPr>
          <w:p>
            <w:pPr>
              <w:topLinePunct/>
              <w:adjustRightInd w:val="0"/>
              <w:spacing w:line="400" w:lineRule="exact"/>
              <w:ind w:right="53" w:rightChars="25" w:firstLine="420" w:firstLineChars="200"/>
              <w:jc w:val="left"/>
              <w:rPr>
                <w:rFonts w:eastAsiaTheme="minorEastAsia"/>
              </w:rPr>
            </w:pPr>
            <w:r>
              <w:rPr>
                <w:rFonts w:hint="eastAsia" w:eastAsiaTheme="minorEastAsia"/>
              </w:rPr>
              <w:t>本项目位于四川省宣汉县普光镇普光化工园区内。普光镇位于达州市宣汉县境中西部，江口库区北岸(中、后河交汇处)，距县城20.2公里，面积83.47平方千米。包茂高速(达陕高速)、达(州)白(沙)、普(光)老(君)公路过境。</w:t>
            </w:r>
          </w:p>
          <w:p>
            <w:pPr>
              <w:topLinePunct/>
              <w:adjustRightInd w:val="0"/>
              <w:spacing w:line="400" w:lineRule="exact"/>
              <w:ind w:right="53" w:rightChars="25" w:firstLine="420" w:firstLineChars="200"/>
              <w:jc w:val="left"/>
              <w:rPr>
                <w:rFonts w:ascii="宋体" w:hAnsi="宋体" w:cs="宋体"/>
                <w:kern w:val="0"/>
                <w:szCs w:val="21"/>
              </w:rPr>
            </w:pPr>
            <w:r>
              <w:rPr>
                <w:rFonts w:hint="eastAsia" w:eastAsiaTheme="minorEastAsia"/>
              </w:rPr>
              <w:t>管线起于宣汉县普光镇铜坎村的中石化普光配气站，途经宣汉县普光镇汤家沟，止于普光化工园区新建普光化工配气站。线路全长6.0km，设计压力6.3MPa，设计输量15×10</w:t>
            </w:r>
            <w:r>
              <w:rPr>
                <w:rFonts w:hint="eastAsia" w:eastAsiaTheme="minorEastAsia"/>
                <w:vertAlign w:val="superscript"/>
              </w:rPr>
              <w:t>8</w:t>
            </w:r>
            <w:r>
              <w:rPr>
                <w:rFonts w:hint="eastAsia" w:eastAsiaTheme="minorEastAsia"/>
              </w:rPr>
              <w:t>m³/a，压力管道类别为GA1。新建配气站位于普光镇普光化工园区西北侧，中心坐标：E107°41′25.43″，N31°31′18.23″。</w:t>
            </w:r>
            <w:r>
              <w:rPr>
                <w:rFonts w:cs="宋体"/>
                <w:kern w:val="0"/>
                <w:szCs w:val="21"/>
              </w:rPr>
              <w:t>配气站出口下游燃气管网</w:t>
            </w:r>
            <w:r>
              <w:rPr>
                <w:rFonts w:hint="eastAsia" w:cs="宋体"/>
                <w:kern w:val="0"/>
                <w:szCs w:val="21"/>
              </w:rPr>
              <w:t>3条，</w:t>
            </w:r>
            <w:r>
              <w:rPr>
                <w:rFonts w:cs="宋体"/>
                <w:kern w:val="0"/>
                <w:szCs w:val="21"/>
              </w:rPr>
              <w:t>共</w:t>
            </w:r>
            <w:r>
              <w:rPr>
                <w:rFonts w:hint="eastAsia" w:cs="宋体"/>
                <w:kern w:val="0"/>
                <w:szCs w:val="21"/>
              </w:rPr>
              <w:t>21.5km，包括宏浩能源二期专供管线、新金路专供管线、园区其他工业用户管线。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8" w:hRule="atLeast"/>
          <w:jc w:val="center"/>
        </w:trPr>
        <w:tc>
          <w:tcPr>
            <w:tcW w:w="744" w:type="dxa"/>
            <w:vAlign w:val="center"/>
          </w:tcPr>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r>
              <w:rPr>
                <w:rFonts w:hint="eastAsia" w:ascii="宋体" w:hAnsi="宋体" w:cs="宋体"/>
                <w:kern w:val="0"/>
                <w:szCs w:val="21"/>
              </w:rPr>
              <w:t>项目组成及规模</w:t>
            </w: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r>
              <w:rPr>
                <w:rFonts w:hint="eastAsia" w:ascii="宋体" w:hAnsi="宋体" w:cs="宋体"/>
                <w:kern w:val="0"/>
                <w:szCs w:val="21"/>
              </w:rPr>
              <w:t>项目组成及规模</w:t>
            </w: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r>
              <w:rPr>
                <w:rFonts w:hint="eastAsia" w:ascii="宋体" w:hAnsi="宋体" w:cs="宋体"/>
                <w:kern w:val="0"/>
                <w:szCs w:val="21"/>
              </w:rPr>
              <w:t>项目组成及规模</w:t>
            </w:r>
          </w:p>
        </w:tc>
        <w:tc>
          <w:tcPr>
            <w:tcW w:w="8169" w:type="dxa"/>
            <w:vAlign w:val="center"/>
          </w:tcPr>
          <w:p>
            <w:pPr>
              <w:topLinePunct/>
              <w:adjustRightInd w:val="0"/>
              <w:spacing w:line="400" w:lineRule="exact"/>
              <w:ind w:right="53" w:rightChars="25"/>
              <w:jc w:val="left"/>
              <w:rPr>
                <w:rFonts w:eastAsia="黑体"/>
                <w:lang w:val="zh-CN"/>
              </w:rPr>
            </w:pPr>
            <w:r>
              <w:rPr>
                <w:rFonts w:hint="eastAsia" w:eastAsia="黑体"/>
                <w:lang w:val="zh-CN"/>
              </w:rPr>
              <w:t>1、项目由来</w:t>
            </w:r>
          </w:p>
          <w:p>
            <w:pPr>
              <w:topLinePunct/>
              <w:adjustRightInd w:val="0"/>
              <w:spacing w:line="400" w:lineRule="exact"/>
              <w:ind w:right="53" w:rightChars="25" w:firstLine="420" w:firstLineChars="200"/>
              <w:jc w:val="left"/>
              <w:rPr>
                <w:rFonts w:asciiTheme="minorEastAsia" w:hAnsiTheme="minorEastAsia" w:eastAsiaTheme="minorEastAsia"/>
              </w:rPr>
            </w:pPr>
            <w:r>
              <w:rPr>
                <w:rFonts w:hint="eastAsia" w:asciiTheme="minorEastAsia" w:hAnsiTheme="minorEastAsia" w:eastAsiaTheme="minorEastAsia"/>
              </w:rPr>
              <w:t>四川达州普光经济开发区（简称“普光经开区”）位于四川省达州市宣汉县，2008年依托中石化普光天然气净化厂、中石油川东北宣汉天然气净化厂以及当地已有的产业基础而设立。2008年4月《四川达州普光经济开发区发展规划》获得省发改委的批复，确定普光经开区规划面积约20km</w:t>
            </w:r>
            <w:r>
              <w:rPr>
                <w:rFonts w:hint="eastAsia" w:asciiTheme="minorEastAsia" w:hAnsiTheme="minorEastAsia" w:eastAsiaTheme="minorEastAsia"/>
                <w:vertAlign w:val="superscript"/>
              </w:rPr>
              <w:t>2</w:t>
            </w:r>
            <w:r>
              <w:rPr>
                <w:rFonts w:hint="eastAsia" w:asciiTheme="minorEastAsia" w:hAnsiTheme="minorEastAsia" w:eastAsiaTheme="minorEastAsia"/>
              </w:rPr>
              <w:t>，由普光、胡家、南坝和柳池-方斗4个功能区组成，主导产业包括天然气化工、机械制造、农副产品加工、冶金建材、轻工、仓储物流。普光经开区重点围绕天然气资源，加强天然气就地转化生产，推进天然气产业链、价值链发展。基于天然气资源，主要发展化工材料和特种气体两大类产品。</w:t>
            </w:r>
          </w:p>
          <w:p>
            <w:pPr>
              <w:topLinePunct/>
              <w:adjustRightInd w:val="0"/>
              <w:spacing w:line="400" w:lineRule="exact"/>
              <w:ind w:right="53" w:rightChars="25" w:firstLine="420" w:firstLineChars="200"/>
              <w:jc w:val="left"/>
              <w:rPr>
                <w:rFonts w:asciiTheme="minorEastAsia" w:hAnsiTheme="minorEastAsia" w:eastAsiaTheme="minorEastAsia"/>
              </w:rPr>
            </w:pPr>
            <w:r>
              <w:rPr>
                <w:rFonts w:hint="eastAsia" w:asciiTheme="minorEastAsia" w:hAnsiTheme="minorEastAsia" w:eastAsiaTheme="minorEastAsia"/>
              </w:rPr>
              <w:t>宣汉普宏燃气有限公司（以下简称“普宏燃气”）成立于2012年11月8 日，法定代表人为龙双林，注册资本为500万元人民币，公司经营范围：天然气（含甲烷的、压缩的）零售；燃气设备、设施维护；燃气设备及材料销售。（依法须经批准的项目，经相关部门批准后方可开展经营活动）。为有效解决普光化工园区用气愿望强烈的问题，为普光化工园区建设发展提供有力保障，同时也为实现中国（普光）微波纤新材料产业园双向供气、扩大市场，支持地方经济发展及环境保护，宣汉普宏燃气有限公司拟建普光园区化工专线输气管道工程（以下简称“本项目”）。</w:t>
            </w:r>
          </w:p>
          <w:p>
            <w:pPr>
              <w:topLinePunct/>
              <w:adjustRightInd w:val="0"/>
              <w:spacing w:line="400" w:lineRule="exact"/>
              <w:ind w:right="53" w:rightChars="25" w:firstLine="420" w:firstLineChars="200"/>
              <w:jc w:val="left"/>
              <w:rPr>
                <w:rFonts w:asciiTheme="minorEastAsia" w:hAnsiTheme="minorEastAsia" w:eastAsiaTheme="minorEastAsia"/>
              </w:rPr>
            </w:pPr>
            <w:r>
              <w:rPr>
                <w:rFonts w:hint="eastAsia" w:asciiTheme="minorEastAsia" w:hAnsiTheme="minorEastAsia" w:eastAsiaTheme="minorEastAsia"/>
              </w:rPr>
              <w:t>根据《建设项目环境影响评价分类管理名录（2021年版）》，本项目属于“五十二、交通运输业、管道运输业”中“147 原油、成品油、天然气管线（不含城市天然气管线；不含城镇燃气管线；不含企业厂区内管道）”。项目建设区不涉及该栏说提及的环境敏感区，应编制环境影响报告表。</w:t>
            </w:r>
          </w:p>
          <w:p>
            <w:pPr>
              <w:topLinePunct/>
              <w:adjustRightInd w:val="0"/>
              <w:spacing w:line="400" w:lineRule="exact"/>
              <w:ind w:right="53" w:rightChars="25"/>
              <w:jc w:val="left"/>
              <w:rPr>
                <w:rFonts w:eastAsia="黑体"/>
                <w:lang w:val="zh-CN"/>
              </w:rPr>
            </w:pPr>
            <w:r>
              <w:rPr>
                <w:rFonts w:hint="eastAsia" w:eastAsia="黑体"/>
                <w:lang w:val="zh-CN"/>
              </w:rPr>
              <w:t>2、工程内容</w:t>
            </w:r>
          </w:p>
          <w:p>
            <w:pPr>
              <w:topLinePunct/>
              <w:spacing w:line="400" w:lineRule="exact"/>
              <w:ind w:left="25" w:right="25" w:firstLine="420" w:firstLineChars="200"/>
              <w:rPr>
                <w:rFonts w:hAnsi="宋体"/>
              </w:rPr>
            </w:pPr>
            <w:r>
              <w:rPr>
                <w:rFonts w:hint="eastAsia" w:hAnsi="宋体"/>
              </w:rPr>
              <w:t>本项目主要由上游来气输气管线工程、配气站组成下游用气输气管网。</w:t>
            </w:r>
          </w:p>
          <w:p>
            <w:pPr>
              <w:topLinePunct/>
              <w:spacing w:line="400" w:lineRule="exact"/>
              <w:ind w:left="25" w:right="25" w:firstLine="420" w:firstLineChars="200"/>
              <w:rPr>
                <w:rFonts w:hAnsi="宋体"/>
              </w:rPr>
            </w:pPr>
            <w:r>
              <w:rPr>
                <w:rFonts w:hint="eastAsia" w:hAnsi="宋体"/>
              </w:rPr>
              <w:t>（1）上游来气输气管线工程</w:t>
            </w:r>
          </w:p>
          <w:p>
            <w:pPr>
              <w:topLinePunct/>
              <w:spacing w:line="400" w:lineRule="exact"/>
              <w:ind w:left="25" w:right="25" w:firstLine="420" w:firstLineChars="200"/>
              <w:rPr>
                <w:rFonts w:hAnsi="宋体"/>
              </w:rPr>
            </w:pPr>
            <w:r>
              <w:rPr>
                <w:rFonts w:hint="eastAsia" w:hAnsi="宋体"/>
              </w:rPr>
              <w:t>项目上游来气输气管线工程起于宣汉县普光镇铜坎村的中石化普光配气站，途经宣汉县普光镇汤家沟，止于普光化工园区新建普光化工配气站。线路全长6.0km，设计压力 6.3MPa，设计输量 15×10</w:t>
            </w:r>
            <w:r>
              <w:rPr>
                <w:rFonts w:hint="eastAsia" w:hAnsi="宋体"/>
                <w:vertAlign w:val="superscript"/>
              </w:rPr>
              <w:t>8</w:t>
            </w:r>
            <w:r>
              <w:rPr>
                <w:rFonts w:hint="eastAsia" w:hAnsi="宋体"/>
              </w:rPr>
              <w:t>m³/a，压力管道类别为GA1。全线直管和弯头均采用D325×8 L360NPSL2无缝钢管。</w:t>
            </w:r>
          </w:p>
          <w:p>
            <w:pPr>
              <w:topLinePunct/>
              <w:spacing w:line="400" w:lineRule="exact"/>
              <w:ind w:left="25" w:right="25" w:firstLine="420" w:firstLineChars="200"/>
              <w:rPr>
                <w:rFonts w:hAnsi="宋体"/>
              </w:rPr>
            </w:pPr>
            <w:r>
              <w:rPr>
                <w:rFonts w:hint="eastAsia" w:hAnsi="宋体"/>
              </w:rPr>
              <w:t>沿线小型河流穿越1次，规划道路穿越2次，水泥道路穿越10次，国家管网川东北至川西联络线穿越1次，中石化毛达线管线穿越4次；线路经过区域主要为二级及三级地区。</w:t>
            </w:r>
          </w:p>
          <w:p>
            <w:pPr>
              <w:topLinePunct/>
              <w:spacing w:line="400" w:lineRule="exact"/>
              <w:ind w:left="25" w:right="25" w:firstLine="420" w:firstLineChars="200"/>
            </w:pPr>
            <w:r>
              <w:rPr>
                <w:rFonts w:hint="eastAsia" w:hAnsi="宋体"/>
              </w:rPr>
              <w:t>（2）</w:t>
            </w:r>
            <w:r>
              <w:rPr>
                <w:rFonts w:hint="eastAsia"/>
              </w:rPr>
              <w:t>配气站</w:t>
            </w:r>
          </w:p>
          <w:p>
            <w:pPr>
              <w:topLinePunct/>
              <w:adjustRightInd w:val="0"/>
              <w:spacing w:line="400" w:lineRule="exact"/>
              <w:ind w:right="53" w:rightChars="25" w:firstLine="420" w:firstLineChars="200"/>
              <w:jc w:val="left"/>
              <w:rPr>
                <w:rFonts w:eastAsiaTheme="minorEastAsia"/>
              </w:rPr>
            </w:pPr>
            <w:r>
              <w:rPr>
                <w:rFonts w:hint="eastAsia"/>
              </w:rPr>
              <w:t>本项目新建配气站一座，即</w:t>
            </w:r>
            <w:r>
              <w:rPr>
                <w:rFonts w:hint="eastAsia" w:eastAsiaTheme="minorEastAsia"/>
              </w:rPr>
              <w:t>普光化工配气站，设计压力为6.3MPa/4.0MPa/2.5MPa，设计规模15×10</w:t>
            </w:r>
            <w:r>
              <w:rPr>
                <w:rFonts w:hint="eastAsia" w:eastAsiaTheme="minorEastAsia"/>
                <w:vertAlign w:val="superscript"/>
              </w:rPr>
              <w:t>8</w:t>
            </w:r>
            <w:r>
              <w:rPr>
                <w:rFonts w:hint="eastAsia" w:eastAsiaTheme="minorEastAsia"/>
              </w:rPr>
              <w:t>m</w:t>
            </w:r>
            <w:r>
              <w:rPr>
                <w:rFonts w:hint="eastAsia" w:eastAsiaTheme="minorEastAsia"/>
                <w:vertAlign w:val="superscript"/>
              </w:rPr>
              <w:t>3</w:t>
            </w:r>
            <w:r>
              <w:rPr>
                <w:rFonts w:hint="eastAsia" w:eastAsiaTheme="minorEastAsia"/>
              </w:rPr>
              <w:t>/a。站内设置管线清管收球装置、天然气进站（出站）截断、过滤、计量、调压、放空和排污；站内配套防腐、通信、自控、供配电、土建工程。</w:t>
            </w:r>
          </w:p>
          <w:p>
            <w:pPr>
              <w:topLinePunct/>
              <w:adjustRightInd w:val="0"/>
              <w:spacing w:line="400" w:lineRule="exact"/>
              <w:ind w:right="53" w:rightChars="25" w:firstLine="420" w:firstLineChars="200"/>
              <w:jc w:val="left"/>
              <w:rPr>
                <w:rFonts w:eastAsiaTheme="minorEastAsia"/>
              </w:rPr>
            </w:pPr>
            <w:r>
              <w:rPr>
                <w:rFonts w:hint="eastAsia" w:eastAsiaTheme="minorEastAsia"/>
              </w:rPr>
              <w:t>（3）下游用气输气管网</w:t>
            </w:r>
          </w:p>
          <w:p>
            <w:pPr>
              <w:topLinePunct/>
              <w:adjustRightInd w:val="0"/>
              <w:spacing w:line="400" w:lineRule="exact"/>
              <w:ind w:right="53" w:rightChars="25" w:firstLine="420" w:firstLineChars="200"/>
              <w:jc w:val="left"/>
              <w:rPr>
                <w:rFonts w:eastAsiaTheme="minorEastAsia"/>
              </w:rPr>
            </w:pPr>
            <w:r>
              <w:rPr>
                <w:rFonts w:hint="eastAsia" w:eastAsiaTheme="minorEastAsia"/>
              </w:rPr>
              <w:t>本工程下游用气输气管道主要包括三条: 宏浩能源二期专供管道、新金路专供管道以及普光化工园区其他用气企业近远期管网。宏浩能源二期专供管道线路全长1.0km，设计压力6.3MPa，设计输量4.5x10</w:t>
            </w:r>
            <w:r>
              <w:rPr>
                <w:rFonts w:hint="eastAsia" w:eastAsiaTheme="minorEastAsia"/>
                <w:vertAlign w:val="superscript"/>
              </w:rPr>
              <w:t>8</w:t>
            </w:r>
            <w:r>
              <w:rPr>
                <w:rFonts w:hint="eastAsia" w:eastAsiaTheme="minorEastAsia"/>
              </w:rPr>
              <w:t>m</w:t>
            </w:r>
            <w:r>
              <w:rPr>
                <w:rFonts w:hint="eastAsia" w:eastAsiaTheme="minorEastAsia"/>
                <w:vertAlign w:val="superscript"/>
              </w:rPr>
              <w:t>3</w:t>
            </w:r>
            <w:r>
              <w:rPr>
                <w:rFonts w:hint="eastAsia" w:eastAsiaTheme="minorEastAsia"/>
              </w:rPr>
              <w:t>/a；新金路专供管道线路全长2.5km，设计压力6.3MPa，设计输量10x10</w:t>
            </w:r>
            <w:r>
              <w:rPr>
                <w:rFonts w:hint="eastAsia" w:eastAsiaTheme="minorEastAsia"/>
                <w:vertAlign w:val="superscript"/>
              </w:rPr>
              <w:t>8</w:t>
            </w:r>
            <w:r>
              <w:rPr>
                <w:rFonts w:hint="eastAsia" w:eastAsiaTheme="minorEastAsia"/>
              </w:rPr>
              <w:t>m</w:t>
            </w:r>
            <w:r>
              <w:rPr>
                <w:rFonts w:hint="eastAsia" w:eastAsiaTheme="minorEastAsia"/>
                <w:vertAlign w:val="superscript"/>
              </w:rPr>
              <w:t>3</w:t>
            </w:r>
            <w:r>
              <w:rPr>
                <w:rFonts w:hint="eastAsia" w:eastAsiaTheme="minorEastAsia"/>
              </w:rPr>
              <w:t>/a；普光化工园区各用气企业近远期输气管网，设计压力2.5MPa，全长18km，设埋地阀井17座。</w:t>
            </w:r>
          </w:p>
          <w:p>
            <w:pPr>
              <w:topLinePunct/>
              <w:adjustRightInd w:val="0"/>
              <w:spacing w:line="400" w:lineRule="exact"/>
              <w:jc w:val="left"/>
              <w:rPr>
                <w:rFonts w:eastAsia="黑体"/>
                <w:lang w:val="zh-CN"/>
              </w:rPr>
            </w:pPr>
            <w:r>
              <w:rPr>
                <w:rFonts w:hint="eastAsia" w:eastAsia="黑体"/>
                <w:lang w:val="zh-CN"/>
              </w:rPr>
              <w:t>3、气源概况</w:t>
            </w:r>
          </w:p>
          <w:p>
            <w:pPr>
              <w:topLinePunct/>
              <w:spacing w:line="400" w:lineRule="exact"/>
              <w:ind w:left="25" w:right="25" w:firstLine="420" w:firstLineChars="200"/>
            </w:pPr>
            <w:r>
              <w:rPr>
                <w:rFonts w:hint="eastAsia" w:hAnsi="宋体"/>
              </w:rPr>
              <w:t>根据设计，本工程气源来自中石化普光净化厂，气质组分详见下表：</w:t>
            </w:r>
          </w:p>
          <w:p>
            <w:pPr>
              <w:topLinePunct/>
              <w:spacing w:line="400" w:lineRule="exact"/>
              <w:ind w:left="25" w:right="25" w:firstLine="360" w:firstLineChars="200"/>
              <w:jc w:val="center"/>
              <w:rPr>
                <w:rFonts w:eastAsia="黑体"/>
                <w:sz w:val="18"/>
                <w:szCs w:val="18"/>
              </w:rPr>
            </w:pPr>
            <w:r>
              <w:rPr>
                <w:rFonts w:hint="eastAsia" w:eastAsia="黑体"/>
                <w:sz w:val="18"/>
                <w:szCs w:val="18"/>
              </w:rPr>
              <w:t>表2-1     项目气源气质组分表</w:t>
            </w:r>
          </w:p>
          <w:tbl>
            <w:tblPr>
              <w:tblStyle w:val="17"/>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1789"/>
              <w:gridCol w:w="1789"/>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78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90" w:firstLineChars="50"/>
                    <w:jc w:val="center"/>
                    <w:rPr>
                      <w:b/>
                      <w:sz w:val="18"/>
                      <w:szCs w:val="18"/>
                    </w:rPr>
                  </w:pPr>
                  <w:r>
                    <w:rPr>
                      <w:b/>
                      <w:sz w:val="18"/>
                      <w:szCs w:val="18"/>
                    </w:rPr>
                    <w:t>组分名称</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
                      <w:sz w:val="18"/>
                      <w:szCs w:val="18"/>
                    </w:rPr>
                  </w:pPr>
                  <w:r>
                    <w:rPr>
                      <w:rFonts w:hint="eastAsia"/>
                      <w:b/>
                      <w:sz w:val="18"/>
                      <w:szCs w:val="18"/>
                    </w:rPr>
                    <w:t>摩尔百分数（%）</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
                      <w:sz w:val="18"/>
                      <w:szCs w:val="18"/>
                    </w:rPr>
                  </w:pPr>
                  <w:r>
                    <w:rPr>
                      <w:b/>
                      <w:sz w:val="18"/>
                      <w:szCs w:val="18"/>
                    </w:rPr>
                    <w:t>组分名称</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
                      <w:sz w:val="18"/>
                      <w:szCs w:val="18"/>
                    </w:rPr>
                  </w:pPr>
                  <w:r>
                    <w:rPr>
                      <w:rFonts w:hint="eastAsia"/>
                      <w:b/>
                      <w:sz w:val="18"/>
                      <w:szCs w:val="18"/>
                    </w:rPr>
                    <w:t>摩尔百分数（%）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78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甲烷</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97.343</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二氧化碳</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78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乙烷</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0.097</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氮</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0.983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178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丙烷</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0.032</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氦</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78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氢</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0</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7155"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特征值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78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硫化氢</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0 mg/m</w:t>
                  </w:r>
                  <w:r>
                    <w:rPr>
                      <w:sz w:val="18"/>
                      <w:szCs w:val="18"/>
                      <w:vertAlign w:val="superscript"/>
                    </w:rPr>
                    <w:t>3</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高位热值</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36.3 KJ/mol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78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真实密度</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0.6924kg/m</w:t>
                  </w:r>
                  <w:r>
                    <w:rPr>
                      <w:sz w:val="18"/>
                      <w:szCs w:val="18"/>
                      <w:vertAlign w:val="superscript"/>
                    </w:rPr>
                    <w:t>3</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相对密度</w:t>
                  </w:r>
                </w:p>
              </w:tc>
              <w:tc>
                <w:tcPr>
                  <w:tcW w:w="17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0.5749</w:t>
                  </w:r>
                </w:p>
              </w:tc>
            </w:tr>
          </w:tbl>
          <w:p>
            <w:pPr>
              <w:topLinePunct/>
              <w:spacing w:line="400" w:lineRule="exact"/>
              <w:ind w:left="25" w:right="25" w:firstLine="420" w:firstLineChars="200"/>
            </w:pPr>
            <w:r>
              <w:rPr>
                <w:rFonts w:hint="eastAsia"/>
              </w:rPr>
              <w:t>天然气气质达到《天然气》（GB17820-2018）规范中相关参数要求。天然气理化性质表如下。</w:t>
            </w:r>
          </w:p>
          <w:p>
            <w:pPr>
              <w:tabs>
                <w:tab w:val="left" w:pos="2568"/>
                <w:tab w:val="center" w:pos="4553"/>
              </w:tabs>
              <w:spacing w:line="400" w:lineRule="exact"/>
              <w:ind w:left="53" w:leftChars="25" w:right="53" w:rightChars="25"/>
              <w:jc w:val="center"/>
              <w:rPr>
                <w:rFonts w:eastAsia="黑体"/>
                <w:bCs/>
                <w:sz w:val="18"/>
                <w:szCs w:val="18"/>
              </w:rPr>
            </w:pPr>
            <w:r>
              <w:rPr>
                <w:rFonts w:eastAsia="黑体"/>
                <w:bCs/>
                <w:sz w:val="18"/>
                <w:szCs w:val="18"/>
              </w:rPr>
              <w:t>表</w:t>
            </w:r>
            <w:r>
              <w:rPr>
                <w:rFonts w:hint="eastAsia" w:eastAsia="黑体"/>
                <w:bCs/>
                <w:sz w:val="18"/>
                <w:szCs w:val="18"/>
              </w:rPr>
              <w:t>2-2</w:t>
            </w:r>
            <w:r>
              <w:rPr>
                <w:rFonts w:eastAsia="黑体"/>
                <w:bCs/>
                <w:sz w:val="18"/>
                <w:szCs w:val="18"/>
              </w:rPr>
              <w:t xml:space="preserve">  </w:t>
            </w:r>
            <w:r>
              <w:rPr>
                <w:rFonts w:hint="eastAsia" w:eastAsia="黑体"/>
                <w:bCs/>
                <w:sz w:val="18"/>
                <w:szCs w:val="18"/>
              </w:rPr>
              <w:t xml:space="preserve">   天然气理化性质表</w:t>
            </w:r>
          </w:p>
          <w:tbl>
            <w:tblPr>
              <w:tblStyle w:val="17"/>
              <w:tblW w:w="6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843"/>
              <w:gridCol w:w="198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sz w:val="18"/>
                      <w:szCs w:val="18"/>
                    </w:rPr>
                  </w:pPr>
                  <w:r>
                    <w:rPr>
                      <w:b/>
                      <w:sz w:val="18"/>
                      <w:szCs w:val="18"/>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sz w:val="18"/>
                      <w:szCs w:val="18"/>
                    </w:rPr>
                  </w:pPr>
                  <w:r>
                    <w:rPr>
                      <w:b/>
                      <w:sz w:val="18"/>
                      <w:szCs w:val="18"/>
                    </w:rPr>
                    <w:t>项目</w:t>
                  </w:r>
                </w:p>
              </w:tc>
              <w:tc>
                <w:tcPr>
                  <w:tcW w:w="19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sz w:val="18"/>
                      <w:szCs w:val="18"/>
                    </w:rPr>
                  </w:pPr>
                  <w:r>
                    <w:rPr>
                      <w:b/>
                      <w:sz w:val="18"/>
                      <w:szCs w:val="18"/>
                    </w:rPr>
                    <w:t>单位</w:t>
                  </w:r>
                </w:p>
              </w:tc>
              <w:tc>
                <w:tcPr>
                  <w:tcW w:w="18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sz w:val="18"/>
                      <w:szCs w:val="18"/>
                    </w:rPr>
                  </w:pPr>
                  <w:r>
                    <w:rPr>
                      <w:b/>
                      <w:sz w:val="18"/>
                      <w:szCs w:val="18"/>
                    </w:rPr>
                    <w:t>物化性质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分子量</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w:t>
                  </w:r>
                </w:p>
              </w:tc>
              <w:tc>
                <w:tcPr>
                  <w:tcW w:w="18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16.530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密度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kg/m</w:t>
                  </w:r>
                  <w:r>
                    <w:rPr>
                      <w:rFonts w:hint="eastAsia"/>
                      <w:sz w:val="18"/>
                      <w:szCs w:val="18"/>
                      <w:vertAlign w:val="superscript"/>
                    </w:rPr>
                    <w:t>3</w:t>
                  </w:r>
                </w:p>
              </w:tc>
              <w:tc>
                <w:tcPr>
                  <w:tcW w:w="18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0.6886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3</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相对密度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w:t>
                  </w:r>
                </w:p>
              </w:tc>
              <w:tc>
                <w:tcPr>
                  <w:tcW w:w="18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0.5722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临界温度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K</w:t>
                  </w:r>
                </w:p>
              </w:tc>
              <w:tc>
                <w:tcPr>
                  <w:tcW w:w="18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191.40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5</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临界压力</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kPa</w:t>
                  </w:r>
                </w:p>
              </w:tc>
              <w:tc>
                <w:tcPr>
                  <w:tcW w:w="18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4620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6</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高位发热值</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MJ/m</w:t>
                  </w:r>
                  <w:r>
                    <w:rPr>
                      <w:rFonts w:hint="eastAsia"/>
                      <w:sz w:val="18"/>
                      <w:szCs w:val="18"/>
                      <w:vertAlign w:val="superscript"/>
                    </w:rPr>
                    <w:t>3</w:t>
                  </w:r>
                </w:p>
              </w:tc>
              <w:tc>
                <w:tcPr>
                  <w:tcW w:w="18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36.365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7</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低位发热值</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p>
              </w:tc>
              <w:tc>
                <w:tcPr>
                  <w:tcW w:w="18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32.758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8</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爆炸上限</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w:t>
                  </w:r>
                </w:p>
              </w:tc>
              <w:tc>
                <w:tcPr>
                  <w:tcW w:w="18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9</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爆炸下限</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w:t>
                  </w:r>
                </w:p>
              </w:tc>
              <w:tc>
                <w:tcPr>
                  <w:tcW w:w="18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10</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气体常数</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KJ/(kg·k)</w:t>
                  </w:r>
                </w:p>
              </w:tc>
              <w:tc>
                <w:tcPr>
                  <w:tcW w:w="18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0.5029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11</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理论燃烧温度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w:t>
                  </w:r>
                </w:p>
              </w:tc>
              <w:tc>
                <w:tcPr>
                  <w:tcW w:w="18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燃烧空气量</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m</w:t>
                  </w:r>
                  <w:r>
                    <w:rPr>
                      <w:rFonts w:hint="eastAsia"/>
                      <w:sz w:val="18"/>
                      <w:szCs w:val="18"/>
                      <w:vertAlign w:val="superscript"/>
                    </w:rPr>
                    <w:t>3</w:t>
                  </w:r>
                  <w:r>
                    <w:rPr>
                      <w:rFonts w:hint="eastAsia"/>
                      <w:sz w:val="18"/>
                      <w:szCs w:val="18"/>
                    </w:rPr>
                    <w:t>（空气）/m</w:t>
                  </w:r>
                  <w:r>
                    <w:rPr>
                      <w:rFonts w:hint="eastAsia"/>
                      <w:sz w:val="18"/>
                      <w:szCs w:val="18"/>
                      <w:vertAlign w:val="superscript"/>
                    </w:rPr>
                    <w:t>3</w:t>
                  </w:r>
                  <w:r>
                    <w:rPr>
                      <w:rFonts w:hint="eastAsia"/>
                      <w:sz w:val="18"/>
                      <w:szCs w:val="18"/>
                    </w:rPr>
                    <w:t>（燃气）</w:t>
                  </w:r>
                </w:p>
              </w:tc>
              <w:tc>
                <w:tcPr>
                  <w:tcW w:w="18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13</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燃烧烟气量</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m</w:t>
                  </w:r>
                  <w:r>
                    <w:rPr>
                      <w:rFonts w:hint="eastAsia"/>
                      <w:sz w:val="18"/>
                      <w:szCs w:val="18"/>
                      <w:vertAlign w:val="superscript"/>
                    </w:rPr>
                    <w:t>3</w:t>
                  </w:r>
                  <w:r>
                    <w:rPr>
                      <w:rFonts w:hint="eastAsia"/>
                      <w:sz w:val="18"/>
                      <w:szCs w:val="18"/>
                    </w:rPr>
                    <w:t>（空气）/m</w:t>
                  </w:r>
                  <w:r>
                    <w:rPr>
                      <w:rFonts w:hint="eastAsia"/>
                      <w:sz w:val="18"/>
                      <w:szCs w:val="18"/>
                      <w:vertAlign w:val="superscript"/>
                    </w:rPr>
                    <w:t>3</w:t>
                  </w:r>
                  <w:r>
                    <w:rPr>
                      <w:rFonts w:hint="eastAsia"/>
                      <w:sz w:val="18"/>
                      <w:szCs w:val="18"/>
                    </w:rPr>
                    <w:t>（燃气）</w:t>
                  </w:r>
                </w:p>
              </w:tc>
              <w:tc>
                <w:tcPr>
                  <w:tcW w:w="18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空气引射指数</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w:t>
                  </w:r>
                </w:p>
              </w:tc>
              <w:tc>
                <w:tcPr>
                  <w:tcW w:w="18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15</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高热华白指数</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w:t>
                  </w:r>
                </w:p>
              </w:tc>
              <w:tc>
                <w:tcPr>
                  <w:tcW w:w="18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48.10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16</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低热华白指数</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w:t>
                  </w:r>
                </w:p>
              </w:tc>
              <w:tc>
                <w:tcPr>
                  <w:tcW w:w="18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43.33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17</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燃烧势</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w:t>
                  </w:r>
                </w:p>
              </w:tc>
              <w:tc>
                <w:tcPr>
                  <w:tcW w:w="18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38.92</w:t>
                  </w:r>
                </w:p>
              </w:tc>
            </w:tr>
          </w:tbl>
          <w:p>
            <w:pPr>
              <w:autoSpaceDE w:val="0"/>
              <w:autoSpaceDN w:val="0"/>
              <w:adjustRightInd w:val="0"/>
              <w:spacing w:line="400" w:lineRule="exact"/>
              <w:jc w:val="left"/>
              <w:rPr>
                <w:rFonts w:eastAsia="黑体"/>
                <w:lang w:val="zh-CN"/>
              </w:rPr>
            </w:pPr>
            <w:r>
              <w:rPr>
                <w:rFonts w:hint="eastAsia" w:eastAsia="黑体"/>
                <w:lang w:val="zh-CN"/>
              </w:rPr>
              <w:t>4、建设内容及项目组成</w:t>
            </w:r>
          </w:p>
          <w:p>
            <w:pPr>
              <w:tabs>
                <w:tab w:val="left" w:pos="5670"/>
              </w:tabs>
              <w:spacing w:line="400" w:lineRule="exact"/>
              <w:ind w:firstLine="420" w:firstLineChars="200"/>
            </w:pPr>
            <w:r>
              <w:rPr>
                <w:rFonts w:hint="eastAsia" w:hAnsi="宋体"/>
              </w:rPr>
              <w:t>本项目建设内容主要为新建普光化工配气站、上游来气输气管线（全长6.0km）和下游用气输气管网（全长18.0km）。普光化工</w:t>
            </w:r>
            <w:r>
              <w:rPr>
                <w:rFonts w:hint="eastAsia" w:ascii="宋体" w:hAnsi="宋体"/>
              </w:rPr>
              <w:t>配气站占地面积</w:t>
            </w:r>
            <w:r>
              <w:rPr>
                <w:rFonts w:hint="eastAsia"/>
              </w:rPr>
              <w:t>9.893亩（6595.33m</w:t>
            </w:r>
            <w:r>
              <w:rPr>
                <w:rFonts w:hint="eastAsia"/>
                <w:vertAlign w:val="superscript"/>
              </w:rPr>
              <w:t>2</w:t>
            </w:r>
            <w:r>
              <w:rPr>
                <w:rFonts w:hint="eastAsia"/>
              </w:rPr>
              <w:t>）</w:t>
            </w:r>
            <w:r>
              <w:rPr>
                <w:rFonts w:hint="eastAsia" w:ascii="宋体" w:hAnsi="宋体"/>
              </w:rPr>
              <w:t>。</w:t>
            </w:r>
            <w:r>
              <w:rPr>
                <w:rFonts w:hint="eastAsia"/>
              </w:rPr>
              <w:t>管道设计压力6.3MPa，设计输量15×108m³/a</w:t>
            </w:r>
            <w:r>
              <w:rPr>
                <w:rFonts w:hint="eastAsia" w:ascii="宋体" w:hAnsi="宋体"/>
              </w:rPr>
              <w:t>。</w:t>
            </w:r>
          </w:p>
          <w:p>
            <w:pPr>
              <w:autoSpaceDE w:val="0"/>
              <w:autoSpaceDN w:val="0"/>
              <w:adjustRightInd w:val="0"/>
              <w:spacing w:line="400" w:lineRule="exact"/>
              <w:ind w:left="53" w:leftChars="25" w:right="53" w:rightChars="25" w:firstLine="420" w:firstLineChars="200"/>
              <w:rPr>
                <w:sz w:val="24"/>
              </w:rPr>
            </w:pPr>
            <w:r>
              <w:rPr>
                <w:rFonts w:hint="eastAsia"/>
              </w:rPr>
              <w:t>项目组成及主要环境问题见下表。</w:t>
            </w:r>
          </w:p>
          <w:p>
            <w:pPr>
              <w:tabs>
                <w:tab w:val="left" w:pos="2568"/>
                <w:tab w:val="center" w:pos="4553"/>
              </w:tabs>
              <w:spacing w:line="400" w:lineRule="exact"/>
              <w:ind w:left="53" w:leftChars="25" w:right="53" w:rightChars="25"/>
              <w:jc w:val="center"/>
              <w:rPr>
                <w:rFonts w:eastAsia="黑体"/>
                <w:bCs/>
                <w:sz w:val="18"/>
                <w:szCs w:val="18"/>
              </w:rPr>
            </w:pPr>
            <w:r>
              <w:rPr>
                <w:rFonts w:hint="eastAsia" w:eastAsia="黑体"/>
                <w:bCs/>
                <w:sz w:val="18"/>
                <w:szCs w:val="18"/>
              </w:rPr>
              <w:t xml:space="preserve">表2-3 </w:t>
            </w:r>
            <w:r>
              <w:rPr>
                <w:rFonts w:eastAsia="黑体"/>
                <w:bCs/>
                <w:sz w:val="18"/>
                <w:szCs w:val="18"/>
              </w:rPr>
              <w:t xml:space="preserve">    </w:t>
            </w:r>
            <w:r>
              <w:rPr>
                <w:rFonts w:hint="eastAsia" w:eastAsia="黑体"/>
                <w:bCs/>
                <w:sz w:val="18"/>
                <w:szCs w:val="18"/>
              </w:rPr>
              <w:t>项目组成及主要环境问题</w:t>
            </w:r>
          </w:p>
          <w:tbl>
            <w:tblPr>
              <w:tblStyle w:val="17"/>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47"/>
              <w:gridCol w:w="4395"/>
              <w:gridCol w:w="850"/>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jc w:val="center"/>
              </w:trPr>
              <w:tc>
                <w:tcPr>
                  <w:tcW w:w="669" w:type="dxa"/>
                  <w:vMerge w:val="restart"/>
                  <w:vAlign w:val="center"/>
                </w:tcPr>
                <w:p>
                  <w:pPr>
                    <w:autoSpaceDE w:val="0"/>
                    <w:autoSpaceDN w:val="0"/>
                    <w:adjustRightInd w:val="0"/>
                    <w:spacing w:line="280" w:lineRule="exact"/>
                    <w:ind w:left="-49" w:leftChars="-97" w:right="-187" w:rightChars="-89" w:hanging="155" w:hangingChars="86"/>
                    <w:jc w:val="center"/>
                    <w:rPr>
                      <w:b/>
                      <w:sz w:val="18"/>
                      <w:szCs w:val="18"/>
                    </w:rPr>
                  </w:pPr>
                  <w:r>
                    <w:rPr>
                      <w:b/>
                      <w:sz w:val="18"/>
                      <w:szCs w:val="18"/>
                    </w:rPr>
                    <w:t>名称</w:t>
                  </w:r>
                </w:p>
              </w:tc>
              <w:tc>
                <w:tcPr>
                  <w:tcW w:w="5142" w:type="dxa"/>
                  <w:gridSpan w:val="2"/>
                  <w:vMerge w:val="restart"/>
                  <w:vAlign w:val="center"/>
                </w:tcPr>
                <w:p>
                  <w:pPr>
                    <w:autoSpaceDE w:val="0"/>
                    <w:autoSpaceDN w:val="0"/>
                    <w:adjustRightInd w:val="0"/>
                    <w:spacing w:line="280" w:lineRule="exact"/>
                    <w:ind w:left="-53" w:leftChars="-25" w:right="-53" w:rightChars="-25"/>
                    <w:jc w:val="center"/>
                    <w:rPr>
                      <w:b/>
                      <w:sz w:val="18"/>
                      <w:szCs w:val="18"/>
                    </w:rPr>
                  </w:pPr>
                  <w:r>
                    <w:rPr>
                      <w:rFonts w:hAnsi="宋体"/>
                      <w:b/>
                      <w:sz w:val="18"/>
                      <w:szCs w:val="18"/>
                    </w:rPr>
                    <w:t>建设内容及规模</w:t>
                  </w:r>
                </w:p>
              </w:tc>
              <w:tc>
                <w:tcPr>
                  <w:tcW w:w="2072" w:type="dxa"/>
                  <w:gridSpan w:val="2"/>
                  <w:vAlign w:val="center"/>
                </w:tcPr>
                <w:p>
                  <w:pPr>
                    <w:autoSpaceDE w:val="0"/>
                    <w:autoSpaceDN w:val="0"/>
                    <w:adjustRightInd w:val="0"/>
                    <w:spacing w:line="280" w:lineRule="exact"/>
                    <w:ind w:left="-105" w:leftChars="-50" w:right="-105" w:rightChars="-50"/>
                    <w:jc w:val="center"/>
                    <w:rPr>
                      <w:b/>
                      <w:sz w:val="18"/>
                      <w:szCs w:val="18"/>
                    </w:rPr>
                  </w:pPr>
                  <w:r>
                    <w:rPr>
                      <w:rFonts w:hAnsi="宋体"/>
                      <w:b/>
                      <w:sz w:val="18"/>
                      <w:szCs w:val="18"/>
                    </w:rPr>
                    <w:t>可能产生的主要环境问题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jc w:val="center"/>
              </w:trPr>
              <w:tc>
                <w:tcPr>
                  <w:tcW w:w="669" w:type="dxa"/>
                  <w:vMerge w:val="continue"/>
                  <w:vAlign w:val="center"/>
                </w:tcPr>
                <w:p>
                  <w:pPr>
                    <w:autoSpaceDE w:val="0"/>
                    <w:autoSpaceDN w:val="0"/>
                    <w:adjustRightInd w:val="0"/>
                    <w:spacing w:line="280" w:lineRule="exact"/>
                    <w:jc w:val="center"/>
                    <w:rPr>
                      <w:b/>
                      <w:sz w:val="18"/>
                      <w:szCs w:val="18"/>
                    </w:rPr>
                  </w:pPr>
                </w:p>
              </w:tc>
              <w:tc>
                <w:tcPr>
                  <w:tcW w:w="5142" w:type="dxa"/>
                  <w:gridSpan w:val="2"/>
                  <w:vMerge w:val="continue"/>
                  <w:vAlign w:val="center"/>
                </w:tcPr>
                <w:p>
                  <w:pPr>
                    <w:autoSpaceDE w:val="0"/>
                    <w:autoSpaceDN w:val="0"/>
                    <w:adjustRightInd w:val="0"/>
                    <w:spacing w:line="280" w:lineRule="exact"/>
                    <w:ind w:left="-53" w:leftChars="-25" w:right="-53" w:rightChars="-25"/>
                    <w:jc w:val="left"/>
                    <w:rPr>
                      <w:b/>
                      <w:sz w:val="18"/>
                      <w:szCs w:val="18"/>
                    </w:rPr>
                  </w:pPr>
                </w:p>
              </w:tc>
              <w:tc>
                <w:tcPr>
                  <w:tcW w:w="850" w:type="dxa"/>
                  <w:vAlign w:val="center"/>
                </w:tcPr>
                <w:p>
                  <w:pPr>
                    <w:autoSpaceDE w:val="0"/>
                    <w:autoSpaceDN w:val="0"/>
                    <w:adjustRightInd w:val="0"/>
                    <w:spacing w:line="280" w:lineRule="exact"/>
                    <w:jc w:val="center"/>
                    <w:rPr>
                      <w:b/>
                      <w:sz w:val="18"/>
                      <w:szCs w:val="18"/>
                    </w:rPr>
                  </w:pPr>
                  <w:r>
                    <w:rPr>
                      <w:rFonts w:hAnsi="宋体"/>
                      <w:b/>
                      <w:sz w:val="18"/>
                      <w:szCs w:val="18"/>
                    </w:rPr>
                    <w:t>施工期</w:t>
                  </w:r>
                </w:p>
              </w:tc>
              <w:tc>
                <w:tcPr>
                  <w:tcW w:w="1222" w:type="dxa"/>
                  <w:vAlign w:val="center"/>
                </w:tcPr>
                <w:p>
                  <w:pPr>
                    <w:autoSpaceDE w:val="0"/>
                    <w:autoSpaceDN w:val="0"/>
                    <w:adjustRightInd w:val="0"/>
                    <w:spacing w:line="280" w:lineRule="exact"/>
                    <w:jc w:val="center"/>
                    <w:rPr>
                      <w:b/>
                      <w:sz w:val="18"/>
                      <w:szCs w:val="18"/>
                    </w:rPr>
                  </w:pPr>
                  <w:r>
                    <w:rPr>
                      <w:rFonts w:hAnsi="宋体"/>
                      <w:b/>
                      <w:sz w:val="18"/>
                      <w:szCs w:val="18"/>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669" w:type="dxa"/>
                  <w:vMerge w:val="restart"/>
                  <w:vAlign w:val="center"/>
                </w:tcPr>
                <w:p>
                  <w:pPr>
                    <w:spacing w:line="280" w:lineRule="exact"/>
                    <w:ind w:left="-105" w:leftChars="-50" w:right="-105" w:rightChars="-50"/>
                    <w:jc w:val="center"/>
                    <w:rPr>
                      <w:sz w:val="18"/>
                      <w:szCs w:val="18"/>
                    </w:rPr>
                  </w:pPr>
                  <w:r>
                    <w:rPr>
                      <w:rFonts w:hAnsi="宋体"/>
                      <w:sz w:val="18"/>
                      <w:szCs w:val="18"/>
                    </w:rPr>
                    <w:t>主体</w:t>
                  </w:r>
                </w:p>
                <w:p>
                  <w:pPr>
                    <w:spacing w:line="280" w:lineRule="exact"/>
                    <w:ind w:left="-105" w:leftChars="-50" w:right="-105" w:rightChars="-50"/>
                    <w:jc w:val="center"/>
                    <w:rPr>
                      <w:sz w:val="18"/>
                      <w:szCs w:val="18"/>
                    </w:rPr>
                  </w:pPr>
                  <w:r>
                    <w:rPr>
                      <w:rFonts w:hAnsi="宋体"/>
                      <w:sz w:val="18"/>
                      <w:szCs w:val="18"/>
                    </w:rPr>
                    <w:t>工程</w:t>
                  </w:r>
                </w:p>
              </w:tc>
              <w:tc>
                <w:tcPr>
                  <w:tcW w:w="747" w:type="dxa"/>
                  <w:vMerge w:val="restart"/>
                  <w:vAlign w:val="center"/>
                </w:tcPr>
                <w:p>
                  <w:pPr>
                    <w:spacing w:line="280" w:lineRule="exact"/>
                    <w:ind w:left="-53" w:leftChars="-25" w:right="-53" w:rightChars="-25"/>
                    <w:jc w:val="center"/>
                    <w:rPr>
                      <w:sz w:val="18"/>
                      <w:szCs w:val="18"/>
                    </w:rPr>
                  </w:pPr>
                  <w:r>
                    <w:rPr>
                      <w:sz w:val="18"/>
                      <w:szCs w:val="18"/>
                    </w:rPr>
                    <w:t>站场</w:t>
                  </w:r>
                </w:p>
                <w:p>
                  <w:pPr>
                    <w:spacing w:line="280" w:lineRule="exact"/>
                    <w:ind w:left="-53" w:leftChars="-25" w:right="-53" w:rightChars="-25"/>
                    <w:jc w:val="center"/>
                    <w:rPr>
                      <w:sz w:val="18"/>
                      <w:szCs w:val="18"/>
                    </w:rPr>
                  </w:pPr>
                  <w:r>
                    <w:rPr>
                      <w:sz w:val="18"/>
                      <w:szCs w:val="18"/>
                    </w:rPr>
                    <w:t>工程</w:t>
                  </w:r>
                </w:p>
              </w:tc>
              <w:tc>
                <w:tcPr>
                  <w:tcW w:w="4395" w:type="dxa"/>
                  <w:vAlign w:val="center"/>
                </w:tcPr>
                <w:p>
                  <w:pPr>
                    <w:spacing w:line="280" w:lineRule="exact"/>
                    <w:ind w:left="-53" w:leftChars="-25" w:right="-53" w:rightChars="-25"/>
                    <w:jc w:val="left"/>
                    <w:rPr>
                      <w:sz w:val="18"/>
                      <w:szCs w:val="18"/>
                    </w:rPr>
                  </w:pPr>
                  <w:r>
                    <w:rPr>
                      <w:sz w:val="18"/>
                      <w:szCs w:val="18"/>
                    </w:rPr>
                    <w:t>新建配气站一座，属于五级站，包括</w:t>
                  </w:r>
                  <w:r>
                    <w:rPr>
                      <w:rFonts w:hint="eastAsia"/>
                      <w:sz w:val="18"/>
                      <w:szCs w:val="18"/>
                    </w:rPr>
                    <w:t>3层钢筋混凝土框架结构生产用房一栋，建筑面积为1177.8m</w:t>
                  </w:r>
                  <w:r>
                    <w:rPr>
                      <w:rFonts w:hint="eastAsia"/>
                      <w:sz w:val="18"/>
                      <w:szCs w:val="18"/>
                      <w:vertAlign w:val="superscript"/>
                    </w:rPr>
                    <w:t>2</w:t>
                  </w:r>
                </w:p>
              </w:tc>
              <w:tc>
                <w:tcPr>
                  <w:tcW w:w="850" w:type="dxa"/>
                  <w:vMerge w:val="restart"/>
                  <w:vAlign w:val="center"/>
                </w:tcPr>
                <w:p>
                  <w:pPr>
                    <w:spacing w:line="280" w:lineRule="exact"/>
                    <w:jc w:val="center"/>
                    <w:rPr>
                      <w:sz w:val="18"/>
                      <w:szCs w:val="18"/>
                    </w:rPr>
                  </w:pPr>
                  <w:r>
                    <w:rPr>
                      <w:rFonts w:hint="eastAsia"/>
                      <w:sz w:val="18"/>
                      <w:szCs w:val="18"/>
                    </w:rPr>
                    <w:t>施工废气、废水、噪声及施工固废、水土流失、生态环境影响</w:t>
                  </w:r>
                </w:p>
              </w:tc>
              <w:tc>
                <w:tcPr>
                  <w:tcW w:w="1222" w:type="dxa"/>
                  <w:tcBorders>
                    <w:bottom w:val="single" w:color="auto" w:sz="4" w:space="0"/>
                  </w:tcBorders>
                  <w:vAlign w:val="center"/>
                </w:tcPr>
                <w:p>
                  <w:pPr>
                    <w:spacing w:line="240" w:lineRule="exact"/>
                    <w:jc w:val="center"/>
                    <w:rPr>
                      <w:sz w:val="18"/>
                      <w:szCs w:val="18"/>
                    </w:rPr>
                  </w:pPr>
                  <w:r>
                    <w:rPr>
                      <w:sz w:val="18"/>
                      <w:szCs w:val="18"/>
                    </w:rPr>
                    <w:t>生活污水、生活垃圾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669" w:type="dxa"/>
                  <w:vMerge w:val="continue"/>
                  <w:vAlign w:val="center"/>
                </w:tcPr>
                <w:p>
                  <w:pPr>
                    <w:spacing w:line="280" w:lineRule="exact"/>
                    <w:ind w:left="-105" w:leftChars="-50" w:right="-105" w:rightChars="-50"/>
                    <w:jc w:val="center"/>
                    <w:rPr>
                      <w:rFonts w:hAnsi="宋体"/>
                      <w:sz w:val="18"/>
                      <w:szCs w:val="18"/>
                    </w:rPr>
                  </w:pPr>
                </w:p>
              </w:tc>
              <w:tc>
                <w:tcPr>
                  <w:tcW w:w="747" w:type="dxa"/>
                  <w:vMerge w:val="continue"/>
                  <w:vAlign w:val="center"/>
                </w:tcPr>
                <w:p>
                  <w:pPr>
                    <w:spacing w:line="280" w:lineRule="exact"/>
                    <w:ind w:left="-53" w:leftChars="-25" w:right="-53" w:rightChars="-25"/>
                    <w:jc w:val="center"/>
                    <w:rPr>
                      <w:sz w:val="18"/>
                      <w:szCs w:val="18"/>
                    </w:rPr>
                  </w:pPr>
                </w:p>
              </w:tc>
              <w:tc>
                <w:tcPr>
                  <w:tcW w:w="4395" w:type="dxa"/>
                  <w:vAlign w:val="center"/>
                </w:tcPr>
                <w:p>
                  <w:pPr>
                    <w:spacing w:line="280" w:lineRule="exact"/>
                    <w:ind w:left="-53" w:leftChars="-25" w:right="-53" w:rightChars="-25"/>
                    <w:jc w:val="left"/>
                    <w:rPr>
                      <w:sz w:val="18"/>
                      <w:szCs w:val="18"/>
                    </w:rPr>
                  </w:pPr>
                  <w:r>
                    <w:rPr>
                      <w:rFonts w:hint="eastAsia"/>
                      <w:sz w:val="18"/>
                      <w:szCs w:val="18"/>
                    </w:rPr>
                    <w:t>工艺装置区：设计压力为 6.3MPa/4.0MPa/2.5MPa，供气规模为15×10</w:t>
                  </w:r>
                  <w:r>
                    <w:rPr>
                      <w:rFonts w:hint="eastAsia"/>
                      <w:sz w:val="18"/>
                      <w:szCs w:val="18"/>
                      <w:vertAlign w:val="superscript"/>
                    </w:rPr>
                    <w:t>8</w:t>
                  </w:r>
                  <w:r>
                    <w:rPr>
                      <w:rFonts w:hint="eastAsia"/>
                      <w:sz w:val="18"/>
                      <w:szCs w:val="18"/>
                    </w:rPr>
                    <w:t>m³/a；包含过滤、调压、计量等生产工艺及设备，属于五级天然气站场</w:t>
                  </w:r>
                </w:p>
              </w:tc>
              <w:tc>
                <w:tcPr>
                  <w:tcW w:w="850" w:type="dxa"/>
                  <w:vMerge w:val="continue"/>
                  <w:vAlign w:val="center"/>
                </w:tcPr>
                <w:p>
                  <w:pPr>
                    <w:spacing w:line="280" w:lineRule="exact"/>
                    <w:jc w:val="center"/>
                    <w:rPr>
                      <w:sz w:val="18"/>
                      <w:szCs w:val="18"/>
                    </w:rPr>
                  </w:pPr>
                </w:p>
              </w:tc>
              <w:tc>
                <w:tcPr>
                  <w:tcW w:w="1222" w:type="dxa"/>
                  <w:tcBorders>
                    <w:bottom w:val="single" w:color="auto" w:sz="4" w:space="0"/>
                  </w:tcBorders>
                  <w:vAlign w:val="center"/>
                </w:tcPr>
                <w:p>
                  <w:pPr>
                    <w:spacing w:line="240" w:lineRule="exact"/>
                    <w:jc w:val="center"/>
                    <w:rPr>
                      <w:rFonts w:hAnsi="宋体"/>
                      <w:sz w:val="18"/>
                      <w:szCs w:val="18"/>
                    </w:rPr>
                  </w:pPr>
                  <w:r>
                    <w:rPr>
                      <w:rFonts w:hAnsi="宋体"/>
                      <w:sz w:val="18"/>
                      <w:szCs w:val="18"/>
                    </w:rPr>
                    <w:t>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669" w:type="dxa"/>
                  <w:vMerge w:val="continue"/>
                  <w:vAlign w:val="center"/>
                </w:tcPr>
                <w:p>
                  <w:pPr>
                    <w:spacing w:line="280" w:lineRule="exact"/>
                    <w:ind w:left="-105" w:leftChars="-50" w:right="-105" w:rightChars="-50"/>
                    <w:jc w:val="center"/>
                    <w:rPr>
                      <w:rFonts w:hAnsi="宋体"/>
                      <w:sz w:val="18"/>
                      <w:szCs w:val="18"/>
                    </w:rPr>
                  </w:pPr>
                </w:p>
              </w:tc>
              <w:tc>
                <w:tcPr>
                  <w:tcW w:w="747" w:type="dxa"/>
                  <w:vMerge w:val="continue"/>
                  <w:vAlign w:val="center"/>
                </w:tcPr>
                <w:p>
                  <w:pPr>
                    <w:spacing w:line="280" w:lineRule="exact"/>
                    <w:ind w:left="-53" w:leftChars="-25" w:right="-53" w:rightChars="-25"/>
                    <w:jc w:val="center"/>
                    <w:rPr>
                      <w:sz w:val="18"/>
                      <w:szCs w:val="18"/>
                      <w:highlight w:val="yellow"/>
                    </w:rPr>
                  </w:pPr>
                </w:p>
              </w:tc>
              <w:tc>
                <w:tcPr>
                  <w:tcW w:w="4395" w:type="dxa"/>
                  <w:vAlign w:val="center"/>
                </w:tcPr>
                <w:p>
                  <w:pPr>
                    <w:spacing w:line="280" w:lineRule="exact"/>
                    <w:ind w:left="-53" w:leftChars="-25" w:right="-53" w:rightChars="-25"/>
                    <w:jc w:val="left"/>
                    <w:rPr>
                      <w:sz w:val="18"/>
                      <w:szCs w:val="18"/>
                    </w:rPr>
                  </w:pPr>
                  <w:r>
                    <w:rPr>
                      <w:sz w:val="18"/>
                      <w:szCs w:val="18"/>
                    </w:rPr>
                    <w:t>放散区：主要设有阀井和放散管，位于站区上风侧。</w:t>
                  </w:r>
                  <w:r>
                    <w:rPr>
                      <w:rFonts w:hint="eastAsia"/>
                      <w:sz w:val="18"/>
                      <w:szCs w:val="18"/>
                    </w:rPr>
                    <w:t>阀井采用双放散直埋式焊接球阀段阀门，放散管高度约25m</w:t>
                  </w:r>
                </w:p>
              </w:tc>
              <w:tc>
                <w:tcPr>
                  <w:tcW w:w="850" w:type="dxa"/>
                  <w:vMerge w:val="continue"/>
                  <w:vAlign w:val="center"/>
                </w:tcPr>
                <w:p>
                  <w:pPr>
                    <w:spacing w:line="280" w:lineRule="exact"/>
                    <w:jc w:val="center"/>
                    <w:rPr>
                      <w:sz w:val="18"/>
                      <w:szCs w:val="18"/>
                    </w:rPr>
                  </w:pPr>
                </w:p>
              </w:tc>
              <w:tc>
                <w:tcPr>
                  <w:tcW w:w="1222" w:type="dxa"/>
                  <w:tcBorders>
                    <w:bottom w:val="single" w:color="auto" w:sz="4" w:space="0"/>
                  </w:tcBorders>
                  <w:vAlign w:val="center"/>
                </w:tcPr>
                <w:p>
                  <w:pPr>
                    <w:spacing w:line="240" w:lineRule="exact"/>
                    <w:jc w:val="center"/>
                    <w:rPr>
                      <w:rFonts w:hAnsi="宋体"/>
                      <w:sz w:val="18"/>
                      <w:szCs w:val="18"/>
                    </w:rPr>
                  </w:pPr>
                  <w:r>
                    <w:rPr>
                      <w:rFonts w:hAnsi="宋体"/>
                      <w:sz w:val="18"/>
                      <w:szCs w:val="18"/>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669" w:type="dxa"/>
                  <w:vMerge w:val="continue"/>
                  <w:vAlign w:val="center"/>
                </w:tcPr>
                <w:p>
                  <w:pPr>
                    <w:spacing w:line="280" w:lineRule="exact"/>
                    <w:ind w:left="-105" w:leftChars="-50" w:right="-105" w:rightChars="-50"/>
                    <w:jc w:val="center"/>
                    <w:rPr>
                      <w:rFonts w:hAnsi="宋体"/>
                      <w:sz w:val="18"/>
                      <w:szCs w:val="18"/>
                    </w:rPr>
                  </w:pPr>
                </w:p>
              </w:tc>
              <w:tc>
                <w:tcPr>
                  <w:tcW w:w="747" w:type="dxa"/>
                  <w:vMerge w:val="restart"/>
                  <w:vAlign w:val="center"/>
                </w:tcPr>
                <w:p>
                  <w:pPr>
                    <w:spacing w:line="280" w:lineRule="exact"/>
                    <w:ind w:left="-53" w:leftChars="-25" w:right="-53" w:rightChars="-25"/>
                    <w:jc w:val="center"/>
                    <w:rPr>
                      <w:rFonts w:ascii="宋体" w:hAnsi="宋体"/>
                      <w:sz w:val="18"/>
                      <w:szCs w:val="18"/>
                    </w:rPr>
                  </w:pPr>
                  <w:r>
                    <w:rPr>
                      <w:rFonts w:hint="eastAsia" w:ascii="宋体" w:hAnsi="宋体"/>
                      <w:sz w:val="18"/>
                      <w:szCs w:val="18"/>
                    </w:rPr>
                    <w:t>管线</w:t>
                  </w:r>
                </w:p>
                <w:p>
                  <w:pPr>
                    <w:spacing w:line="280" w:lineRule="exact"/>
                    <w:ind w:left="-53" w:leftChars="-25" w:right="-53" w:rightChars="-25"/>
                    <w:jc w:val="center"/>
                    <w:rPr>
                      <w:rFonts w:ascii="宋体" w:hAnsi="宋体"/>
                      <w:sz w:val="18"/>
                      <w:szCs w:val="18"/>
                    </w:rPr>
                  </w:pPr>
                  <w:r>
                    <w:rPr>
                      <w:rFonts w:hint="eastAsia" w:ascii="宋体" w:hAnsi="宋体"/>
                      <w:sz w:val="18"/>
                      <w:szCs w:val="18"/>
                    </w:rPr>
                    <w:t>工程</w:t>
                  </w:r>
                </w:p>
              </w:tc>
              <w:tc>
                <w:tcPr>
                  <w:tcW w:w="4395" w:type="dxa"/>
                  <w:vAlign w:val="center"/>
                </w:tcPr>
                <w:p>
                  <w:pPr>
                    <w:wordWrap w:val="0"/>
                    <w:spacing w:line="280" w:lineRule="exact"/>
                    <w:ind w:left="-53" w:leftChars="-25" w:right="-53" w:rightChars="-25"/>
                    <w:jc w:val="left"/>
                    <w:rPr>
                      <w:sz w:val="18"/>
                      <w:szCs w:val="18"/>
                    </w:rPr>
                  </w:pPr>
                  <w:r>
                    <w:rPr>
                      <w:rFonts w:hint="eastAsia"/>
                      <w:sz w:val="18"/>
                      <w:szCs w:val="18"/>
                    </w:rPr>
                    <w:t>上游来气输气管线：全长6.0km（全线采用D325×8L360NPSL2无缝钢管，设计压力6.3MPa，设计输量15×10</w:t>
                  </w:r>
                  <w:r>
                    <w:rPr>
                      <w:rFonts w:hint="eastAsia"/>
                      <w:sz w:val="18"/>
                      <w:szCs w:val="18"/>
                      <w:vertAlign w:val="superscript"/>
                    </w:rPr>
                    <w:t>8</w:t>
                  </w:r>
                  <w:r>
                    <w:rPr>
                      <w:rFonts w:hint="eastAsia"/>
                      <w:sz w:val="18"/>
                      <w:szCs w:val="18"/>
                    </w:rPr>
                    <w:t>m³/a）</w:t>
                  </w:r>
                </w:p>
              </w:tc>
              <w:tc>
                <w:tcPr>
                  <w:tcW w:w="850" w:type="dxa"/>
                  <w:vMerge w:val="continue"/>
                  <w:vAlign w:val="center"/>
                </w:tcPr>
                <w:p>
                  <w:pPr>
                    <w:spacing w:line="280" w:lineRule="exact"/>
                    <w:jc w:val="center"/>
                    <w:rPr>
                      <w:sz w:val="18"/>
                      <w:szCs w:val="18"/>
                    </w:rPr>
                  </w:pPr>
                </w:p>
              </w:tc>
              <w:tc>
                <w:tcPr>
                  <w:tcW w:w="1222" w:type="dxa"/>
                  <w:tcBorders>
                    <w:bottom w:val="single" w:color="auto" w:sz="4" w:space="0"/>
                  </w:tcBorders>
                  <w:vAlign w:val="center"/>
                </w:tcPr>
                <w:p>
                  <w:pPr>
                    <w:spacing w:line="240" w:lineRule="exact"/>
                    <w:jc w:val="center"/>
                    <w:rPr>
                      <w:rFonts w:hAnsi="宋体"/>
                      <w:sz w:val="18"/>
                      <w:szCs w:val="18"/>
                    </w:rPr>
                  </w:pPr>
                  <w:r>
                    <w:rPr>
                      <w:rFonts w:hAnsi="宋体"/>
                      <w:sz w:val="18"/>
                      <w:szCs w:val="18"/>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669" w:type="dxa"/>
                  <w:vMerge w:val="continue"/>
                  <w:vAlign w:val="center"/>
                </w:tcPr>
                <w:p>
                  <w:pPr>
                    <w:spacing w:line="280" w:lineRule="exact"/>
                    <w:ind w:left="-105" w:leftChars="-50" w:right="-105" w:rightChars="-50"/>
                    <w:jc w:val="center"/>
                    <w:rPr>
                      <w:rFonts w:hAnsi="宋体"/>
                      <w:sz w:val="18"/>
                      <w:szCs w:val="18"/>
                    </w:rPr>
                  </w:pPr>
                </w:p>
              </w:tc>
              <w:tc>
                <w:tcPr>
                  <w:tcW w:w="747" w:type="dxa"/>
                  <w:vMerge w:val="continue"/>
                  <w:vAlign w:val="center"/>
                </w:tcPr>
                <w:p>
                  <w:pPr>
                    <w:spacing w:line="280" w:lineRule="exact"/>
                    <w:ind w:left="-53" w:leftChars="-25" w:right="-53" w:rightChars="-25"/>
                    <w:jc w:val="center"/>
                    <w:rPr>
                      <w:rFonts w:ascii="宋体" w:hAnsi="宋体"/>
                      <w:sz w:val="18"/>
                      <w:szCs w:val="18"/>
                    </w:rPr>
                  </w:pPr>
                </w:p>
              </w:tc>
              <w:tc>
                <w:tcPr>
                  <w:tcW w:w="4395" w:type="dxa"/>
                  <w:vAlign w:val="center"/>
                </w:tcPr>
                <w:p>
                  <w:pPr>
                    <w:wordWrap w:val="0"/>
                    <w:spacing w:line="280" w:lineRule="exact"/>
                    <w:ind w:left="-53" w:leftChars="-25" w:right="-53" w:rightChars="-25"/>
                    <w:jc w:val="left"/>
                    <w:rPr>
                      <w:sz w:val="18"/>
                      <w:szCs w:val="18"/>
                    </w:rPr>
                  </w:pPr>
                  <w:r>
                    <w:rPr>
                      <w:rFonts w:hint="eastAsia"/>
                      <w:sz w:val="18"/>
                      <w:szCs w:val="18"/>
                    </w:rPr>
                    <w:t>下游用气输气管线：共3条，全长21.5km，包括</w:t>
                  </w:r>
                  <w:r>
                    <w:rPr>
                      <w:rFonts w:hint="eastAsia" w:eastAsiaTheme="minorEastAsia"/>
                      <w:sz w:val="18"/>
                    </w:rPr>
                    <w:t>宏浩能源二期专供管道、新金路专供管道以及普光化工园区其他用气企业近远期管网，设有17座用户接口埋地阀井</w:t>
                  </w:r>
                </w:p>
              </w:tc>
              <w:tc>
                <w:tcPr>
                  <w:tcW w:w="850" w:type="dxa"/>
                  <w:vMerge w:val="continue"/>
                  <w:vAlign w:val="center"/>
                </w:tcPr>
                <w:p>
                  <w:pPr>
                    <w:spacing w:line="280" w:lineRule="exact"/>
                    <w:jc w:val="center"/>
                    <w:rPr>
                      <w:sz w:val="18"/>
                      <w:szCs w:val="18"/>
                    </w:rPr>
                  </w:pPr>
                </w:p>
              </w:tc>
              <w:tc>
                <w:tcPr>
                  <w:tcW w:w="1222" w:type="dxa"/>
                  <w:tcBorders>
                    <w:bottom w:val="single" w:color="auto" w:sz="4" w:space="0"/>
                  </w:tcBorders>
                  <w:vAlign w:val="center"/>
                </w:tcPr>
                <w:p>
                  <w:pPr>
                    <w:spacing w:line="240" w:lineRule="exact"/>
                    <w:jc w:val="center"/>
                    <w:rPr>
                      <w:rFonts w:hAnsi="宋体"/>
                      <w:sz w:val="18"/>
                      <w:szCs w:val="18"/>
                    </w:rPr>
                  </w:pPr>
                  <w:r>
                    <w:rPr>
                      <w:rFonts w:hAnsi="宋体"/>
                      <w:sz w:val="18"/>
                      <w:szCs w:val="18"/>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669" w:type="dxa"/>
                  <w:vMerge w:val="continue"/>
                  <w:vAlign w:val="center"/>
                </w:tcPr>
                <w:p>
                  <w:pPr>
                    <w:spacing w:line="280" w:lineRule="exact"/>
                    <w:ind w:left="-105" w:leftChars="-50" w:right="-105" w:rightChars="-50"/>
                    <w:jc w:val="center"/>
                    <w:rPr>
                      <w:rFonts w:hAnsi="宋体"/>
                      <w:sz w:val="18"/>
                      <w:szCs w:val="18"/>
                    </w:rPr>
                  </w:pPr>
                </w:p>
              </w:tc>
              <w:tc>
                <w:tcPr>
                  <w:tcW w:w="747" w:type="dxa"/>
                  <w:vMerge w:val="restart"/>
                  <w:vAlign w:val="center"/>
                </w:tcPr>
                <w:p>
                  <w:pPr>
                    <w:spacing w:line="280" w:lineRule="exact"/>
                    <w:ind w:left="-53" w:leftChars="-25" w:right="-53" w:rightChars="-25"/>
                    <w:jc w:val="center"/>
                    <w:rPr>
                      <w:rFonts w:ascii="宋体" w:hAnsi="宋体"/>
                      <w:sz w:val="18"/>
                      <w:szCs w:val="18"/>
                    </w:rPr>
                  </w:pPr>
                  <w:r>
                    <w:rPr>
                      <w:rFonts w:hint="eastAsia" w:ascii="宋体" w:hAnsi="宋体"/>
                      <w:sz w:val="18"/>
                      <w:szCs w:val="18"/>
                    </w:rPr>
                    <w:t>穿越</w:t>
                  </w:r>
                </w:p>
                <w:p>
                  <w:pPr>
                    <w:spacing w:line="280" w:lineRule="exact"/>
                    <w:ind w:left="-53" w:leftChars="-25" w:right="-53" w:rightChars="-25"/>
                    <w:jc w:val="center"/>
                    <w:rPr>
                      <w:rFonts w:ascii="宋体" w:hAnsi="宋体"/>
                      <w:sz w:val="18"/>
                      <w:szCs w:val="18"/>
                    </w:rPr>
                  </w:pPr>
                  <w:r>
                    <w:rPr>
                      <w:rFonts w:hint="eastAsia" w:ascii="宋体" w:hAnsi="宋体"/>
                      <w:sz w:val="18"/>
                      <w:szCs w:val="18"/>
                    </w:rPr>
                    <w:t>工程</w:t>
                  </w:r>
                </w:p>
              </w:tc>
              <w:tc>
                <w:tcPr>
                  <w:tcW w:w="4395" w:type="dxa"/>
                  <w:vAlign w:val="center"/>
                </w:tcPr>
                <w:p>
                  <w:pPr>
                    <w:spacing w:line="280" w:lineRule="exact"/>
                    <w:ind w:left="-53" w:leftChars="-25" w:right="-53" w:rightChars="-25"/>
                    <w:jc w:val="left"/>
                    <w:rPr>
                      <w:rFonts w:ascii="宋体" w:hAnsi="宋体"/>
                      <w:sz w:val="18"/>
                      <w:szCs w:val="18"/>
                    </w:rPr>
                  </w:pPr>
                  <w:r>
                    <w:rPr>
                      <w:rFonts w:hint="eastAsia"/>
                      <w:sz w:val="18"/>
                      <w:szCs w:val="18"/>
                    </w:rPr>
                    <w:t>上游来气输气管线：</w:t>
                  </w:r>
                  <w:r>
                    <w:rPr>
                      <w:rFonts w:hint="eastAsia" w:ascii="宋体" w:hAnsi="宋体"/>
                      <w:sz w:val="18"/>
                      <w:szCs w:val="18"/>
                    </w:rPr>
                    <w:t>小型河流穿越1次，规划道路穿越2次，水泥道路穿越10次，国家管网川东北至川西联络线穿越1次，中石化毛达管线穿越4次</w:t>
                  </w:r>
                </w:p>
              </w:tc>
              <w:tc>
                <w:tcPr>
                  <w:tcW w:w="850" w:type="dxa"/>
                  <w:vMerge w:val="continue"/>
                  <w:vAlign w:val="center"/>
                </w:tcPr>
                <w:p>
                  <w:pPr>
                    <w:spacing w:line="280" w:lineRule="exact"/>
                    <w:jc w:val="center"/>
                    <w:rPr>
                      <w:sz w:val="18"/>
                      <w:szCs w:val="18"/>
                    </w:rPr>
                  </w:pPr>
                </w:p>
              </w:tc>
              <w:tc>
                <w:tcPr>
                  <w:tcW w:w="1222" w:type="dxa"/>
                  <w:tcBorders>
                    <w:bottom w:val="single" w:color="auto" w:sz="4" w:space="0"/>
                  </w:tcBorders>
                  <w:vAlign w:val="center"/>
                </w:tcPr>
                <w:p>
                  <w:pPr>
                    <w:spacing w:line="240" w:lineRule="exact"/>
                    <w:jc w:val="center"/>
                    <w:rPr>
                      <w:rFonts w:hAnsi="宋体"/>
                      <w:sz w:val="18"/>
                      <w:szCs w:val="18"/>
                    </w:rPr>
                  </w:pP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669" w:type="dxa"/>
                  <w:vMerge w:val="continue"/>
                  <w:vAlign w:val="center"/>
                </w:tcPr>
                <w:p>
                  <w:pPr>
                    <w:spacing w:line="280" w:lineRule="exact"/>
                    <w:ind w:left="-105" w:leftChars="-50" w:right="-105" w:rightChars="-50"/>
                    <w:jc w:val="center"/>
                    <w:rPr>
                      <w:rFonts w:hAnsi="宋体"/>
                      <w:sz w:val="18"/>
                      <w:szCs w:val="18"/>
                    </w:rPr>
                  </w:pPr>
                </w:p>
              </w:tc>
              <w:tc>
                <w:tcPr>
                  <w:tcW w:w="747" w:type="dxa"/>
                  <w:vMerge w:val="continue"/>
                  <w:vAlign w:val="center"/>
                </w:tcPr>
                <w:p>
                  <w:pPr>
                    <w:spacing w:line="280" w:lineRule="exact"/>
                    <w:ind w:left="-53" w:leftChars="-25" w:right="-53" w:rightChars="-25"/>
                    <w:jc w:val="center"/>
                    <w:rPr>
                      <w:rFonts w:ascii="宋体" w:hAnsi="宋体"/>
                      <w:sz w:val="18"/>
                      <w:szCs w:val="18"/>
                    </w:rPr>
                  </w:pPr>
                </w:p>
              </w:tc>
              <w:tc>
                <w:tcPr>
                  <w:tcW w:w="4395" w:type="dxa"/>
                  <w:vAlign w:val="center"/>
                </w:tcPr>
                <w:p>
                  <w:pPr>
                    <w:spacing w:line="280" w:lineRule="exact"/>
                    <w:ind w:left="-53" w:leftChars="-25" w:right="-53" w:rightChars="-25"/>
                    <w:jc w:val="left"/>
                    <w:rPr>
                      <w:rFonts w:ascii="宋体" w:hAnsi="宋体"/>
                      <w:sz w:val="18"/>
                      <w:szCs w:val="18"/>
                    </w:rPr>
                  </w:pPr>
                  <w:r>
                    <w:rPr>
                      <w:rFonts w:hint="eastAsia"/>
                      <w:sz w:val="18"/>
                      <w:szCs w:val="18"/>
                    </w:rPr>
                    <w:t>下游用气输气管线：</w:t>
                  </w:r>
                  <w:r>
                    <w:rPr>
                      <w:rFonts w:hint="eastAsia" w:ascii="宋体" w:hAnsi="宋体"/>
                      <w:sz w:val="18"/>
                      <w:szCs w:val="18"/>
                    </w:rPr>
                    <w:t>线路全线采用沟埋敷设，沿途穿越沥青道路10次，水泥路12次，沿途穿越通信光缆5处穿越其他管道15处。</w:t>
                  </w:r>
                </w:p>
              </w:tc>
              <w:tc>
                <w:tcPr>
                  <w:tcW w:w="850" w:type="dxa"/>
                  <w:vMerge w:val="continue"/>
                  <w:vAlign w:val="center"/>
                </w:tcPr>
                <w:p>
                  <w:pPr>
                    <w:spacing w:line="280" w:lineRule="exact"/>
                    <w:jc w:val="center"/>
                    <w:rPr>
                      <w:sz w:val="18"/>
                      <w:szCs w:val="18"/>
                    </w:rPr>
                  </w:pPr>
                </w:p>
              </w:tc>
              <w:tc>
                <w:tcPr>
                  <w:tcW w:w="1222" w:type="dxa"/>
                  <w:tcBorders>
                    <w:bottom w:val="single" w:color="auto" w:sz="4" w:space="0"/>
                  </w:tcBorders>
                  <w:vAlign w:val="center"/>
                </w:tcPr>
                <w:p>
                  <w:pPr>
                    <w:spacing w:line="240" w:lineRule="exact"/>
                    <w:jc w:val="center"/>
                    <w:rPr>
                      <w:rFonts w:hAnsi="宋体"/>
                      <w:sz w:val="18"/>
                      <w:szCs w:val="18"/>
                    </w:rPr>
                  </w:pP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669" w:type="dxa"/>
                  <w:vMerge w:val="continue"/>
                  <w:vAlign w:val="center"/>
                </w:tcPr>
                <w:p>
                  <w:pPr>
                    <w:spacing w:line="280" w:lineRule="exact"/>
                    <w:ind w:left="-105" w:leftChars="-50" w:right="-105" w:rightChars="-50"/>
                    <w:jc w:val="center"/>
                    <w:rPr>
                      <w:rFonts w:hAnsi="宋体"/>
                      <w:sz w:val="18"/>
                      <w:szCs w:val="18"/>
                    </w:rPr>
                  </w:pPr>
                </w:p>
              </w:tc>
              <w:tc>
                <w:tcPr>
                  <w:tcW w:w="747" w:type="dxa"/>
                  <w:vAlign w:val="center"/>
                </w:tcPr>
                <w:p>
                  <w:pPr>
                    <w:spacing w:line="280" w:lineRule="exact"/>
                    <w:ind w:left="-53" w:leftChars="-25" w:right="-53" w:rightChars="-25"/>
                    <w:jc w:val="center"/>
                    <w:rPr>
                      <w:rFonts w:ascii="宋体" w:hAnsi="宋体"/>
                      <w:sz w:val="18"/>
                      <w:szCs w:val="18"/>
                    </w:rPr>
                  </w:pPr>
                  <w:r>
                    <w:rPr>
                      <w:rFonts w:hint="eastAsia" w:ascii="宋体" w:hAnsi="宋体"/>
                      <w:sz w:val="18"/>
                      <w:szCs w:val="18"/>
                    </w:rPr>
                    <w:t>管道</w:t>
                  </w:r>
                </w:p>
                <w:p>
                  <w:pPr>
                    <w:spacing w:line="280" w:lineRule="exact"/>
                    <w:ind w:left="-53" w:leftChars="-25" w:right="-53" w:rightChars="-25"/>
                    <w:jc w:val="center"/>
                    <w:rPr>
                      <w:rFonts w:ascii="宋体" w:hAnsi="宋体"/>
                      <w:sz w:val="18"/>
                      <w:szCs w:val="18"/>
                    </w:rPr>
                  </w:pPr>
                  <w:r>
                    <w:rPr>
                      <w:rFonts w:hint="eastAsia" w:ascii="宋体" w:hAnsi="宋体"/>
                      <w:sz w:val="18"/>
                      <w:szCs w:val="18"/>
                    </w:rPr>
                    <w:t>防腐</w:t>
                  </w:r>
                </w:p>
              </w:tc>
              <w:tc>
                <w:tcPr>
                  <w:tcW w:w="4395" w:type="dxa"/>
                  <w:vAlign w:val="center"/>
                </w:tcPr>
                <w:p>
                  <w:pPr>
                    <w:spacing w:line="280" w:lineRule="exact"/>
                    <w:ind w:left="-53" w:leftChars="-25" w:right="-53" w:rightChars="-25"/>
                    <w:jc w:val="left"/>
                    <w:rPr>
                      <w:rFonts w:ascii="宋体" w:hAnsi="宋体"/>
                      <w:sz w:val="18"/>
                      <w:szCs w:val="18"/>
                    </w:rPr>
                  </w:pPr>
                  <w:r>
                    <w:rPr>
                      <w:rFonts w:hint="eastAsia" w:hAnsi="宋体"/>
                      <w:spacing w:val="-4"/>
                      <w:sz w:val="18"/>
                      <w:szCs w:val="18"/>
                    </w:rPr>
                    <w:t>本项目输气管道采用外防腐层加阴极保护的联合保护方案。站场埋地管道外防腐层采用三层PE防腐层，露空管道和设备采用涂装涂料防腐的保护方案。所输送的天然气为净化气，管道内壁不采取防腐措施。</w:t>
                  </w:r>
                </w:p>
              </w:tc>
              <w:tc>
                <w:tcPr>
                  <w:tcW w:w="850" w:type="dxa"/>
                  <w:vMerge w:val="continue"/>
                  <w:vAlign w:val="center"/>
                </w:tcPr>
                <w:p>
                  <w:pPr>
                    <w:spacing w:line="280" w:lineRule="exact"/>
                    <w:jc w:val="center"/>
                    <w:rPr>
                      <w:sz w:val="18"/>
                      <w:szCs w:val="18"/>
                    </w:rPr>
                  </w:pPr>
                </w:p>
              </w:tc>
              <w:tc>
                <w:tcPr>
                  <w:tcW w:w="1222" w:type="dxa"/>
                  <w:tcBorders>
                    <w:bottom w:val="single" w:color="auto" w:sz="4" w:space="0"/>
                  </w:tcBorders>
                  <w:vAlign w:val="center"/>
                </w:tcPr>
                <w:p>
                  <w:pPr>
                    <w:spacing w:line="240" w:lineRule="exact"/>
                    <w:jc w:val="center"/>
                    <w:rPr>
                      <w:rFonts w:hAnsi="宋体"/>
                      <w:sz w:val="18"/>
                      <w:szCs w:val="18"/>
                    </w:rPr>
                  </w:pP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 w:hRule="atLeast"/>
                <w:jc w:val="center"/>
              </w:trPr>
              <w:tc>
                <w:tcPr>
                  <w:tcW w:w="669" w:type="dxa"/>
                  <w:vMerge w:val="restart"/>
                  <w:vAlign w:val="center"/>
                </w:tcPr>
                <w:p>
                  <w:pPr>
                    <w:spacing w:line="280" w:lineRule="exact"/>
                    <w:ind w:left="-105" w:leftChars="-50" w:right="-105" w:rightChars="-50"/>
                    <w:jc w:val="center"/>
                    <w:rPr>
                      <w:rFonts w:hAnsi="宋体"/>
                      <w:sz w:val="18"/>
                      <w:szCs w:val="18"/>
                    </w:rPr>
                  </w:pPr>
                  <w:r>
                    <w:rPr>
                      <w:rFonts w:hAnsi="宋体"/>
                      <w:sz w:val="18"/>
                      <w:szCs w:val="18"/>
                    </w:rPr>
                    <w:t>辅助公用工程</w:t>
                  </w:r>
                </w:p>
              </w:tc>
              <w:tc>
                <w:tcPr>
                  <w:tcW w:w="747" w:type="dxa"/>
                  <w:vAlign w:val="center"/>
                </w:tcPr>
                <w:p>
                  <w:pPr>
                    <w:spacing w:line="280" w:lineRule="exact"/>
                    <w:ind w:left="-53" w:leftChars="-25" w:right="-53" w:rightChars="-25"/>
                    <w:jc w:val="center"/>
                    <w:rPr>
                      <w:rFonts w:hAnsi="宋体"/>
                      <w:spacing w:val="-4"/>
                      <w:sz w:val="18"/>
                      <w:szCs w:val="18"/>
                    </w:rPr>
                  </w:pPr>
                  <w:r>
                    <w:rPr>
                      <w:rFonts w:hAnsi="宋体"/>
                      <w:spacing w:val="-4"/>
                      <w:sz w:val="18"/>
                      <w:szCs w:val="18"/>
                    </w:rPr>
                    <w:t>自控</w:t>
                  </w:r>
                </w:p>
                <w:p>
                  <w:pPr>
                    <w:spacing w:line="280" w:lineRule="exact"/>
                    <w:ind w:left="-53" w:leftChars="-25" w:right="-53" w:rightChars="-25"/>
                    <w:jc w:val="center"/>
                    <w:rPr>
                      <w:rFonts w:hAnsi="宋体"/>
                      <w:spacing w:val="-4"/>
                      <w:sz w:val="18"/>
                      <w:szCs w:val="18"/>
                    </w:rPr>
                  </w:pPr>
                  <w:r>
                    <w:rPr>
                      <w:rFonts w:hAnsi="宋体"/>
                      <w:spacing w:val="-4"/>
                      <w:sz w:val="18"/>
                      <w:szCs w:val="18"/>
                    </w:rPr>
                    <w:t>系统</w:t>
                  </w:r>
                </w:p>
              </w:tc>
              <w:tc>
                <w:tcPr>
                  <w:tcW w:w="4395" w:type="dxa"/>
                  <w:vAlign w:val="center"/>
                </w:tcPr>
                <w:p>
                  <w:pPr>
                    <w:spacing w:line="280" w:lineRule="exact"/>
                    <w:ind w:left="-53" w:leftChars="-25" w:right="-53" w:rightChars="-25"/>
                    <w:jc w:val="left"/>
                    <w:rPr>
                      <w:rFonts w:hAnsi="宋体"/>
                      <w:spacing w:val="-4"/>
                      <w:sz w:val="18"/>
                      <w:szCs w:val="18"/>
                    </w:rPr>
                  </w:pPr>
                  <w:r>
                    <w:rPr>
                      <w:rFonts w:hint="eastAsia" w:hAnsi="宋体"/>
                      <w:spacing w:val="-4"/>
                      <w:sz w:val="18"/>
                      <w:szCs w:val="18"/>
                    </w:rPr>
                    <w:t>配气站设置站控系统1套，主要包括PLC系统、流量计算机系统等</w:t>
                  </w:r>
                </w:p>
              </w:tc>
              <w:tc>
                <w:tcPr>
                  <w:tcW w:w="850" w:type="dxa"/>
                  <w:vMerge w:val="continue"/>
                  <w:vAlign w:val="center"/>
                </w:tcPr>
                <w:p>
                  <w:pPr>
                    <w:spacing w:line="280" w:lineRule="exact"/>
                    <w:ind w:left="-105" w:leftChars="-50" w:right="-105" w:rightChars="-50"/>
                    <w:jc w:val="center"/>
                    <w:rPr>
                      <w:sz w:val="18"/>
                      <w:szCs w:val="18"/>
                    </w:rPr>
                  </w:pPr>
                </w:p>
              </w:tc>
              <w:tc>
                <w:tcPr>
                  <w:tcW w:w="1222" w:type="dxa"/>
                  <w:tcBorders>
                    <w:bottom w:val="single" w:color="auto" w:sz="4" w:space="0"/>
                  </w:tcBorders>
                  <w:vAlign w:val="center"/>
                </w:tcPr>
                <w:p>
                  <w:pPr>
                    <w:spacing w:line="280" w:lineRule="exact"/>
                    <w:jc w:val="center"/>
                    <w:rPr>
                      <w:rFonts w:hAnsi="宋体"/>
                      <w:sz w:val="18"/>
                      <w:szCs w:val="18"/>
                    </w:rPr>
                  </w:pP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669" w:type="dxa"/>
                  <w:vMerge w:val="continue"/>
                  <w:vAlign w:val="center"/>
                </w:tcPr>
                <w:p>
                  <w:pPr>
                    <w:spacing w:line="280" w:lineRule="exact"/>
                    <w:ind w:left="-105" w:leftChars="-50" w:right="-105" w:rightChars="-50"/>
                    <w:jc w:val="center"/>
                    <w:rPr>
                      <w:rFonts w:hAnsi="宋体"/>
                      <w:sz w:val="18"/>
                      <w:szCs w:val="18"/>
                    </w:rPr>
                  </w:pPr>
                </w:p>
              </w:tc>
              <w:tc>
                <w:tcPr>
                  <w:tcW w:w="747" w:type="dxa"/>
                  <w:vAlign w:val="center"/>
                </w:tcPr>
                <w:p>
                  <w:pPr>
                    <w:spacing w:line="280" w:lineRule="exact"/>
                    <w:ind w:left="-53" w:leftChars="-25" w:right="-53" w:rightChars="-25"/>
                    <w:jc w:val="center"/>
                    <w:rPr>
                      <w:rFonts w:hAnsi="宋体"/>
                      <w:spacing w:val="-4"/>
                      <w:sz w:val="18"/>
                      <w:szCs w:val="18"/>
                    </w:rPr>
                  </w:pPr>
                  <w:r>
                    <w:rPr>
                      <w:rFonts w:hint="eastAsia" w:hAnsi="宋体"/>
                      <w:spacing w:val="-4"/>
                      <w:sz w:val="18"/>
                      <w:szCs w:val="18"/>
                    </w:rPr>
                    <w:t>供配电</w:t>
                  </w:r>
                </w:p>
              </w:tc>
              <w:tc>
                <w:tcPr>
                  <w:tcW w:w="4395" w:type="dxa"/>
                  <w:vAlign w:val="center"/>
                </w:tcPr>
                <w:p>
                  <w:pPr>
                    <w:spacing w:line="280" w:lineRule="exact"/>
                    <w:ind w:left="-53" w:leftChars="-25" w:right="-53" w:rightChars="-25"/>
                    <w:jc w:val="left"/>
                    <w:rPr>
                      <w:rFonts w:hAnsi="宋体"/>
                      <w:spacing w:val="-4"/>
                      <w:sz w:val="18"/>
                      <w:szCs w:val="18"/>
                    </w:rPr>
                  </w:pPr>
                  <w:r>
                    <w:rPr>
                      <w:rFonts w:hint="eastAsia" w:hAnsi="宋体"/>
                      <w:spacing w:val="-4"/>
                      <w:sz w:val="18"/>
                      <w:szCs w:val="18"/>
                    </w:rPr>
                    <w:t>电源就近引接地方电网10kV配网架空线路，线路长按2.0km考虑。站内设置10/0.4kV100kVA预装式变电站1座，100kW柴油发电机1套，6kVA2h在线式UPS装置1套，接地装置1套</w:t>
                  </w:r>
                </w:p>
              </w:tc>
              <w:tc>
                <w:tcPr>
                  <w:tcW w:w="850" w:type="dxa"/>
                  <w:vMerge w:val="continue"/>
                  <w:vAlign w:val="center"/>
                </w:tcPr>
                <w:p>
                  <w:pPr>
                    <w:spacing w:line="280" w:lineRule="exact"/>
                    <w:ind w:left="-105" w:leftChars="-50" w:right="-105" w:rightChars="-50"/>
                    <w:jc w:val="center"/>
                    <w:rPr>
                      <w:sz w:val="18"/>
                      <w:szCs w:val="18"/>
                    </w:rPr>
                  </w:pPr>
                </w:p>
              </w:tc>
              <w:tc>
                <w:tcPr>
                  <w:tcW w:w="1222" w:type="dxa"/>
                  <w:tcBorders>
                    <w:bottom w:val="single" w:color="auto" w:sz="4" w:space="0"/>
                  </w:tcBorders>
                  <w:vAlign w:val="center"/>
                </w:tcPr>
                <w:p>
                  <w:pPr>
                    <w:spacing w:line="280" w:lineRule="exact"/>
                    <w:jc w:val="center"/>
                    <w:rPr>
                      <w:rFonts w:hAnsi="宋体"/>
                      <w:sz w:val="18"/>
                      <w:szCs w:val="18"/>
                    </w:rPr>
                  </w:pPr>
                  <w:r>
                    <w:rPr>
                      <w:rFonts w:hAnsi="宋体"/>
                      <w:sz w:val="18"/>
                      <w:szCs w:val="18"/>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669" w:type="dxa"/>
                  <w:vMerge w:val="continue"/>
                  <w:vAlign w:val="center"/>
                </w:tcPr>
                <w:p>
                  <w:pPr>
                    <w:spacing w:line="280" w:lineRule="exact"/>
                    <w:ind w:left="-105" w:leftChars="-50" w:right="-105" w:rightChars="-50"/>
                    <w:jc w:val="center"/>
                    <w:rPr>
                      <w:sz w:val="18"/>
                      <w:szCs w:val="18"/>
                    </w:rPr>
                  </w:pPr>
                </w:p>
              </w:tc>
              <w:tc>
                <w:tcPr>
                  <w:tcW w:w="747" w:type="dxa"/>
                  <w:vAlign w:val="center"/>
                </w:tcPr>
                <w:p>
                  <w:pPr>
                    <w:spacing w:line="280" w:lineRule="exact"/>
                    <w:ind w:left="-53" w:leftChars="-25" w:right="-53" w:rightChars="-25"/>
                    <w:jc w:val="center"/>
                    <w:rPr>
                      <w:sz w:val="18"/>
                      <w:szCs w:val="18"/>
                    </w:rPr>
                  </w:pPr>
                  <w:r>
                    <w:rPr>
                      <w:rFonts w:hint="eastAsia"/>
                      <w:sz w:val="18"/>
                      <w:szCs w:val="18"/>
                    </w:rPr>
                    <w:t>给水</w:t>
                  </w:r>
                </w:p>
              </w:tc>
              <w:tc>
                <w:tcPr>
                  <w:tcW w:w="4395" w:type="dxa"/>
                  <w:vAlign w:val="center"/>
                </w:tcPr>
                <w:p>
                  <w:pPr>
                    <w:spacing w:line="280" w:lineRule="exact"/>
                    <w:ind w:left="-53" w:leftChars="-25" w:right="-53" w:rightChars="-25"/>
                    <w:jc w:val="left"/>
                    <w:rPr>
                      <w:sz w:val="18"/>
                      <w:szCs w:val="18"/>
                    </w:rPr>
                  </w:pPr>
                  <w:r>
                    <w:rPr>
                      <w:rFonts w:hint="eastAsia"/>
                      <w:sz w:val="18"/>
                      <w:szCs w:val="18"/>
                    </w:rPr>
                    <w:t>本项目拟由市政给水管网供水，供水压力0.2MPa</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69" w:type="dxa"/>
                  <w:vMerge w:val="continue"/>
                  <w:vAlign w:val="center"/>
                </w:tcPr>
                <w:p>
                  <w:pPr>
                    <w:spacing w:line="280" w:lineRule="exact"/>
                    <w:ind w:left="-105" w:leftChars="-50" w:right="-105" w:rightChars="-50"/>
                    <w:jc w:val="center"/>
                    <w:rPr>
                      <w:sz w:val="18"/>
                      <w:szCs w:val="18"/>
                    </w:rPr>
                  </w:pPr>
                </w:p>
              </w:tc>
              <w:tc>
                <w:tcPr>
                  <w:tcW w:w="747" w:type="dxa"/>
                  <w:vAlign w:val="center"/>
                </w:tcPr>
                <w:p>
                  <w:pPr>
                    <w:spacing w:line="280" w:lineRule="exact"/>
                    <w:ind w:left="-53" w:leftChars="-25" w:right="-53" w:rightChars="-25"/>
                    <w:jc w:val="center"/>
                    <w:rPr>
                      <w:sz w:val="18"/>
                      <w:szCs w:val="18"/>
                    </w:rPr>
                  </w:pPr>
                  <w:r>
                    <w:rPr>
                      <w:rFonts w:hint="eastAsia"/>
                      <w:sz w:val="18"/>
                      <w:szCs w:val="18"/>
                    </w:rPr>
                    <w:t>排水</w:t>
                  </w:r>
                </w:p>
              </w:tc>
              <w:tc>
                <w:tcPr>
                  <w:tcW w:w="4395" w:type="dxa"/>
                  <w:vAlign w:val="center"/>
                </w:tcPr>
                <w:p>
                  <w:pPr>
                    <w:spacing w:line="280" w:lineRule="exact"/>
                    <w:ind w:left="-53" w:leftChars="-25" w:right="-53" w:rightChars="-25"/>
                    <w:jc w:val="left"/>
                    <w:rPr>
                      <w:sz w:val="18"/>
                      <w:szCs w:val="18"/>
                    </w:rPr>
                  </w:pPr>
                  <w:r>
                    <w:rPr>
                      <w:rFonts w:hint="eastAsia"/>
                      <w:sz w:val="18"/>
                      <w:szCs w:val="18"/>
                    </w:rPr>
                    <w:t>站内排水包括生产废水、生活污水、场地雨水。生产废水排入排污池（有效容积6m³），生活污水设初沉池预处理，委托专业机构定期拉运至园区污水处理厂处理。</w:t>
                  </w:r>
                </w:p>
                <w:p>
                  <w:pPr>
                    <w:spacing w:line="280" w:lineRule="exact"/>
                    <w:ind w:left="-53" w:leftChars="-25" w:right="-53" w:rightChars="-25"/>
                    <w:jc w:val="left"/>
                    <w:rPr>
                      <w:sz w:val="18"/>
                      <w:szCs w:val="18"/>
                    </w:rPr>
                  </w:pPr>
                  <w:r>
                    <w:rPr>
                      <w:rFonts w:hint="eastAsia"/>
                      <w:sz w:val="18"/>
                      <w:szCs w:val="18"/>
                    </w:rPr>
                    <w:t>雨水：站场地面排水按有组织排水和散排相结合的方式排放，场地排水排向站外</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69" w:type="dxa"/>
                  <w:vMerge w:val="continue"/>
                  <w:vAlign w:val="center"/>
                </w:tcPr>
                <w:p>
                  <w:pPr>
                    <w:spacing w:line="280" w:lineRule="exact"/>
                    <w:ind w:left="-105" w:leftChars="-50" w:right="-105" w:rightChars="-50"/>
                    <w:jc w:val="center"/>
                    <w:rPr>
                      <w:sz w:val="18"/>
                      <w:szCs w:val="18"/>
                    </w:rPr>
                  </w:pPr>
                </w:p>
              </w:tc>
              <w:tc>
                <w:tcPr>
                  <w:tcW w:w="747" w:type="dxa"/>
                  <w:vAlign w:val="center"/>
                </w:tcPr>
                <w:p>
                  <w:pPr>
                    <w:spacing w:line="280" w:lineRule="exact"/>
                    <w:ind w:left="-53" w:leftChars="-25" w:right="-53" w:rightChars="-25"/>
                    <w:jc w:val="center"/>
                    <w:rPr>
                      <w:sz w:val="18"/>
                      <w:szCs w:val="18"/>
                    </w:rPr>
                  </w:pPr>
                  <w:r>
                    <w:rPr>
                      <w:rFonts w:hint="eastAsia"/>
                      <w:sz w:val="18"/>
                      <w:szCs w:val="18"/>
                    </w:rPr>
                    <w:t>通信</w:t>
                  </w:r>
                </w:p>
                <w:p>
                  <w:pPr>
                    <w:spacing w:line="280" w:lineRule="exact"/>
                    <w:ind w:left="-53" w:leftChars="-25" w:right="-53" w:rightChars="-25"/>
                    <w:jc w:val="center"/>
                    <w:rPr>
                      <w:sz w:val="18"/>
                      <w:szCs w:val="18"/>
                    </w:rPr>
                  </w:pPr>
                  <w:r>
                    <w:rPr>
                      <w:rFonts w:hint="eastAsia"/>
                      <w:sz w:val="18"/>
                      <w:szCs w:val="18"/>
                    </w:rPr>
                    <w:t>系统</w:t>
                  </w:r>
                </w:p>
              </w:tc>
              <w:tc>
                <w:tcPr>
                  <w:tcW w:w="4395" w:type="dxa"/>
                  <w:vAlign w:val="center"/>
                </w:tcPr>
                <w:p>
                  <w:pPr>
                    <w:spacing w:line="280" w:lineRule="exact"/>
                    <w:ind w:left="-53" w:leftChars="-25" w:right="-53" w:rightChars="-25"/>
                    <w:jc w:val="left"/>
                    <w:rPr>
                      <w:sz w:val="18"/>
                      <w:szCs w:val="18"/>
                    </w:rPr>
                  </w:pPr>
                  <w:r>
                    <w:rPr>
                      <w:rFonts w:hint="eastAsia"/>
                      <w:sz w:val="18"/>
                      <w:szCs w:val="18"/>
                    </w:rPr>
                    <w:t>本项目位于通信条件较好区域，通信公网有线、无线通信覆盖较好，可得到公共通信网的有效服务。公网运营商可以为各站场提供语音、互联网数字电路接入等本项目所需的各种通信业务。为保障站场的管网工艺、自控系统和运营管理等提供迅速、安全、可靠，本项目拟安装工业电视监控系统、话音通信系统、IPTV电视系统、应急抢险通信系统、火灾自动报警系统、综合布线系统</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69" w:type="dxa"/>
                  <w:vMerge w:val="restart"/>
                  <w:vAlign w:val="center"/>
                </w:tcPr>
                <w:p>
                  <w:pPr>
                    <w:spacing w:line="280" w:lineRule="exact"/>
                    <w:ind w:left="-105" w:leftChars="-50" w:right="-105" w:rightChars="-50"/>
                    <w:jc w:val="center"/>
                    <w:rPr>
                      <w:sz w:val="18"/>
                      <w:szCs w:val="18"/>
                    </w:rPr>
                  </w:pPr>
                  <w:r>
                    <w:rPr>
                      <w:sz w:val="18"/>
                      <w:szCs w:val="18"/>
                    </w:rPr>
                    <w:t>施工临时工程</w:t>
                  </w:r>
                </w:p>
              </w:tc>
              <w:tc>
                <w:tcPr>
                  <w:tcW w:w="747" w:type="dxa"/>
                  <w:vAlign w:val="center"/>
                </w:tcPr>
                <w:p>
                  <w:pPr>
                    <w:spacing w:line="280" w:lineRule="exact"/>
                    <w:ind w:left="-53" w:leftChars="-25" w:right="-53" w:rightChars="-25"/>
                    <w:jc w:val="center"/>
                    <w:rPr>
                      <w:sz w:val="18"/>
                      <w:szCs w:val="18"/>
                    </w:rPr>
                  </w:pPr>
                  <w:r>
                    <w:rPr>
                      <w:sz w:val="18"/>
                      <w:szCs w:val="18"/>
                    </w:rPr>
                    <w:t>水土</w:t>
                  </w:r>
                </w:p>
                <w:p>
                  <w:pPr>
                    <w:spacing w:line="280" w:lineRule="exact"/>
                    <w:ind w:left="-53" w:leftChars="-25" w:right="-53" w:rightChars="-25"/>
                    <w:jc w:val="center"/>
                    <w:rPr>
                      <w:sz w:val="18"/>
                      <w:szCs w:val="18"/>
                    </w:rPr>
                  </w:pPr>
                  <w:r>
                    <w:rPr>
                      <w:sz w:val="18"/>
                      <w:szCs w:val="18"/>
                    </w:rPr>
                    <w:t>保持</w:t>
                  </w:r>
                </w:p>
              </w:tc>
              <w:tc>
                <w:tcPr>
                  <w:tcW w:w="4395" w:type="dxa"/>
                  <w:vAlign w:val="center"/>
                </w:tcPr>
                <w:p>
                  <w:pPr>
                    <w:spacing w:line="280" w:lineRule="exact"/>
                    <w:ind w:left="-53" w:leftChars="-25" w:right="-53" w:rightChars="-25"/>
                    <w:jc w:val="left"/>
                    <w:rPr>
                      <w:sz w:val="18"/>
                      <w:szCs w:val="18"/>
                    </w:rPr>
                  </w:pPr>
                  <w:r>
                    <w:rPr>
                      <w:rFonts w:hint="eastAsia"/>
                      <w:sz w:val="18"/>
                      <w:szCs w:val="18"/>
                    </w:rPr>
                    <w:t>做好护坡、堡坎和排水设施，在穿越河流时，没有护岸新修护岸，原有护岸损坏后立即恢复。</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69" w:type="dxa"/>
                  <w:vMerge w:val="continue"/>
                  <w:vAlign w:val="center"/>
                </w:tcPr>
                <w:p>
                  <w:pPr>
                    <w:spacing w:line="280" w:lineRule="exact"/>
                    <w:ind w:left="-105" w:leftChars="-50" w:right="-105" w:rightChars="-50"/>
                    <w:jc w:val="center"/>
                    <w:rPr>
                      <w:sz w:val="18"/>
                      <w:szCs w:val="18"/>
                    </w:rPr>
                  </w:pPr>
                </w:p>
              </w:tc>
              <w:tc>
                <w:tcPr>
                  <w:tcW w:w="747" w:type="dxa"/>
                  <w:vAlign w:val="center"/>
                </w:tcPr>
                <w:p>
                  <w:pPr>
                    <w:spacing w:line="280" w:lineRule="exact"/>
                    <w:ind w:left="-53" w:leftChars="-25" w:right="-53" w:rightChars="-25"/>
                    <w:jc w:val="center"/>
                    <w:rPr>
                      <w:sz w:val="18"/>
                      <w:szCs w:val="18"/>
                    </w:rPr>
                  </w:pPr>
                  <w:r>
                    <w:rPr>
                      <w:sz w:val="18"/>
                      <w:szCs w:val="18"/>
                    </w:rPr>
                    <w:t>施工</w:t>
                  </w:r>
                </w:p>
                <w:p>
                  <w:pPr>
                    <w:spacing w:line="280" w:lineRule="exact"/>
                    <w:ind w:left="-53" w:leftChars="-25" w:right="-53" w:rightChars="-25"/>
                    <w:jc w:val="center"/>
                    <w:rPr>
                      <w:sz w:val="18"/>
                      <w:szCs w:val="18"/>
                    </w:rPr>
                  </w:pPr>
                  <w:r>
                    <w:rPr>
                      <w:sz w:val="18"/>
                      <w:szCs w:val="18"/>
                    </w:rPr>
                    <w:t>作业带</w:t>
                  </w:r>
                </w:p>
              </w:tc>
              <w:tc>
                <w:tcPr>
                  <w:tcW w:w="4395" w:type="dxa"/>
                  <w:vAlign w:val="center"/>
                </w:tcPr>
                <w:p>
                  <w:pPr>
                    <w:spacing w:line="280" w:lineRule="exact"/>
                    <w:ind w:left="-53" w:leftChars="-25" w:right="-53" w:rightChars="-25"/>
                    <w:jc w:val="left"/>
                    <w:rPr>
                      <w:sz w:val="18"/>
                      <w:szCs w:val="18"/>
                    </w:rPr>
                  </w:pPr>
                  <w:r>
                    <w:rPr>
                      <w:rFonts w:hint="eastAsia"/>
                      <w:sz w:val="18"/>
                      <w:szCs w:val="18"/>
                    </w:rPr>
                    <w:t>上游来气输气管线施工作业带6.0km，带宽9m，临时占地约5.4hm</w:t>
                  </w:r>
                  <w:r>
                    <w:rPr>
                      <w:rFonts w:hint="eastAsia"/>
                      <w:sz w:val="18"/>
                      <w:szCs w:val="18"/>
                      <w:vertAlign w:val="superscript"/>
                    </w:rPr>
                    <w:t>2</w:t>
                  </w:r>
                  <w:r>
                    <w:rPr>
                      <w:rFonts w:hint="eastAsia"/>
                      <w:sz w:val="18"/>
                      <w:szCs w:val="18"/>
                    </w:rPr>
                    <w:t>；下游用气输气管线施工作业带21.5km，宏浩二期和新金路管道带宽9m，园区其他用气企业管线施工作业带带宽8m，总临时占地约17.55hm</w:t>
                  </w:r>
                  <w:r>
                    <w:rPr>
                      <w:rFonts w:hint="eastAsia"/>
                      <w:sz w:val="18"/>
                      <w:szCs w:val="18"/>
                      <w:vertAlign w:val="superscript"/>
                    </w:rPr>
                    <w:t>2</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r>
                    <w:rPr>
                      <w:rFonts w:hint="eastAsia"/>
                      <w:sz w:val="18"/>
                      <w:szCs w:val="18"/>
                    </w:rPr>
                    <w:t>弃土石方、扬尘、废水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69" w:type="dxa"/>
                  <w:vMerge w:val="continue"/>
                  <w:vAlign w:val="center"/>
                </w:tcPr>
                <w:p>
                  <w:pPr>
                    <w:spacing w:line="280" w:lineRule="exact"/>
                    <w:ind w:left="-105" w:leftChars="-50" w:right="-105" w:rightChars="-50"/>
                    <w:jc w:val="center"/>
                    <w:rPr>
                      <w:sz w:val="18"/>
                      <w:szCs w:val="18"/>
                    </w:rPr>
                  </w:pPr>
                </w:p>
              </w:tc>
              <w:tc>
                <w:tcPr>
                  <w:tcW w:w="747" w:type="dxa"/>
                  <w:vAlign w:val="center"/>
                </w:tcPr>
                <w:p>
                  <w:pPr>
                    <w:spacing w:line="280" w:lineRule="exact"/>
                    <w:ind w:left="-53" w:leftChars="-25" w:right="-53" w:rightChars="-25"/>
                    <w:jc w:val="center"/>
                    <w:rPr>
                      <w:sz w:val="18"/>
                      <w:szCs w:val="18"/>
                    </w:rPr>
                  </w:pPr>
                  <w:r>
                    <w:rPr>
                      <w:rFonts w:hint="eastAsia"/>
                      <w:sz w:val="18"/>
                      <w:szCs w:val="18"/>
                    </w:rPr>
                    <w:t>施工</w:t>
                  </w:r>
                </w:p>
                <w:p>
                  <w:pPr>
                    <w:spacing w:line="280" w:lineRule="exact"/>
                    <w:ind w:left="-53" w:leftChars="-25" w:right="-53" w:rightChars="-25"/>
                    <w:jc w:val="center"/>
                    <w:rPr>
                      <w:sz w:val="18"/>
                      <w:szCs w:val="18"/>
                    </w:rPr>
                  </w:pPr>
                  <w:r>
                    <w:rPr>
                      <w:rFonts w:hint="eastAsia"/>
                      <w:sz w:val="18"/>
                      <w:szCs w:val="18"/>
                    </w:rPr>
                    <w:t>便道</w:t>
                  </w:r>
                </w:p>
              </w:tc>
              <w:tc>
                <w:tcPr>
                  <w:tcW w:w="4395" w:type="dxa"/>
                  <w:vAlign w:val="center"/>
                </w:tcPr>
                <w:p>
                  <w:pPr>
                    <w:spacing w:line="280" w:lineRule="exact"/>
                    <w:ind w:left="-53" w:leftChars="-25" w:right="-53" w:rightChars="-25"/>
                    <w:jc w:val="left"/>
                    <w:rPr>
                      <w:sz w:val="18"/>
                      <w:szCs w:val="18"/>
                    </w:rPr>
                  </w:pPr>
                  <w:r>
                    <w:rPr>
                      <w:rFonts w:hint="eastAsia"/>
                      <w:sz w:val="18"/>
                      <w:szCs w:val="18"/>
                    </w:rPr>
                    <w:t>上游来气输气管线施工便道800m，占地约0.48hm</w:t>
                  </w:r>
                  <w:r>
                    <w:rPr>
                      <w:rFonts w:hint="eastAsia"/>
                      <w:sz w:val="18"/>
                      <w:szCs w:val="18"/>
                      <w:vertAlign w:val="superscript"/>
                    </w:rPr>
                    <w:t>2</w:t>
                  </w:r>
                  <w:r>
                    <w:rPr>
                      <w:rFonts w:hint="eastAsia"/>
                      <w:sz w:val="18"/>
                      <w:szCs w:val="18"/>
                    </w:rPr>
                    <w:t>；下游用气数去管线施工便道150m，占地约0.09hm</w:t>
                  </w:r>
                  <w:r>
                    <w:rPr>
                      <w:rFonts w:hint="eastAsia"/>
                      <w:sz w:val="18"/>
                      <w:szCs w:val="18"/>
                      <w:vertAlign w:val="superscript"/>
                    </w:rPr>
                    <w:t>2</w:t>
                  </w:r>
                  <w:r>
                    <w:rPr>
                      <w:rFonts w:hint="eastAsia"/>
                      <w:sz w:val="18"/>
                      <w:szCs w:val="18"/>
                    </w:rPr>
                    <w:t>；充分利用现有乡村道路、县道，局部困难路段修建或改建施工便道，通过挖填路基，建必要的护坡挡土墙、边沟等</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r>
                    <w:rPr>
                      <w:sz w:val="18"/>
                      <w:szCs w:val="18"/>
                    </w:rPr>
                    <w:t>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69" w:type="dxa"/>
                  <w:vMerge w:val="continue"/>
                  <w:vAlign w:val="center"/>
                </w:tcPr>
                <w:p>
                  <w:pPr>
                    <w:spacing w:line="280" w:lineRule="exact"/>
                    <w:ind w:left="-105" w:leftChars="-50" w:right="-105" w:rightChars="-50"/>
                    <w:jc w:val="center"/>
                    <w:rPr>
                      <w:sz w:val="18"/>
                      <w:szCs w:val="18"/>
                    </w:rPr>
                  </w:pPr>
                </w:p>
              </w:tc>
              <w:tc>
                <w:tcPr>
                  <w:tcW w:w="747" w:type="dxa"/>
                  <w:vAlign w:val="center"/>
                </w:tcPr>
                <w:p>
                  <w:pPr>
                    <w:spacing w:line="280" w:lineRule="exact"/>
                    <w:ind w:left="-53" w:leftChars="-25" w:right="-53" w:rightChars="-25"/>
                    <w:jc w:val="center"/>
                    <w:rPr>
                      <w:sz w:val="18"/>
                      <w:szCs w:val="18"/>
                    </w:rPr>
                  </w:pPr>
                  <w:r>
                    <w:rPr>
                      <w:rFonts w:hint="eastAsia"/>
                      <w:sz w:val="18"/>
                      <w:szCs w:val="18"/>
                    </w:rPr>
                    <w:t>施工</w:t>
                  </w:r>
                </w:p>
                <w:p>
                  <w:pPr>
                    <w:spacing w:line="280" w:lineRule="exact"/>
                    <w:ind w:left="-53" w:leftChars="-25" w:right="-53" w:rightChars="-25"/>
                    <w:jc w:val="center"/>
                    <w:rPr>
                      <w:sz w:val="18"/>
                      <w:szCs w:val="18"/>
                    </w:rPr>
                  </w:pPr>
                  <w:r>
                    <w:rPr>
                      <w:rFonts w:hint="eastAsia"/>
                      <w:sz w:val="18"/>
                      <w:szCs w:val="18"/>
                    </w:rPr>
                    <w:t>堆管场</w:t>
                  </w:r>
                </w:p>
              </w:tc>
              <w:tc>
                <w:tcPr>
                  <w:tcW w:w="4395" w:type="dxa"/>
                  <w:vAlign w:val="center"/>
                </w:tcPr>
                <w:p>
                  <w:pPr>
                    <w:spacing w:line="280" w:lineRule="exact"/>
                    <w:ind w:left="-53" w:leftChars="-25" w:right="-53" w:rightChars="-25"/>
                    <w:jc w:val="left"/>
                    <w:rPr>
                      <w:sz w:val="18"/>
                      <w:szCs w:val="18"/>
                    </w:rPr>
                  </w:pPr>
                  <w:r>
                    <w:rPr>
                      <w:rFonts w:hint="eastAsia"/>
                      <w:sz w:val="18"/>
                      <w:szCs w:val="18"/>
                    </w:rPr>
                    <w:t>整个上下游管线施工，共设置9个堆管场，总占地面积约0.5hm</w:t>
                  </w:r>
                  <w:r>
                    <w:rPr>
                      <w:rFonts w:hint="eastAsia"/>
                      <w:sz w:val="18"/>
                      <w:szCs w:val="18"/>
                      <w:vertAlign w:val="superscript"/>
                    </w:rPr>
                    <w:t>2</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69" w:type="dxa"/>
                  <w:vMerge w:val="continue"/>
                  <w:vAlign w:val="center"/>
                </w:tcPr>
                <w:p>
                  <w:pPr>
                    <w:spacing w:line="280" w:lineRule="exact"/>
                    <w:ind w:left="-105" w:leftChars="-50" w:right="-105" w:rightChars="-50"/>
                    <w:jc w:val="center"/>
                    <w:rPr>
                      <w:sz w:val="18"/>
                      <w:szCs w:val="18"/>
                    </w:rPr>
                  </w:pPr>
                </w:p>
              </w:tc>
              <w:tc>
                <w:tcPr>
                  <w:tcW w:w="747" w:type="dxa"/>
                  <w:vAlign w:val="center"/>
                </w:tcPr>
                <w:p>
                  <w:pPr>
                    <w:spacing w:line="280" w:lineRule="exact"/>
                    <w:ind w:left="-53" w:leftChars="-25" w:right="-53" w:rightChars="-25"/>
                    <w:jc w:val="center"/>
                    <w:rPr>
                      <w:sz w:val="18"/>
                      <w:szCs w:val="18"/>
                    </w:rPr>
                  </w:pPr>
                  <w:r>
                    <w:rPr>
                      <w:rFonts w:hint="eastAsia"/>
                      <w:sz w:val="18"/>
                      <w:szCs w:val="18"/>
                    </w:rPr>
                    <w:t>弃渣场</w:t>
                  </w:r>
                </w:p>
              </w:tc>
              <w:tc>
                <w:tcPr>
                  <w:tcW w:w="4395" w:type="dxa"/>
                  <w:vAlign w:val="center"/>
                </w:tcPr>
                <w:p>
                  <w:pPr>
                    <w:spacing w:line="280" w:lineRule="exact"/>
                    <w:ind w:left="-53" w:leftChars="-25" w:right="-53" w:rightChars="-25"/>
                    <w:jc w:val="left"/>
                    <w:rPr>
                      <w:sz w:val="18"/>
                      <w:szCs w:val="18"/>
                    </w:rPr>
                  </w:pPr>
                  <w:r>
                    <w:rPr>
                      <w:rFonts w:hint="eastAsia"/>
                      <w:sz w:val="18"/>
                      <w:szCs w:val="18"/>
                    </w:rPr>
                    <w:t>施工开挖产生的土石方堆放于作业带旁，部分作为回填料和砌体石料，不能回填料和石料运至园区弃土场处理。待管道安装完工后就地进行土地和植被恢复，不设置永久弃渣场</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r>
                    <w:rPr>
                      <w:sz w:val="18"/>
                      <w:szCs w:val="18"/>
                    </w:rPr>
                    <w:t>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69" w:type="dxa"/>
                  <w:vMerge w:val="continue"/>
                  <w:vAlign w:val="center"/>
                </w:tcPr>
                <w:p>
                  <w:pPr>
                    <w:spacing w:line="280" w:lineRule="exact"/>
                    <w:ind w:left="-105" w:leftChars="-50" w:right="-105" w:rightChars="-50"/>
                    <w:jc w:val="center"/>
                    <w:rPr>
                      <w:sz w:val="18"/>
                      <w:szCs w:val="18"/>
                    </w:rPr>
                  </w:pPr>
                </w:p>
              </w:tc>
              <w:tc>
                <w:tcPr>
                  <w:tcW w:w="747" w:type="dxa"/>
                  <w:vAlign w:val="center"/>
                </w:tcPr>
                <w:p>
                  <w:pPr>
                    <w:spacing w:line="280" w:lineRule="exact"/>
                    <w:ind w:left="-53" w:leftChars="-25" w:right="-53" w:rightChars="-25"/>
                    <w:jc w:val="center"/>
                    <w:rPr>
                      <w:sz w:val="18"/>
                      <w:szCs w:val="18"/>
                    </w:rPr>
                  </w:pPr>
                  <w:r>
                    <w:rPr>
                      <w:rFonts w:hint="eastAsia"/>
                      <w:sz w:val="18"/>
                      <w:szCs w:val="18"/>
                    </w:rPr>
                    <w:t>临时</w:t>
                  </w:r>
                </w:p>
                <w:p>
                  <w:pPr>
                    <w:spacing w:line="280" w:lineRule="exact"/>
                    <w:ind w:left="-53" w:leftChars="-25" w:right="-53" w:rightChars="-25"/>
                    <w:jc w:val="center"/>
                    <w:rPr>
                      <w:sz w:val="18"/>
                      <w:szCs w:val="18"/>
                    </w:rPr>
                  </w:pPr>
                  <w:r>
                    <w:rPr>
                      <w:rFonts w:hint="eastAsia"/>
                      <w:sz w:val="18"/>
                      <w:szCs w:val="18"/>
                    </w:rPr>
                    <w:t>设施</w:t>
                  </w:r>
                </w:p>
              </w:tc>
              <w:tc>
                <w:tcPr>
                  <w:tcW w:w="4395" w:type="dxa"/>
                  <w:vAlign w:val="center"/>
                </w:tcPr>
                <w:p>
                  <w:pPr>
                    <w:spacing w:line="280" w:lineRule="exact"/>
                    <w:ind w:left="-53" w:leftChars="-25" w:right="-53" w:rightChars="-25"/>
                    <w:jc w:val="left"/>
                    <w:rPr>
                      <w:sz w:val="18"/>
                      <w:szCs w:val="18"/>
                    </w:rPr>
                  </w:pPr>
                  <w:r>
                    <w:rPr>
                      <w:rFonts w:hint="eastAsia"/>
                      <w:sz w:val="18"/>
                      <w:szCs w:val="18"/>
                    </w:rPr>
                    <w:t>设置临时施工屏障；设置夜间警示灯、临时交通警示牌等；开挖管道沟槽的沟底宽度约0.5~0.7m，沟槽深度约1.1~1.5m。施工区域开挖沟槽底部高于地下水水位，不涉及基坑降水。</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69" w:type="dxa"/>
                  <w:vMerge w:val="continue"/>
                  <w:vAlign w:val="center"/>
                </w:tcPr>
                <w:p>
                  <w:pPr>
                    <w:spacing w:line="280" w:lineRule="exact"/>
                    <w:ind w:left="-105" w:leftChars="-50" w:right="-105" w:rightChars="-50"/>
                    <w:jc w:val="center"/>
                    <w:rPr>
                      <w:sz w:val="18"/>
                      <w:szCs w:val="18"/>
                    </w:rPr>
                  </w:pPr>
                </w:p>
              </w:tc>
              <w:tc>
                <w:tcPr>
                  <w:tcW w:w="747" w:type="dxa"/>
                  <w:vAlign w:val="center"/>
                </w:tcPr>
                <w:p>
                  <w:pPr>
                    <w:spacing w:line="280" w:lineRule="exact"/>
                    <w:ind w:left="-53" w:leftChars="-25" w:right="-53" w:rightChars="-25"/>
                    <w:jc w:val="center"/>
                    <w:rPr>
                      <w:sz w:val="18"/>
                      <w:szCs w:val="18"/>
                    </w:rPr>
                  </w:pPr>
                  <w:r>
                    <w:rPr>
                      <w:rFonts w:hint="eastAsia"/>
                      <w:sz w:val="18"/>
                      <w:szCs w:val="18"/>
                    </w:rPr>
                    <w:t>施工</w:t>
                  </w:r>
                </w:p>
                <w:p>
                  <w:pPr>
                    <w:spacing w:line="280" w:lineRule="exact"/>
                    <w:ind w:left="-53" w:leftChars="-25" w:right="-53" w:rightChars="-25"/>
                    <w:jc w:val="center"/>
                    <w:rPr>
                      <w:sz w:val="18"/>
                      <w:szCs w:val="18"/>
                    </w:rPr>
                  </w:pPr>
                  <w:r>
                    <w:rPr>
                      <w:rFonts w:hint="eastAsia"/>
                      <w:sz w:val="18"/>
                      <w:szCs w:val="18"/>
                    </w:rPr>
                    <w:t>营地</w:t>
                  </w:r>
                </w:p>
              </w:tc>
              <w:tc>
                <w:tcPr>
                  <w:tcW w:w="4395" w:type="dxa"/>
                  <w:vAlign w:val="center"/>
                </w:tcPr>
                <w:p>
                  <w:pPr>
                    <w:spacing w:line="280" w:lineRule="exact"/>
                    <w:ind w:left="-53" w:leftChars="-25" w:right="-53" w:rightChars="-25"/>
                    <w:jc w:val="left"/>
                    <w:rPr>
                      <w:sz w:val="18"/>
                      <w:szCs w:val="18"/>
                    </w:rPr>
                  </w:pPr>
                  <w:r>
                    <w:rPr>
                      <w:rFonts w:hint="eastAsia"/>
                      <w:sz w:val="18"/>
                      <w:szCs w:val="18"/>
                    </w:rPr>
                    <w:t>不设营地，施工员工来自附近场镇，不在施工场地食宿</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669" w:type="dxa"/>
                  <w:vMerge w:val="restart"/>
                  <w:vAlign w:val="center"/>
                </w:tcPr>
                <w:p>
                  <w:pPr>
                    <w:spacing w:line="280" w:lineRule="exact"/>
                    <w:ind w:left="-105" w:leftChars="-50" w:right="-105" w:rightChars="-50"/>
                    <w:jc w:val="center"/>
                    <w:rPr>
                      <w:sz w:val="18"/>
                      <w:szCs w:val="18"/>
                    </w:rPr>
                  </w:pPr>
                  <w:r>
                    <w:rPr>
                      <w:rFonts w:hAnsi="宋体"/>
                      <w:sz w:val="18"/>
                      <w:szCs w:val="18"/>
                    </w:rPr>
                    <w:t>环保</w:t>
                  </w:r>
                </w:p>
                <w:p>
                  <w:pPr>
                    <w:spacing w:line="280" w:lineRule="exact"/>
                    <w:ind w:left="-105" w:leftChars="-50" w:right="-105" w:rightChars="-50"/>
                    <w:jc w:val="center"/>
                    <w:rPr>
                      <w:sz w:val="18"/>
                      <w:szCs w:val="18"/>
                    </w:rPr>
                  </w:pPr>
                  <w:r>
                    <w:rPr>
                      <w:rFonts w:hAnsi="宋体"/>
                      <w:sz w:val="18"/>
                      <w:szCs w:val="18"/>
                    </w:rPr>
                    <w:t>工程</w:t>
                  </w:r>
                </w:p>
              </w:tc>
              <w:tc>
                <w:tcPr>
                  <w:tcW w:w="747" w:type="dxa"/>
                  <w:vMerge w:val="restart"/>
                  <w:vAlign w:val="center"/>
                </w:tcPr>
                <w:p>
                  <w:pPr>
                    <w:spacing w:line="280" w:lineRule="exact"/>
                    <w:ind w:left="-53" w:leftChars="-25" w:right="-53" w:rightChars="-25"/>
                    <w:jc w:val="center"/>
                    <w:rPr>
                      <w:rFonts w:hAnsi="宋体"/>
                      <w:sz w:val="18"/>
                      <w:szCs w:val="18"/>
                    </w:rPr>
                  </w:pPr>
                  <w:r>
                    <w:rPr>
                      <w:rFonts w:hAnsi="宋体"/>
                      <w:sz w:val="18"/>
                      <w:szCs w:val="18"/>
                    </w:rPr>
                    <w:t>施工期</w:t>
                  </w:r>
                </w:p>
              </w:tc>
              <w:tc>
                <w:tcPr>
                  <w:tcW w:w="4395" w:type="dxa"/>
                  <w:vAlign w:val="center"/>
                </w:tcPr>
                <w:p>
                  <w:pPr>
                    <w:spacing w:line="280" w:lineRule="exact"/>
                    <w:ind w:left="-53" w:leftChars="-25" w:right="-53" w:rightChars="-25"/>
                    <w:jc w:val="left"/>
                    <w:rPr>
                      <w:sz w:val="18"/>
                      <w:szCs w:val="18"/>
                    </w:rPr>
                  </w:pPr>
                  <w:r>
                    <w:rPr>
                      <w:rFonts w:hint="eastAsia"/>
                      <w:b/>
                      <w:sz w:val="18"/>
                      <w:szCs w:val="18"/>
                    </w:rPr>
                    <w:t>施工废气：</w:t>
                  </w:r>
                  <w:r>
                    <w:rPr>
                      <w:rFonts w:hint="eastAsia"/>
                      <w:sz w:val="18"/>
                      <w:szCs w:val="18"/>
                    </w:rPr>
                    <w:t>施工期购置洒水设备进行洒水作业，对临时堆放表土采用篷布覆；进行道面清扫，对轮胎进行清洗；用于施工期间物料运输车辆的覆盖，粉料采用粉料车运输，防止物料散落和灰尘飘散</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669" w:type="dxa"/>
                  <w:vMerge w:val="continue"/>
                  <w:vAlign w:val="center"/>
                </w:tcPr>
                <w:p>
                  <w:pPr>
                    <w:spacing w:line="280" w:lineRule="exact"/>
                    <w:ind w:left="-105" w:leftChars="-50" w:right="-105" w:rightChars="-50"/>
                    <w:jc w:val="center"/>
                    <w:rPr>
                      <w:rFonts w:hAnsi="宋体"/>
                      <w:sz w:val="18"/>
                      <w:szCs w:val="18"/>
                    </w:rPr>
                  </w:pPr>
                </w:p>
              </w:tc>
              <w:tc>
                <w:tcPr>
                  <w:tcW w:w="747" w:type="dxa"/>
                  <w:vMerge w:val="continue"/>
                  <w:vAlign w:val="center"/>
                </w:tcPr>
                <w:p>
                  <w:pPr>
                    <w:spacing w:line="280" w:lineRule="exact"/>
                    <w:ind w:left="-53" w:leftChars="-25" w:right="-53" w:rightChars="-25"/>
                    <w:jc w:val="center"/>
                    <w:rPr>
                      <w:rFonts w:hAnsi="宋体"/>
                      <w:sz w:val="18"/>
                      <w:szCs w:val="18"/>
                    </w:rPr>
                  </w:pPr>
                </w:p>
              </w:tc>
              <w:tc>
                <w:tcPr>
                  <w:tcW w:w="4395" w:type="dxa"/>
                  <w:vAlign w:val="center"/>
                </w:tcPr>
                <w:p>
                  <w:pPr>
                    <w:spacing w:line="300" w:lineRule="exact"/>
                    <w:rPr>
                      <w:sz w:val="18"/>
                      <w:szCs w:val="18"/>
                    </w:rPr>
                  </w:pPr>
                  <w:r>
                    <w:rPr>
                      <w:rFonts w:ascii="宋体" w:hAnsi="宋体"/>
                      <w:b/>
                      <w:kern w:val="0"/>
                      <w:sz w:val="18"/>
                      <w:szCs w:val="18"/>
                    </w:rPr>
                    <w:t>施工废水：</w:t>
                  </w:r>
                  <w:r>
                    <w:rPr>
                      <w:rFonts w:ascii="宋体" w:hAnsi="宋体"/>
                      <w:kern w:val="0"/>
                      <w:sz w:val="18"/>
                      <w:szCs w:val="18"/>
                    </w:rPr>
                    <w:t>河道穿越施工废水：在主要穿越点周围设置施工废水沉淀池，并建设导流沟等设施将穿越产生的</w:t>
                  </w:r>
                  <w:r>
                    <w:rPr>
                      <w:rFonts w:hint="eastAsia" w:ascii="宋体" w:hAnsi="宋体"/>
                      <w:kern w:val="0"/>
                      <w:sz w:val="18"/>
                      <w:szCs w:val="18"/>
                    </w:rPr>
                    <w:t>施工废水经隔油沉淀处理后用于施工场地的洒水抑尘，不外排。试管废水：修建试管废水沉淀池，回用于附近林地灌溉、道路洒水</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669" w:type="dxa"/>
                  <w:vMerge w:val="continue"/>
                  <w:vAlign w:val="center"/>
                </w:tcPr>
                <w:p>
                  <w:pPr>
                    <w:spacing w:line="280" w:lineRule="exact"/>
                    <w:ind w:left="-105" w:leftChars="-50" w:right="-105" w:rightChars="-50"/>
                    <w:jc w:val="center"/>
                    <w:rPr>
                      <w:rFonts w:hAnsi="宋体"/>
                      <w:sz w:val="18"/>
                      <w:szCs w:val="18"/>
                    </w:rPr>
                  </w:pPr>
                </w:p>
              </w:tc>
              <w:tc>
                <w:tcPr>
                  <w:tcW w:w="747" w:type="dxa"/>
                  <w:vMerge w:val="continue"/>
                  <w:vAlign w:val="center"/>
                </w:tcPr>
                <w:p>
                  <w:pPr>
                    <w:spacing w:line="280" w:lineRule="exact"/>
                    <w:ind w:left="-53" w:leftChars="-25" w:right="-53" w:rightChars="-25"/>
                    <w:jc w:val="center"/>
                    <w:rPr>
                      <w:rFonts w:hAnsi="宋体"/>
                      <w:sz w:val="18"/>
                      <w:szCs w:val="18"/>
                    </w:rPr>
                  </w:pPr>
                </w:p>
              </w:tc>
              <w:tc>
                <w:tcPr>
                  <w:tcW w:w="4395" w:type="dxa"/>
                  <w:vAlign w:val="center"/>
                </w:tcPr>
                <w:p>
                  <w:pPr>
                    <w:spacing w:line="300" w:lineRule="exact"/>
                    <w:rPr>
                      <w:b/>
                      <w:bCs/>
                      <w:sz w:val="18"/>
                      <w:szCs w:val="18"/>
                    </w:rPr>
                  </w:pPr>
                  <w:r>
                    <w:rPr>
                      <w:rFonts w:ascii="宋体" w:hAnsi="宋体"/>
                      <w:b/>
                      <w:kern w:val="0"/>
                      <w:sz w:val="18"/>
                      <w:szCs w:val="18"/>
                    </w:rPr>
                    <w:t>施工噪声：</w:t>
                  </w:r>
                  <w:r>
                    <w:rPr>
                      <w:rFonts w:ascii="宋体" w:hAnsi="宋体"/>
                      <w:kern w:val="0"/>
                      <w:sz w:val="18"/>
                      <w:szCs w:val="18"/>
                    </w:rPr>
                    <w:t>合理安排施工作业时间，合理布局施工现场，禁止夜间施工；在施工沿线居民集中点设挡声板顶管穿越点附近设隔声屏障</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669" w:type="dxa"/>
                  <w:vMerge w:val="continue"/>
                  <w:vAlign w:val="center"/>
                </w:tcPr>
                <w:p>
                  <w:pPr>
                    <w:spacing w:line="280" w:lineRule="exact"/>
                    <w:ind w:left="-105" w:leftChars="-50" w:right="-105" w:rightChars="-50"/>
                    <w:jc w:val="center"/>
                    <w:rPr>
                      <w:rFonts w:hAnsi="宋体"/>
                      <w:sz w:val="18"/>
                      <w:szCs w:val="18"/>
                    </w:rPr>
                  </w:pPr>
                </w:p>
              </w:tc>
              <w:tc>
                <w:tcPr>
                  <w:tcW w:w="747" w:type="dxa"/>
                  <w:vMerge w:val="continue"/>
                  <w:vAlign w:val="center"/>
                </w:tcPr>
                <w:p>
                  <w:pPr>
                    <w:spacing w:line="280" w:lineRule="exact"/>
                    <w:ind w:left="-53" w:leftChars="-25" w:right="-53" w:rightChars="-25"/>
                    <w:jc w:val="center"/>
                    <w:rPr>
                      <w:rFonts w:hAnsi="宋体"/>
                      <w:sz w:val="18"/>
                      <w:szCs w:val="18"/>
                    </w:rPr>
                  </w:pPr>
                </w:p>
              </w:tc>
              <w:tc>
                <w:tcPr>
                  <w:tcW w:w="4395" w:type="dxa"/>
                  <w:vAlign w:val="center"/>
                </w:tcPr>
                <w:p>
                  <w:pPr>
                    <w:spacing w:line="300" w:lineRule="exact"/>
                    <w:rPr>
                      <w:b/>
                      <w:bCs/>
                      <w:sz w:val="18"/>
                      <w:szCs w:val="18"/>
                    </w:rPr>
                  </w:pPr>
                  <w:r>
                    <w:rPr>
                      <w:rFonts w:ascii="宋体" w:hAnsi="宋体"/>
                      <w:b/>
                      <w:kern w:val="0"/>
                      <w:sz w:val="18"/>
                      <w:szCs w:val="18"/>
                    </w:rPr>
                    <w:t>施工固废：</w:t>
                  </w:r>
                  <w:r>
                    <w:rPr>
                      <w:rFonts w:ascii="宋体" w:hAnsi="宋体"/>
                      <w:kern w:val="0"/>
                      <w:sz w:val="18"/>
                      <w:szCs w:val="18"/>
                    </w:rPr>
                    <w:t>施工期生活垃圾依托当地环卫部门</w:t>
                  </w:r>
                  <w:r>
                    <w:rPr>
                      <w:rFonts w:hint="eastAsia" w:ascii="宋体" w:hAnsi="宋体"/>
                      <w:kern w:val="0"/>
                      <w:sz w:val="18"/>
                      <w:szCs w:val="18"/>
                    </w:rPr>
                    <w:t>统一</w:t>
                  </w:r>
                  <w:r>
                    <w:rPr>
                      <w:rFonts w:ascii="宋体" w:hAnsi="宋体"/>
                      <w:kern w:val="0"/>
                      <w:sz w:val="18"/>
                      <w:szCs w:val="18"/>
                    </w:rPr>
                    <w:t>清运处理；未回收利用的施工废料，依托当地环卫部门统一清运处理；施工期剩余少量建渣用于临时道路修建或运送至政府指定的堆场。</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669" w:type="dxa"/>
                  <w:vMerge w:val="continue"/>
                  <w:vAlign w:val="center"/>
                </w:tcPr>
                <w:p>
                  <w:pPr>
                    <w:spacing w:line="280" w:lineRule="exact"/>
                    <w:ind w:left="-105" w:leftChars="-50" w:right="-105" w:rightChars="-50"/>
                    <w:jc w:val="center"/>
                    <w:rPr>
                      <w:rFonts w:hAnsi="宋体"/>
                      <w:sz w:val="18"/>
                      <w:szCs w:val="18"/>
                    </w:rPr>
                  </w:pPr>
                </w:p>
              </w:tc>
              <w:tc>
                <w:tcPr>
                  <w:tcW w:w="747" w:type="dxa"/>
                  <w:vMerge w:val="continue"/>
                  <w:vAlign w:val="center"/>
                </w:tcPr>
                <w:p>
                  <w:pPr>
                    <w:spacing w:line="280" w:lineRule="exact"/>
                    <w:ind w:left="-53" w:leftChars="-25" w:right="-53" w:rightChars="-25"/>
                    <w:jc w:val="center"/>
                    <w:rPr>
                      <w:rFonts w:hAnsi="宋体"/>
                      <w:sz w:val="18"/>
                      <w:szCs w:val="18"/>
                    </w:rPr>
                  </w:pPr>
                </w:p>
              </w:tc>
              <w:tc>
                <w:tcPr>
                  <w:tcW w:w="4395" w:type="dxa"/>
                  <w:vAlign w:val="center"/>
                </w:tcPr>
                <w:p>
                  <w:pPr>
                    <w:spacing w:line="280" w:lineRule="exact"/>
                    <w:ind w:left="-53" w:leftChars="-25" w:right="-53" w:rightChars="-25"/>
                    <w:jc w:val="left"/>
                    <w:rPr>
                      <w:sz w:val="18"/>
                      <w:szCs w:val="18"/>
                    </w:rPr>
                  </w:pPr>
                  <w:r>
                    <w:rPr>
                      <w:rFonts w:hint="eastAsia"/>
                      <w:b/>
                      <w:sz w:val="18"/>
                      <w:szCs w:val="18"/>
                    </w:rPr>
                    <w:t>生态保护：</w:t>
                  </w:r>
                  <w:r>
                    <w:rPr>
                      <w:rFonts w:hint="eastAsia"/>
                      <w:sz w:val="18"/>
                      <w:szCs w:val="18"/>
                    </w:rPr>
                    <w:t>施工期管道区域施工便道、施工作业带等临时占地的剥离表土、土地整治、复耕等，以及用于、挡墙建设、安装排水沟等建设。管道沿线、站场、渣场等区域植被恢复、绿化等植物措施。设置土质排水沟、临时沉砂凼、土袋挡土墙等措施。</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669" w:type="dxa"/>
                  <w:vMerge w:val="continue"/>
                  <w:vAlign w:val="center"/>
                </w:tcPr>
                <w:p>
                  <w:pPr>
                    <w:spacing w:line="280" w:lineRule="exact"/>
                    <w:ind w:left="-105" w:leftChars="-50" w:right="-105" w:rightChars="-50"/>
                    <w:jc w:val="center"/>
                    <w:rPr>
                      <w:rFonts w:hAnsi="宋体"/>
                      <w:sz w:val="18"/>
                      <w:szCs w:val="18"/>
                    </w:rPr>
                  </w:pPr>
                </w:p>
              </w:tc>
              <w:tc>
                <w:tcPr>
                  <w:tcW w:w="747" w:type="dxa"/>
                  <w:vMerge w:val="restart"/>
                  <w:vAlign w:val="center"/>
                </w:tcPr>
                <w:p>
                  <w:pPr>
                    <w:spacing w:line="280" w:lineRule="exact"/>
                    <w:ind w:left="-53" w:leftChars="-25" w:right="-53" w:rightChars="-25"/>
                    <w:jc w:val="center"/>
                    <w:rPr>
                      <w:rFonts w:hAnsi="宋体"/>
                      <w:sz w:val="18"/>
                      <w:szCs w:val="18"/>
                    </w:rPr>
                  </w:pPr>
                  <w:r>
                    <w:rPr>
                      <w:rFonts w:hAnsi="宋体"/>
                      <w:sz w:val="18"/>
                      <w:szCs w:val="18"/>
                    </w:rPr>
                    <w:t>废水</w:t>
                  </w:r>
                </w:p>
                <w:p>
                  <w:pPr>
                    <w:spacing w:line="280" w:lineRule="exact"/>
                    <w:ind w:left="-53" w:leftChars="-25" w:right="-53" w:rightChars="-25"/>
                    <w:jc w:val="center"/>
                    <w:rPr>
                      <w:rFonts w:hAnsi="宋体"/>
                      <w:sz w:val="18"/>
                      <w:szCs w:val="18"/>
                    </w:rPr>
                  </w:pPr>
                  <w:r>
                    <w:rPr>
                      <w:rFonts w:hAnsi="宋体"/>
                      <w:sz w:val="18"/>
                      <w:szCs w:val="18"/>
                    </w:rPr>
                    <w:t>处理</w:t>
                  </w:r>
                </w:p>
              </w:tc>
              <w:tc>
                <w:tcPr>
                  <w:tcW w:w="4395" w:type="dxa"/>
                  <w:vAlign w:val="center"/>
                </w:tcPr>
                <w:p>
                  <w:pPr>
                    <w:spacing w:line="280" w:lineRule="exact"/>
                    <w:ind w:left="-53" w:leftChars="-25" w:right="-53" w:rightChars="-25"/>
                    <w:jc w:val="left"/>
                    <w:rPr>
                      <w:sz w:val="18"/>
                      <w:szCs w:val="18"/>
                    </w:rPr>
                  </w:pPr>
                  <w:r>
                    <w:rPr>
                      <w:sz w:val="18"/>
                      <w:szCs w:val="18"/>
                    </w:rPr>
                    <w:t>生活污水：设初沉池</w:t>
                  </w:r>
                  <w:r>
                    <w:rPr>
                      <w:rFonts w:hint="eastAsia"/>
                      <w:sz w:val="18"/>
                      <w:szCs w:val="18"/>
                    </w:rPr>
                    <w:t>（容积约10m</w:t>
                  </w:r>
                  <w:r>
                    <w:rPr>
                      <w:rFonts w:hint="eastAsia"/>
                      <w:sz w:val="18"/>
                      <w:szCs w:val="18"/>
                      <w:vertAlign w:val="superscript"/>
                    </w:rPr>
                    <w:t>3</w:t>
                  </w:r>
                  <w:r>
                    <w:rPr>
                      <w:rFonts w:hint="eastAsia"/>
                      <w:sz w:val="18"/>
                      <w:szCs w:val="18"/>
                    </w:rPr>
                    <w:t>）</w:t>
                  </w:r>
                  <w:r>
                    <w:rPr>
                      <w:sz w:val="18"/>
                      <w:szCs w:val="18"/>
                    </w:rPr>
                    <w:t>和隔油池</w:t>
                  </w:r>
                  <w:r>
                    <w:rPr>
                      <w:rFonts w:hint="eastAsia"/>
                      <w:sz w:val="18"/>
                      <w:szCs w:val="18"/>
                    </w:rPr>
                    <w:t>（容积约1m</w:t>
                  </w:r>
                  <w:r>
                    <w:rPr>
                      <w:rFonts w:hint="eastAsia"/>
                      <w:sz w:val="18"/>
                      <w:szCs w:val="18"/>
                      <w:vertAlign w:val="superscript"/>
                    </w:rPr>
                    <w:t>3</w:t>
                  </w:r>
                  <w:r>
                    <w:rPr>
                      <w:rFonts w:hint="eastAsia"/>
                      <w:sz w:val="18"/>
                      <w:szCs w:val="18"/>
                    </w:rPr>
                    <w:t>）</w:t>
                  </w:r>
                  <w:r>
                    <w:rPr>
                      <w:sz w:val="18"/>
                      <w:szCs w:val="18"/>
                    </w:rPr>
                    <w:t>预处理后，委托专业机构</w:t>
                  </w:r>
                  <w:r>
                    <w:rPr>
                      <w:rFonts w:hint="eastAsia"/>
                      <w:sz w:val="18"/>
                      <w:szCs w:val="18"/>
                    </w:rPr>
                    <w:t>定期拉运至园区污水处理厂处理</w:t>
                  </w:r>
                  <w:r>
                    <w:rPr>
                      <w:sz w:val="18"/>
                      <w:szCs w:val="18"/>
                    </w:rPr>
                    <w:t>。后期园区污水管网接通后，接入园区污水管网进入园区污水处理厂。</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r>
                    <w:rPr>
                      <w:sz w:val="18"/>
                      <w:szCs w:val="18"/>
                    </w:rPr>
                    <w:t>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669" w:type="dxa"/>
                  <w:vMerge w:val="continue"/>
                  <w:vAlign w:val="center"/>
                </w:tcPr>
                <w:p>
                  <w:pPr>
                    <w:spacing w:line="280" w:lineRule="exact"/>
                    <w:ind w:left="-105" w:leftChars="-50" w:right="-105" w:rightChars="-50"/>
                    <w:jc w:val="center"/>
                    <w:rPr>
                      <w:rFonts w:hAnsi="宋体"/>
                      <w:sz w:val="18"/>
                      <w:szCs w:val="18"/>
                    </w:rPr>
                  </w:pPr>
                </w:p>
              </w:tc>
              <w:tc>
                <w:tcPr>
                  <w:tcW w:w="747" w:type="dxa"/>
                  <w:vMerge w:val="continue"/>
                  <w:vAlign w:val="center"/>
                </w:tcPr>
                <w:p>
                  <w:pPr>
                    <w:spacing w:line="280" w:lineRule="exact"/>
                    <w:ind w:left="-53" w:leftChars="-25" w:right="-53" w:rightChars="-25"/>
                    <w:jc w:val="center"/>
                    <w:rPr>
                      <w:rFonts w:hAnsi="宋体"/>
                      <w:sz w:val="18"/>
                      <w:szCs w:val="18"/>
                    </w:rPr>
                  </w:pPr>
                </w:p>
              </w:tc>
              <w:tc>
                <w:tcPr>
                  <w:tcW w:w="4395" w:type="dxa"/>
                  <w:vAlign w:val="center"/>
                </w:tcPr>
                <w:p>
                  <w:pPr>
                    <w:spacing w:line="280" w:lineRule="exact"/>
                    <w:ind w:left="-53" w:leftChars="-25" w:right="-53" w:rightChars="-25"/>
                    <w:jc w:val="left"/>
                    <w:rPr>
                      <w:sz w:val="18"/>
                      <w:szCs w:val="18"/>
                    </w:rPr>
                  </w:pPr>
                  <w:r>
                    <w:rPr>
                      <w:sz w:val="18"/>
                      <w:szCs w:val="18"/>
                    </w:rPr>
                    <w:t>生产废水：包括</w:t>
                  </w:r>
                  <w:r>
                    <w:rPr>
                      <w:rFonts w:hint="eastAsia"/>
                      <w:sz w:val="18"/>
                      <w:szCs w:val="18"/>
                    </w:rPr>
                    <w:t>站内设备定期清洗废水和排污残液等，场内设排污池（容积约6m</w:t>
                  </w:r>
                  <w:r>
                    <w:rPr>
                      <w:rFonts w:hint="eastAsia"/>
                      <w:sz w:val="18"/>
                      <w:szCs w:val="18"/>
                      <w:vertAlign w:val="superscript"/>
                    </w:rPr>
                    <w:t>3</w:t>
                  </w:r>
                  <w:r>
                    <w:rPr>
                      <w:rFonts w:hint="eastAsia"/>
                      <w:sz w:val="18"/>
                      <w:szCs w:val="18"/>
                    </w:rPr>
                    <w:t>）收集，定期</w:t>
                  </w:r>
                  <w:r>
                    <w:rPr>
                      <w:sz w:val="18"/>
                      <w:szCs w:val="18"/>
                    </w:rPr>
                    <w:t>专业机构</w:t>
                  </w:r>
                  <w:r>
                    <w:rPr>
                      <w:rFonts w:hint="eastAsia"/>
                      <w:sz w:val="18"/>
                      <w:szCs w:val="18"/>
                    </w:rPr>
                    <w:t>定期拉运至园区污水处理厂处理</w:t>
                  </w:r>
                  <w:r>
                    <w:rPr>
                      <w:sz w:val="18"/>
                      <w:szCs w:val="18"/>
                    </w:rPr>
                    <w:t>。后期园区污水管网接通后，接入园区污水管网进入园区污水处理厂</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669" w:type="dxa"/>
                  <w:vMerge w:val="continue"/>
                  <w:vAlign w:val="center"/>
                </w:tcPr>
                <w:p>
                  <w:pPr>
                    <w:spacing w:line="280" w:lineRule="exact"/>
                    <w:jc w:val="center"/>
                    <w:rPr>
                      <w:sz w:val="18"/>
                      <w:szCs w:val="18"/>
                    </w:rPr>
                  </w:pPr>
                </w:p>
              </w:tc>
              <w:tc>
                <w:tcPr>
                  <w:tcW w:w="747" w:type="dxa"/>
                  <w:vAlign w:val="center"/>
                </w:tcPr>
                <w:p>
                  <w:pPr>
                    <w:spacing w:line="280" w:lineRule="exact"/>
                    <w:ind w:left="-53" w:leftChars="-25" w:right="-53" w:rightChars="-25"/>
                    <w:jc w:val="center"/>
                    <w:rPr>
                      <w:rFonts w:hAnsi="宋体"/>
                      <w:sz w:val="18"/>
                      <w:szCs w:val="18"/>
                    </w:rPr>
                  </w:pPr>
                  <w:r>
                    <w:rPr>
                      <w:rFonts w:hAnsi="宋体"/>
                      <w:sz w:val="18"/>
                      <w:szCs w:val="18"/>
                    </w:rPr>
                    <w:t>废气</w:t>
                  </w:r>
                </w:p>
                <w:p>
                  <w:pPr>
                    <w:spacing w:line="280" w:lineRule="exact"/>
                    <w:ind w:left="-53" w:leftChars="-25" w:right="-53" w:rightChars="-25"/>
                    <w:jc w:val="center"/>
                    <w:rPr>
                      <w:sz w:val="18"/>
                      <w:szCs w:val="18"/>
                    </w:rPr>
                  </w:pPr>
                  <w:r>
                    <w:rPr>
                      <w:rFonts w:hAnsi="宋体"/>
                      <w:sz w:val="18"/>
                      <w:szCs w:val="18"/>
                    </w:rPr>
                    <w:t>处理</w:t>
                  </w:r>
                </w:p>
              </w:tc>
              <w:tc>
                <w:tcPr>
                  <w:tcW w:w="4395" w:type="dxa"/>
                  <w:vAlign w:val="center"/>
                </w:tcPr>
                <w:p>
                  <w:pPr>
                    <w:spacing w:line="260" w:lineRule="exact"/>
                    <w:ind w:left="-53" w:leftChars="-25" w:right="-53" w:rightChars="-25"/>
                    <w:jc w:val="left"/>
                    <w:rPr>
                      <w:sz w:val="18"/>
                      <w:szCs w:val="18"/>
                    </w:rPr>
                  </w:pPr>
                  <w:r>
                    <w:rPr>
                      <w:rFonts w:hint="eastAsia"/>
                      <w:sz w:val="18"/>
                      <w:szCs w:val="18"/>
                    </w:rPr>
                    <w:t>检修、超压时释放的废气（天然气）由25m放空管自然放空，利用大气扩散降低污染影响；加强管理，尽量降低非正常状态下废气排放量</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r>
                    <w:rPr>
                      <w:sz w:val="18"/>
                      <w:szCs w:val="18"/>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jc w:val="center"/>
              </w:trPr>
              <w:tc>
                <w:tcPr>
                  <w:tcW w:w="669" w:type="dxa"/>
                  <w:vMerge w:val="continue"/>
                  <w:vAlign w:val="center"/>
                </w:tcPr>
                <w:p>
                  <w:pPr>
                    <w:spacing w:line="280" w:lineRule="exact"/>
                    <w:jc w:val="center"/>
                    <w:rPr>
                      <w:sz w:val="18"/>
                      <w:szCs w:val="18"/>
                    </w:rPr>
                  </w:pPr>
                </w:p>
              </w:tc>
              <w:tc>
                <w:tcPr>
                  <w:tcW w:w="747" w:type="dxa"/>
                  <w:vAlign w:val="center"/>
                </w:tcPr>
                <w:p>
                  <w:pPr>
                    <w:spacing w:line="280" w:lineRule="exact"/>
                    <w:ind w:left="-53" w:leftChars="-25" w:right="-53" w:rightChars="-25"/>
                    <w:jc w:val="center"/>
                    <w:rPr>
                      <w:rFonts w:hAnsi="宋体"/>
                      <w:sz w:val="18"/>
                      <w:szCs w:val="18"/>
                    </w:rPr>
                  </w:pPr>
                  <w:r>
                    <w:rPr>
                      <w:rFonts w:hAnsi="宋体"/>
                      <w:sz w:val="18"/>
                      <w:szCs w:val="18"/>
                    </w:rPr>
                    <w:t>噪声</w:t>
                  </w:r>
                </w:p>
                <w:p>
                  <w:pPr>
                    <w:spacing w:line="280" w:lineRule="exact"/>
                    <w:ind w:left="-53" w:leftChars="-25" w:right="-53" w:rightChars="-25"/>
                    <w:jc w:val="center"/>
                    <w:rPr>
                      <w:sz w:val="18"/>
                      <w:szCs w:val="18"/>
                    </w:rPr>
                  </w:pPr>
                  <w:r>
                    <w:rPr>
                      <w:rFonts w:hAnsi="宋体"/>
                      <w:sz w:val="18"/>
                      <w:szCs w:val="18"/>
                    </w:rPr>
                    <w:t>治理</w:t>
                  </w:r>
                </w:p>
              </w:tc>
              <w:tc>
                <w:tcPr>
                  <w:tcW w:w="4395" w:type="dxa"/>
                  <w:vAlign w:val="center"/>
                </w:tcPr>
                <w:p>
                  <w:pPr>
                    <w:spacing w:line="260" w:lineRule="exact"/>
                    <w:ind w:left="-53" w:leftChars="-25" w:right="-53" w:rightChars="-25"/>
                    <w:jc w:val="left"/>
                    <w:rPr>
                      <w:sz w:val="18"/>
                      <w:szCs w:val="18"/>
                    </w:rPr>
                  </w:pPr>
                  <w:r>
                    <w:rPr>
                      <w:rFonts w:hint="eastAsia"/>
                      <w:sz w:val="18"/>
                      <w:szCs w:val="18"/>
                    </w:rPr>
                    <w:t>站场尽量减少弯头、三通等管件，降低气流噪声；站场设备选用低噪声设备，分离器汇管采取放大管径，降低流速等；放空时减压、控制流速。</w:t>
                  </w:r>
                  <w:r>
                    <w:rPr>
                      <w:sz w:val="18"/>
                      <w:szCs w:val="18"/>
                    </w:rPr>
                    <w:t>选用低噪声设备、厂房隔声，设置消声器，使设备与地面进行软连接</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b/>
                      <w:sz w:val="18"/>
                      <w:szCs w:val="18"/>
                    </w:rPr>
                  </w:pPr>
                  <w:r>
                    <w:rPr>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69" w:type="dxa"/>
                  <w:vMerge w:val="continue"/>
                  <w:vAlign w:val="center"/>
                </w:tcPr>
                <w:p>
                  <w:pPr>
                    <w:spacing w:line="280" w:lineRule="exact"/>
                    <w:jc w:val="center"/>
                    <w:rPr>
                      <w:sz w:val="18"/>
                      <w:szCs w:val="18"/>
                    </w:rPr>
                  </w:pPr>
                </w:p>
              </w:tc>
              <w:tc>
                <w:tcPr>
                  <w:tcW w:w="747" w:type="dxa"/>
                  <w:vMerge w:val="restart"/>
                  <w:vAlign w:val="center"/>
                </w:tcPr>
                <w:p>
                  <w:pPr>
                    <w:spacing w:line="280" w:lineRule="exact"/>
                    <w:ind w:left="-53" w:leftChars="-25" w:right="-53" w:rightChars="-25"/>
                    <w:jc w:val="center"/>
                    <w:rPr>
                      <w:rFonts w:hAnsi="宋体"/>
                      <w:sz w:val="18"/>
                      <w:szCs w:val="18"/>
                    </w:rPr>
                  </w:pPr>
                  <w:r>
                    <w:rPr>
                      <w:rFonts w:hAnsi="宋体"/>
                      <w:sz w:val="18"/>
                      <w:szCs w:val="18"/>
                    </w:rPr>
                    <w:t>固废</w:t>
                  </w:r>
                </w:p>
                <w:p>
                  <w:pPr>
                    <w:spacing w:line="280" w:lineRule="exact"/>
                    <w:ind w:left="-53" w:leftChars="-25" w:right="-53" w:rightChars="-25"/>
                    <w:jc w:val="center"/>
                    <w:rPr>
                      <w:sz w:val="18"/>
                      <w:szCs w:val="18"/>
                    </w:rPr>
                  </w:pPr>
                  <w:r>
                    <w:rPr>
                      <w:rFonts w:hAnsi="宋体"/>
                      <w:sz w:val="18"/>
                      <w:szCs w:val="18"/>
                    </w:rPr>
                    <w:t>处置</w:t>
                  </w:r>
                </w:p>
              </w:tc>
              <w:tc>
                <w:tcPr>
                  <w:tcW w:w="4395" w:type="dxa"/>
                  <w:vAlign w:val="center"/>
                </w:tcPr>
                <w:p>
                  <w:pPr>
                    <w:spacing w:line="260" w:lineRule="exact"/>
                    <w:ind w:left="-53" w:leftChars="-25" w:right="-53" w:rightChars="-25"/>
                    <w:jc w:val="left"/>
                    <w:rPr>
                      <w:rFonts w:hAnsi="宋体"/>
                      <w:sz w:val="18"/>
                      <w:szCs w:val="18"/>
                    </w:rPr>
                  </w:pPr>
                  <w:r>
                    <w:rPr>
                      <w:rFonts w:hAnsi="宋体"/>
                      <w:sz w:val="18"/>
                      <w:szCs w:val="18"/>
                    </w:rPr>
                    <w:t>生活垃圾：袋装收集后</w:t>
                  </w:r>
                  <w:r>
                    <w:rPr>
                      <w:rFonts w:hint="eastAsia" w:hAnsi="宋体"/>
                      <w:sz w:val="18"/>
                      <w:szCs w:val="18"/>
                    </w:rPr>
                    <w:t>由当地环卫部门统一收集处理</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69" w:type="dxa"/>
                  <w:vMerge w:val="continue"/>
                  <w:vAlign w:val="center"/>
                </w:tcPr>
                <w:p>
                  <w:pPr>
                    <w:spacing w:line="280" w:lineRule="exact"/>
                    <w:jc w:val="center"/>
                    <w:rPr>
                      <w:sz w:val="18"/>
                      <w:szCs w:val="18"/>
                    </w:rPr>
                  </w:pPr>
                </w:p>
              </w:tc>
              <w:tc>
                <w:tcPr>
                  <w:tcW w:w="747" w:type="dxa"/>
                  <w:vMerge w:val="continue"/>
                  <w:vAlign w:val="center"/>
                </w:tcPr>
                <w:p>
                  <w:pPr>
                    <w:spacing w:line="280" w:lineRule="exact"/>
                    <w:ind w:left="-53" w:leftChars="-25" w:right="-53" w:rightChars="-25"/>
                    <w:jc w:val="left"/>
                    <w:rPr>
                      <w:rFonts w:hAnsi="宋体"/>
                      <w:sz w:val="18"/>
                      <w:szCs w:val="18"/>
                    </w:rPr>
                  </w:pPr>
                </w:p>
              </w:tc>
              <w:tc>
                <w:tcPr>
                  <w:tcW w:w="4395" w:type="dxa"/>
                  <w:vAlign w:val="center"/>
                </w:tcPr>
                <w:p>
                  <w:pPr>
                    <w:spacing w:line="250" w:lineRule="exact"/>
                    <w:ind w:left="-53" w:leftChars="-25" w:right="-53" w:rightChars="-25"/>
                    <w:jc w:val="left"/>
                    <w:rPr>
                      <w:rFonts w:hAnsi="宋体"/>
                      <w:sz w:val="18"/>
                      <w:szCs w:val="18"/>
                    </w:rPr>
                  </w:pPr>
                  <w:r>
                    <w:rPr>
                      <w:rFonts w:hint="eastAsia" w:hAnsi="宋体"/>
                      <w:sz w:val="18"/>
                      <w:szCs w:val="18"/>
                    </w:rPr>
                    <w:t>清管、分离器检修产生的少量固体废渣，采用专用容积收集存放，最终交由专业单位收集处理</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69" w:type="dxa"/>
                  <w:vMerge w:val="continue"/>
                  <w:vAlign w:val="center"/>
                </w:tcPr>
                <w:p>
                  <w:pPr>
                    <w:spacing w:line="280" w:lineRule="exact"/>
                    <w:jc w:val="center"/>
                    <w:rPr>
                      <w:sz w:val="18"/>
                      <w:szCs w:val="18"/>
                    </w:rPr>
                  </w:pPr>
                </w:p>
              </w:tc>
              <w:tc>
                <w:tcPr>
                  <w:tcW w:w="747" w:type="dxa"/>
                  <w:vMerge w:val="continue"/>
                  <w:vAlign w:val="center"/>
                </w:tcPr>
                <w:p>
                  <w:pPr>
                    <w:spacing w:line="280" w:lineRule="exact"/>
                    <w:ind w:left="-53" w:leftChars="-25" w:right="-53" w:rightChars="-25"/>
                    <w:jc w:val="left"/>
                    <w:rPr>
                      <w:rFonts w:hAnsi="宋体"/>
                      <w:sz w:val="18"/>
                      <w:szCs w:val="18"/>
                    </w:rPr>
                  </w:pPr>
                </w:p>
              </w:tc>
              <w:tc>
                <w:tcPr>
                  <w:tcW w:w="4395" w:type="dxa"/>
                  <w:vAlign w:val="center"/>
                </w:tcPr>
                <w:p>
                  <w:pPr>
                    <w:spacing w:line="250" w:lineRule="exact"/>
                    <w:ind w:left="-53" w:leftChars="-25" w:right="-53" w:rightChars="-25"/>
                    <w:jc w:val="left"/>
                    <w:rPr>
                      <w:rFonts w:hAnsi="宋体"/>
                      <w:sz w:val="18"/>
                      <w:szCs w:val="18"/>
                    </w:rPr>
                  </w:pPr>
                  <w:r>
                    <w:rPr>
                      <w:rFonts w:hint="eastAsia" w:hAnsi="宋体"/>
                      <w:sz w:val="18"/>
                      <w:szCs w:val="18"/>
                    </w:rPr>
                    <w:t>废滤芯、废油漆桶、废润滑油等属于危险废物，设置危废暂存间1个，建筑面积约10m</w:t>
                  </w:r>
                  <w:r>
                    <w:rPr>
                      <w:rFonts w:hint="eastAsia" w:hAnsi="宋体"/>
                      <w:sz w:val="18"/>
                      <w:szCs w:val="18"/>
                      <w:vertAlign w:val="superscript"/>
                    </w:rPr>
                    <w:t>2</w:t>
                  </w:r>
                  <w:r>
                    <w:rPr>
                      <w:rFonts w:hint="eastAsia" w:hAnsi="宋体"/>
                      <w:sz w:val="18"/>
                      <w:szCs w:val="18"/>
                    </w:rPr>
                    <w:t>，采取“四防”措施。暂存间内设危废收集容器、分类暂存，设置警示标示、建立管理台账，严格执行危险废物转移联单制度，委托有资质的单位定期回收处置</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sz w:val="18"/>
                      <w:szCs w:val="18"/>
                    </w:rPr>
                  </w:pPr>
                  <w:r>
                    <w:rPr>
                      <w:rFonts w:hint="eastAsia"/>
                      <w:sz w:val="18"/>
                      <w:szCs w:val="18"/>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669" w:type="dxa"/>
                  <w:vMerge w:val="continue"/>
                  <w:vAlign w:val="center"/>
                </w:tcPr>
                <w:p>
                  <w:pPr>
                    <w:spacing w:line="280" w:lineRule="exact"/>
                    <w:jc w:val="center"/>
                    <w:rPr>
                      <w:sz w:val="18"/>
                      <w:szCs w:val="18"/>
                    </w:rPr>
                  </w:pPr>
                </w:p>
              </w:tc>
              <w:tc>
                <w:tcPr>
                  <w:tcW w:w="747" w:type="dxa"/>
                  <w:vAlign w:val="center"/>
                </w:tcPr>
                <w:p>
                  <w:pPr>
                    <w:spacing w:line="280" w:lineRule="exact"/>
                    <w:ind w:left="-53" w:leftChars="-25" w:right="-53" w:rightChars="-25"/>
                    <w:jc w:val="center"/>
                    <w:rPr>
                      <w:rFonts w:hAnsi="宋体"/>
                      <w:sz w:val="18"/>
                      <w:szCs w:val="18"/>
                    </w:rPr>
                  </w:pPr>
                  <w:r>
                    <w:rPr>
                      <w:rFonts w:hAnsi="宋体"/>
                      <w:sz w:val="18"/>
                      <w:szCs w:val="18"/>
                    </w:rPr>
                    <w:t>环境</w:t>
                  </w:r>
                </w:p>
                <w:p>
                  <w:pPr>
                    <w:spacing w:line="280" w:lineRule="exact"/>
                    <w:ind w:left="-53" w:leftChars="-25" w:right="-53" w:rightChars="-25"/>
                    <w:jc w:val="center"/>
                    <w:rPr>
                      <w:rFonts w:hAnsi="宋体"/>
                      <w:sz w:val="18"/>
                      <w:szCs w:val="18"/>
                    </w:rPr>
                  </w:pPr>
                  <w:r>
                    <w:rPr>
                      <w:rFonts w:hAnsi="宋体"/>
                      <w:sz w:val="18"/>
                      <w:szCs w:val="18"/>
                    </w:rPr>
                    <w:t>风险</w:t>
                  </w:r>
                </w:p>
              </w:tc>
              <w:tc>
                <w:tcPr>
                  <w:tcW w:w="4395" w:type="dxa"/>
                  <w:vAlign w:val="center"/>
                </w:tcPr>
                <w:p>
                  <w:pPr>
                    <w:spacing w:line="280" w:lineRule="exact"/>
                    <w:ind w:left="-53" w:leftChars="-25" w:right="-53" w:rightChars="-25"/>
                    <w:jc w:val="left"/>
                    <w:rPr>
                      <w:rFonts w:hAnsi="宋体"/>
                      <w:sz w:val="18"/>
                      <w:szCs w:val="18"/>
                    </w:rPr>
                  </w:pPr>
                  <w:r>
                    <w:rPr>
                      <w:rFonts w:hint="eastAsia" w:hAnsi="宋体"/>
                      <w:sz w:val="18"/>
                      <w:szCs w:val="18"/>
                    </w:rPr>
                    <w:t>设置专门的环境风险应急管理小组，落实相应的风险防范措施</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jc w:val="center"/>
                    <w:rPr>
                      <w:rFonts w:hAnsi="宋体"/>
                      <w:sz w:val="18"/>
                      <w:szCs w:val="18"/>
                    </w:rPr>
                  </w:pP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669" w:type="dxa"/>
                  <w:vAlign w:val="center"/>
                </w:tcPr>
                <w:p>
                  <w:pPr>
                    <w:spacing w:line="280" w:lineRule="exact"/>
                    <w:ind w:left="-105" w:leftChars="-50" w:right="-105" w:rightChars="-50"/>
                    <w:jc w:val="center"/>
                    <w:rPr>
                      <w:sz w:val="18"/>
                      <w:szCs w:val="18"/>
                    </w:rPr>
                  </w:pPr>
                  <w:r>
                    <w:rPr>
                      <w:rFonts w:hAnsi="宋体"/>
                      <w:sz w:val="18"/>
                      <w:szCs w:val="18"/>
                    </w:rPr>
                    <w:t>办公及生活</w:t>
                  </w:r>
                </w:p>
              </w:tc>
              <w:tc>
                <w:tcPr>
                  <w:tcW w:w="5142" w:type="dxa"/>
                  <w:gridSpan w:val="2"/>
                  <w:vAlign w:val="center"/>
                </w:tcPr>
                <w:p>
                  <w:pPr>
                    <w:spacing w:line="280" w:lineRule="exact"/>
                    <w:ind w:left="-53" w:leftChars="-25" w:right="-53" w:rightChars="-25"/>
                    <w:jc w:val="left"/>
                    <w:rPr>
                      <w:sz w:val="18"/>
                      <w:szCs w:val="18"/>
                    </w:rPr>
                  </w:pPr>
                  <w:r>
                    <w:rPr>
                      <w:rFonts w:hint="eastAsia" w:hAnsi="宋体"/>
                      <w:sz w:val="18"/>
                      <w:szCs w:val="18"/>
                    </w:rPr>
                    <w:t>配气站设值班办公室，不设员工食堂</w:t>
                  </w:r>
                </w:p>
              </w:tc>
              <w:tc>
                <w:tcPr>
                  <w:tcW w:w="850" w:type="dxa"/>
                  <w:vMerge w:val="continue"/>
                  <w:vAlign w:val="center"/>
                </w:tcPr>
                <w:p>
                  <w:pPr>
                    <w:spacing w:line="280" w:lineRule="exact"/>
                    <w:jc w:val="center"/>
                    <w:rPr>
                      <w:sz w:val="18"/>
                      <w:szCs w:val="18"/>
                    </w:rPr>
                  </w:pPr>
                </w:p>
              </w:tc>
              <w:tc>
                <w:tcPr>
                  <w:tcW w:w="1222" w:type="dxa"/>
                  <w:vAlign w:val="center"/>
                </w:tcPr>
                <w:p>
                  <w:pPr>
                    <w:spacing w:line="280" w:lineRule="exact"/>
                    <w:ind w:left="-105" w:leftChars="-50" w:right="-105" w:rightChars="-50"/>
                    <w:jc w:val="center"/>
                    <w:rPr>
                      <w:spacing w:val="-6"/>
                      <w:sz w:val="18"/>
                      <w:szCs w:val="18"/>
                    </w:rPr>
                  </w:pPr>
                  <w:r>
                    <w:rPr>
                      <w:rFonts w:hAnsi="宋体"/>
                      <w:spacing w:val="-6"/>
                      <w:sz w:val="18"/>
                      <w:szCs w:val="18"/>
                    </w:rPr>
                    <w:t>生活垃圾、生活污水</w:t>
                  </w:r>
                </w:p>
              </w:tc>
            </w:tr>
          </w:tbl>
          <w:p>
            <w:pPr>
              <w:spacing w:line="400" w:lineRule="exact"/>
              <w:ind w:right="53" w:rightChars="25"/>
              <w:rPr>
                <w:rFonts w:eastAsia="黑体"/>
                <w:bCs/>
              </w:rPr>
            </w:pPr>
            <w:r>
              <w:rPr>
                <w:rFonts w:hint="eastAsia" w:eastAsia="黑体"/>
                <w:bCs/>
              </w:rPr>
              <w:t>3、主要工程量</w:t>
            </w:r>
          </w:p>
          <w:p>
            <w:pPr>
              <w:spacing w:line="440" w:lineRule="exact"/>
              <w:ind w:left="53" w:leftChars="25" w:right="53" w:rightChars="25"/>
              <w:jc w:val="center"/>
              <w:rPr>
                <w:rFonts w:eastAsia="黑体"/>
                <w:sz w:val="18"/>
                <w:szCs w:val="18"/>
              </w:rPr>
            </w:pPr>
          </w:p>
          <w:p>
            <w:pPr>
              <w:spacing w:line="440" w:lineRule="exact"/>
              <w:ind w:left="53" w:leftChars="25" w:right="53" w:rightChars="25"/>
              <w:jc w:val="center"/>
              <w:rPr>
                <w:rFonts w:eastAsia="黑体"/>
                <w:sz w:val="18"/>
                <w:szCs w:val="18"/>
              </w:rPr>
            </w:pPr>
          </w:p>
          <w:p>
            <w:pPr>
              <w:spacing w:line="440" w:lineRule="exact"/>
              <w:ind w:left="53" w:leftChars="25" w:right="53" w:rightChars="25"/>
              <w:jc w:val="center"/>
              <w:rPr>
                <w:rFonts w:eastAsia="黑体"/>
                <w:sz w:val="18"/>
                <w:szCs w:val="18"/>
              </w:rPr>
            </w:pPr>
            <w:r>
              <w:rPr>
                <w:rFonts w:hint="eastAsia" w:eastAsia="黑体"/>
                <w:sz w:val="18"/>
                <w:szCs w:val="18"/>
              </w:rPr>
              <w:t>表2-4</w:t>
            </w:r>
            <w:r>
              <w:rPr>
                <w:rFonts w:eastAsia="黑体"/>
                <w:sz w:val="18"/>
                <w:szCs w:val="18"/>
              </w:rPr>
              <w:t xml:space="preserve">    </w:t>
            </w:r>
            <w:r>
              <w:rPr>
                <w:rFonts w:hint="eastAsia" w:eastAsia="黑体"/>
                <w:sz w:val="18"/>
                <w:szCs w:val="18"/>
              </w:rPr>
              <w:t>主要设备一览表</w:t>
            </w:r>
          </w:p>
          <w:tbl>
            <w:tblPr>
              <w:tblStyle w:val="17"/>
              <w:tblW w:w="7617" w:type="dxa"/>
              <w:jc w:val="center"/>
              <w:tblLayout w:type="fixed"/>
              <w:tblCellMar>
                <w:top w:w="0" w:type="dxa"/>
                <w:left w:w="0" w:type="dxa"/>
                <w:bottom w:w="0" w:type="dxa"/>
                <w:right w:w="0" w:type="dxa"/>
              </w:tblCellMar>
            </w:tblPr>
            <w:tblGrid>
              <w:gridCol w:w="678"/>
              <w:gridCol w:w="3295"/>
              <w:gridCol w:w="973"/>
              <w:gridCol w:w="828"/>
              <w:gridCol w:w="1843"/>
            </w:tblGrid>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pacing w:val="-1"/>
                      <w:sz w:val="18"/>
                      <w:szCs w:val="18"/>
                    </w:rPr>
                    <w:t>序号</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工程量名称</w:t>
                  </w:r>
                </w:p>
              </w:tc>
              <w:tc>
                <w:tcPr>
                  <w:tcW w:w="97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pacing w:val="-1"/>
                      <w:sz w:val="18"/>
                      <w:szCs w:val="18"/>
                    </w:rPr>
                    <w:t>单位</w:t>
                  </w:r>
                </w:p>
              </w:tc>
              <w:tc>
                <w:tcPr>
                  <w:tcW w:w="828"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pacing w:val="-1"/>
                      <w:sz w:val="18"/>
                      <w:szCs w:val="18"/>
                    </w:rPr>
                    <w:t>数量</w:t>
                  </w:r>
                </w:p>
              </w:tc>
              <w:tc>
                <w:tcPr>
                  <w:tcW w:w="184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pacing w:val="-1"/>
                      <w:sz w:val="18"/>
                      <w:szCs w:val="18"/>
                    </w:rPr>
                    <w:t>备注</w:t>
                  </w:r>
                </w:p>
              </w:tc>
            </w:tr>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hint="eastAsia" w:ascii="Times New Roman" w:hAnsi="Times New Roman"/>
                      <w:sz w:val="18"/>
                      <w:szCs w:val="18"/>
                    </w:rPr>
                    <w:t>1</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ascii="宋体" w:hAnsi="宋体"/>
                      <w:sz w:val="18"/>
                      <w:szCs w:val="18"/>
                    </w:rPr>
                    <w:t>管线工程</w:t>
                  </w:r>
                </w:p>
              </w:tc>
              <w:tc>
                <w:tcPr>
                  <w:tcW w:w="97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p>
              </w:tc>
              <w:tc>
                <w:tcPr>
                  <w:tcW w:w="828"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eastAsiaTheme="minorEastAsia"/>
                      <w:sz w:val="18"/>
                      <w:szCs w:val="18"/>
                    </w:rPr>
                  </w:pPr>
                </w:p>
              </w:tc>
              <w:tc>
                <w:tcPr>
                  <w:tcW w:w="1843" w:type="dxa"/>
                  <w:tcBorders>
                    <w:top w:val="single" w:color="000000" w:sz="4" w:space="0"/>
                    <w:left w:val="nil"/>
                    <w:bottom w:val="single" w:color="000000" w:sz="4" w:space="0"/>
                    <w:right w:val="single" w:color="000000" w:sz="4" w:space="0"/>
                  </w:tcBorders>
                  <w:vAlign w:val="center"/>
                </w:tcPr>
                <w:p>
                  <w:pPr>
                    <w:autoSpaceDE w:val="0"/>
                    <w:spacing w:line="300" w:lineRule="exact"/>
                    <w:jc w:val="center"/>
                    <w:rPr>
                      <w:rFonts w:ascii="Calibri" w:hAnsi="Calibri"/>
                      <w:sz w:val="18"/>
                      <w:szCs w:val="18"/>
                    </w:rPr>
                  </w:pPr>
                </w:p>
              </w:tc>
            </w:tr>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eastAsiaTheme="minorEastAsia"/>
                      <w:sz w:val="18"/>
                      <w:szCs w:val="18"/>
                    </w:rPr>
                  </w:pPr>
                  <w:r>
                    <w:rPr>
                      <w:rFonts w:ascii="Times New Roman" w:eastAsia="Calibri"/>
                      <w:sz w:val="18"/>
                      <w:szCs w:val="18"/>
                    </w:rPr>
                    <w:t>1</w:t>
                  </w:r>
                  <w:r>
                    <w:rPr>
                      <w:rFonts w:hint="eastAsia" w:ascii="Times New Roman" w:eastAsiaTheme="minorEastAsia"/>
                      <w:sz w:val="18"/>
                      <w:szCs w:val="18"/>
                    </w:rPr>
                    <w:t>.1</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来气输气管线</w:t>
                  </w:r>
                </w:p>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w:t>
                  </w:r>
                  <w:r>
                    <w:rPr>
                      <w:rFonts w:ascii="Times New Roman" w:hAnsi="Times New Roman"/>
                      <w:sz w:val="18"/>
                      <w:szCs w:val="18"/>
                    </w:rPr>
                    <w:t>D325×</w:t>
                  </w:r>
                  <w:r>
                    <w:rPr>
                      <w:rFonts w:hint="eastAsia" w:ascii="Times New Roman" w:hAnsi="Times New Roman"/>
                      <w:sz w:val="18"/>
                      <w:szCs w:val="18"/>
                    </w:rPr>
                    <w:t xml:space="preserve">8 </w:t>
                  </w:r>
                  <w:r>
                    <w:rPr>
                      <w:rFonts w:ascii="Times New Roman" w:hAnsi="Times New Roman"/>
                      <w:sz w:val="18"/>
                      <w:szCs w:val="18"/>
                    </w:rPr>
                    <w:t>L360N</w:t>
                  </w:r>
                  <w:r>
                    <w:rPr>
                      <w:rFonts w:hint="eastAsia" w:ascii="Times New Roman" w:hAnsi="Times New Roman"/>
                      <w:sz w:val="18"/>
                      <w:szCs w:val="18"/>
                    </w:rPr>
                    <w:t xml:space="preserve"> </w:t>
                  </w:r>
                  <w:r>
                    <w:rPr>
                      <w:rFonts w:ascii="Times New Roman" w:hAnsi="Times New Roman"/>
                      <w:spacing w:val="-1"/>
                      <w:sz w:val="18"/>
                      <w:szCs w:val="18"/>
                    </w:rPr>
                    <w:t>PSL</w:t>
                  </w:r>
                  <w:r>
                    <w:rPr>
                      <w:rFonts w:hint="eastAsia" w:ascii="Times New Roman" w:hAnsi="Times New Roman"/>
                      <w:spacing w:val="-1"/>
                      <w:sz w:val="18"/>
                      <w:szCs w:val="18"/>
                    </w:rPr>
                    <w:t>2</w:t>
                  </w:r>
                  <w:r>
                    <w:rPr>
                      <w:rFonts w:hint="eastAsia" w:ascii="宋体" w:hAnsi="宋体"/>
                      <w:sz w:val="18"/>
                      <w:szCs w:val="18"/>
                    </w:rPr>
                    <w:t>无缝钢管）</w:t>
                  </w:r>
                </w:p>
              </w:tc>
              <w:tc>
                <w:tcPr>
                  <w:tcW w:w="97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eastAsia="Calibri"/>
                      <w:spacing w:val="-1"/>
                      <w:sz w:val="18"/>
                      <w:szCs w:val="18"/>
                    </w:rPr>
                    <w:t>km</w:t>
                  </w:r>
                </w:p>
              </w:tc>
              <w:tc>
                <w:tcPr>
                  <w:tcW w:w="828"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eastAsiaTheme="minorEastAsia"/>
                      <w:sz w:val="18"/>
                      <w:szCs w:val="18"/>
                    </w:rPr>
                  </w:pPr>
                  <w:r>
                    <w:rPr>
                      <w:rFonts w:ascii="Times New Roman" w:eastAsia="Calibri"/>
                      <w:sz w:val="18"/>
                      <w:szCs w:val="18"/>
                    </w:rPr>
                    <w:t>6.</w:t>
                  </w:r>
                  <w:r>
                    <w:rPr>
                      <w:rFonts w:hint="eastAsia" w:ascii="Times New Roman" w:eastAsiaTheme="minorEastAsia"/>
                      <w:sz w:val="18"/>
                      <w:szCs w:val="18"/>
                    </w:rPr>
                    <w:t>0</w:t>
                  </w:r>
                </w:p>
              </w:tc>
              <w:tc>
                <w:tcPr>
                  <w:tcW w:w="1843" w:type="dxa"/>
                  <w:tcBorders>
                    <w:top w:val="single" w:color="000000" w:sz="4" w:space="0"/>
                    <w:left w:val="nil"/>
                    <w:bottom w:val="single" w:color="000000" w:sz="4" w:space="0"/>
                    <w:right w:val="single" w:color="000000" w:sz="4" w:space="0"/>
                  </w:tcBorders>
                  <w:vAlign w:val="center"/>
                </w:tcPr>
                <w:p>
                  <w:pPr>
                    <w:autoSpaceDE w:val="0"/>
                    <w:spacing w:line="300" w:lineRule="exact"/>
                    <w:jc w:val="center"/>
                    <w:rPr>
                      <w:rFonts w:ascii="Calibri" w:hAnsi="Calibri"/>
                      <w:sz w:val="18"/>
                      <w:szCs w:val="18"/>
                    </w:rPr>
                  </w:pPr>
                </w:p>
              </w:tc>
            </w:tr>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eastAsiaTheme="minorEastAsia"/>
                      <w:sz w:val="18"/>
                      <w:szCs w:val="18"/>
                    </w:rPr>
                  </w:pPr>
                  <w:r>
                    <w:rPr>
                      <w:rFonts w:hint="eastAsia" w:ascii="Times New Roman" w:eastAsiaTheme="minorEastAsia"/>
                      <w:sz w:val="18"/>
                      <w:szCs w:val="18"/>
                    </w:rPr>
                    <w:t>1.2</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宏浩能源二期专供管线</w:t>
                  </w:r>
                </w:p>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w:t>
                  </w:r>
                  <w:r>
                    <w:rPr>
                      <w:rFonts w:ascii="Times New Roman" w:hAnsi="Times New Roman"/>
                      <w:sz w:val="18"/>
                      <w:szCs w:val="18"/>
                    </w:rPr>
                    <w:t>D</w:t>
                  </w:r>
                  <w:r>
                    <w:rPr>
                      <w:rFonts w:hint="eastAsia" w:ascii="Times New Roman" w:hAnsi="Times New Roman"/>
                      <w:sz w:val="18"/>
                      <w:szCs w:val="18"/>
                    </w:rPr>
                    <w:t>219</w:t>
                  </w:r>
                  <w:r>
                    <w:rPr>
                      <w:rFonts w:ascii="Times New Roman" w:hAnsi="Times New Roman"/>
                      <w:sz w:val="18"/>
                      <w:szCs w:val="18"/>
                    </w:rPr>
                    <w:t>×</w:t>
                  </w:r>
                  <w:r>
                    <w:rPr>
                      <w:rFonts w:hint="eastAsia" w:ascii="Times New Roman" w:hAnsi="Times New Roman"/>
                      <w:sz w:val="18"/>
                      <w:szCs w:val="18"/>
                    </w:rPr>
                    <w:t xml:space="preserve">7 </w:t>
                  </w:r>
                  <w:r>
                    <w:rPr>
                      <w:rFonts w:ascii="Times New Roman" w:hAnsi="Times New Roman"/>
                      <w:sz w:val="18"/>
                      <w:szCs w:val="18"/>
                    </w:rPr>
                    <w:t>L</w:t>
                  </w:r>
                  <w:r>
                    <w:rPr>
                      <w:rFonts w:hint="eastAsia" w:ascii="Times New Roman" w:hAnsi="Times New Roman"/>
                      <w:sz w:val="18"/>
                      <w:szCs w:val="18"/>
                    </w:rPr>
                    <w:t>245</w:t>
                  </w:r>
                  <w:r>
                    <w:rPr>
                      <w:rFonts w:ascii="Times New Roman" w:hAnsi="Times New Roman"/>
                      <w:sz w:val="18"/>
                      <w:szCs w:val="18"/>
                    </w:rPr>
                    <w:t>N</w:t>
                  </w:r>
                  <w:r>
                    <w:rPr>
                      <w:rFonts w:hint="eastAsia" w:ascii="Times New Roman" w:hAnsi="Times New Roman"/>
                      <w:sz w:val="18"/>
                      <w:szCs w:val="18"/>
                    </w:rPr>
                    <w:t xml:space="preserve"> </w:t>
                  </w:r>
                  <w:r>
                    <w:rPr>
                      <w:rFonts w:ascii="Times New Roman" w:hAnsi="Times New Roman"/>
                      <w:spacing w:val="-1"/>
                      <w:sz w:val="18"/>
                      <w:szCs w:val="18"/>
                    </w:rPr>
                    <w:t>PSL</w:t>
                  </w:r>
                  <w:r>
                    <w:rPr>
                      <w:rFonts w:hint="eastAsia" w:ascii="Times New Roman" w:hAnsi="Times New Roman"/>
                      <w:spacing w:val="-1"/>
                      <w:sz w:val="18"/>
                      <w:szCs w:val="18"/>
                    </w:rPr>
                    <w:t>2</w:t>
                  </w:r>
                  <w:r>
                    <w:rPr>
                      <w:rFonts w:hint="eastAsia" w:ascii="宋体" w:hAnsi="宋体"/>
                      <w:sz w:val="18"/>
                      <w:szCs w:val="18"/>
                    </w:rPr>
                    <w:t>无缝钢管）</w:t>
                  </w:r>
                </w:p>
              </w:tc>
              <w:tc>
                <w:tcPr>
                  <w:tcW w:w="97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eastAsiaTheme="minorEastAsia"/>
                      <w:spacing w:val="-1"/>
                      <w:sz w:val="18"/>
                      <w:szCs w:val="18"/>
                    </w:rPr>
                  </w:pPr>
                  <w:r>
                    <w:rPr>
                      <w:rFonts w:ascii="Times New Roman" w:eastAsia="Calibri"/>
                      <w:spacing w:val="-1"/>
                      <w:sz w:val="18"/>
                      <w:szCs w:val="18"/>
                    </w:rPr>
                    <w:t>km</w:t>
                  </w:r>
                </w:p>
              </w:tc>
              <w:tc>
                <w:tcPr>
                  <w:tcW w:w="828"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eastAsiaTheme="minorEastAsia"/>
                      <w:sz w:val="18"/>
                      <w:szCs w:val="18"/>
                    </w:rPr>
                  </w:pPr>
                  <w:r>
                    <w:rPr>
                      <w:rFonts w:hint="eastAsia" w:ascii="Times New Roman" w:eastAsiaTheme="minorEastAsia"/>
                      <w:sz w:val="18"/>
                      <w:szCs w:val="18"/>
                    </w:rPr>
                    <w:t>1.0</w:t>
                  </w:r>
                </w:p>
              </w:tc>
              <w:tc>
                <w:tcPr>
                  <w:tcW w:w="1843" w:type="dxa"/>
                  <w:tcBorders>
                    <w:top w:val="single" w:color="000000" w:sz="4" w:space="0"/>
                    <w:left w:val="nil"/>
                    <w:bottom w:val="single" w:color="000000" w:sz="4" w:space="0"/>
                    <w:right w:val="single" w:color="000000" w:sz="4" w:space="0"/>
                  </w:tcBorders>
                  <w:vAlign w:val="center"/>
                </w:tcPr>
                <w:p>
                  <w:pPr>
                    <w:autoSpaceDE w:val="0"/>
                    <w:spacing w:line="300" w:lineRule="exact"/>
                    <w:jc w:val="center"/>
                    <w:rPr>
                      <w:rFonts w:ascii="Calibri" w:hAnsi="Calibri"/>
                      <w:sz w:val="18"/>
                      <w:szCs w:val="18"/>
                    </w:rPr>
                  </w:pPr>
                </w:p>
              </w:tc>
            </w:tr>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eastAsiaTheme="minorEastAsia"/>
                      <w:sz w:val="18"/>
                      <w:szCs w:val="18"/>
                    </w:rPr>
                  </w:pPr>
                  <w:r>
                    <w:rPr>
                      <w:rFonts w:hint="eastAsia" w:ascii="Times New Roman" w:eastAsiaTheme="minorEastAsia"/>
                      <w:sz w:val="18"/>
                      <w:szCs w:val="18"/>
                    </w:rPr>
                    <w:t>1.3</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新金路专供管线</w:t>
                  </w:r>
                </w:p>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w:t>
                  </w:r>
                  <w:r>
                    <w:rPr>
                      <w:rFonts w:ascii="Times New Roman" w:hAnsi="Times New Roman"/>
                      <w:sz w:val="18"/>
                      <w:szCs w:val="18"/>
                    </w:rPr>
                    <w:t>D</w:t>
                  </w:r>
                  <w:r>
                    <w:rPr>
                      <w:rFonts w:hint="eastAsia" w:ascii="Times New Roman" w:hAnsi="Times New Roman"/>
                      <w:sz w:val="18"/>
                      <w:szCs w:val="18"/>
                    </w:rPr>
                    <w:t>325</w:t>
                  </w:r>
                  <w:r>
                    <w:rPr>
                      <w:rFonts w:ascii="Times New Roman" w:hAnsi="Times New Roman"/>
                      <w:sz w:val="18"/>
                      <w:szCs w:val="18"/>
                    </w:rPr>
                    <w:t>×</w:t>
                  </w:r>
                  <w:r>
                    <w:rPr>
                      <w:rFonts w:hint="eastAsia" w:ascii="Times New Roman" w:hAnsi="Times New Roman"/>
                      <w:sz w:val="18"/>
                      <w:szCs w:val="18"/>
                    </w:rPr>
                    <w:t xml:space="preserve">7 </w:t>
                  </w:r>
                  <w:r>
                    <w:rPr>
                      <w:rFonts w:ascii="Times New Roman" w:hAnsi="Times New Roman"/>
                      <w:sz w:val="18"/>
                      <w:szCs w:val="18"/>
                    </w:rPr>
                    <w:t>L</w:t>
                  </w:r>
                  <w:r>
                    <w:rPr>
                      <w:rFonts w:hint="eastAsia" w:ascii="Times New Roman" w:hAnsi="Times New Roman"/>
                      <w:sz w:val="18"/>
                      <w:szCs w:val="18"/>
                    </w:rPr>
                    <w:t>245</w:t>
                  </w:r>
                  <w:r>
                    <w:rPr>
                      <w:rFonts w:ascii="Times New Roman" w:hAnsi="Times New Roman"/>
                      <w:sz w:val="18"/>
                      <w:szCs w:val="18"/>
                    </w:rPr>
                    <w:t>N</w:t>
                  </w:r>
                  <w:r>
                    <w:rPr>
                      <w:rFonts w:hint="eastAsia" w:ascii="Times New Roman" w:hAnsi="Times New Roman"/>
                      <w:sz w:val="18"/>
                      <w:szCs w:val="18"/>
                    </w:rPr>
                    <w:t xml:space="preserve"> </w:t>
                  </w:r>
                  <w:r>
                    <w:rPr>
                      <w:rFonts w:ascii="Times New Roman" w:hAnsi="Times New Roman"/>
                      <w:spacing w:val="-1"/>
                      <w:sz w:val="18"/>
                      <w:szCs w:val="18"/>
                    </w:rPr>
                    <w:t>PSL</w:t>
                  </w:r>
                  <w:r>
                    <w:rPr>
                      <w:rFonts w:hint="eastAsia" w:ascii="Times New Roman" w:hAnsi="Times New Roman"/>
                      <w:spacing w:val="-1"/>
                      <w:sz w:val="18"/>
                      <w:szCs w:val="18"/>
                    </w:rPr>
                    <w:t>2</w:t>
                  </w:r>
                  <w:r>
                    <w:rPr>
                      <w:rFonts w:hint="eastAsia" w:ascii="宋体" w:hAnsi="宋体"/>
                      <w:sz w:val="18"/>
                      <w:szCs w:val="18"/>
                    </w:rPr>
                    <w:t>无缝钢管）</w:t>
                  </w:r>
                </w:p>
              </w:tc>
              <w:tc>
                <w:tcPr>
                  <w:tcW w:w="97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eastAsiaTheme="minorEastAsia"/>
                      <w:spacing w:val="-1"/>
                      <w:sz w:val="18"/>
                      <w:szCs w:val="18"/>
                    </w:rPr>
                  </w:pPr>
                  <w:r>
                    <w:rPr>
                      <w:rFonts w:ascii="Times New Roman" w:eastAsia="Calibri"/>
                      <w:spacing w:val="-1"/>
                      <w:sz w:val="18"/>
                      <w:szCs w:val="18"/>
                    </w:rPr>
                    <w:t>km</w:t>
                  </w:r>
                </w:p>
              </w:tc>
              <w:tc>
                <w:tcPr>
                  <w:tcW w:w="828"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eastAsiaTheme="minorEastAsia"/>
                      <w:sz w:val="18"/>
                      <w:szCs w:val="18"/>
                    </w:rPr>
                  </w:pPr>
                  <w:r>
                    <w:rPr>
                      <w:rFonts w:hint="eastAsia" w:ascii="Times New Roman" w:eastAsiaTheme="minorEastAsia"/>
                      <w:sz w:val="18"/>
                      <w:szCs w:val="18"/>
                    </w:rPr>
                    <w:t>1.0</w:t>
                  </w:r>
                </w:p>
              </w:tc>
              <w:tc>
                <w:tcPr>
                  <w:tcW w:w="1843" w:type="dxa"/>
                  <w:tcBorders>
                    <w:top w:val="single" w:color="000000" w:sz="4" w:space="0"/>
                    <w:left w:val="nil"/>
                    <w:bottom w:val="single" w:color="000000" w:sz="4" w:space="0"/>
                    <w:right w:val="single" w:color="000000" w:sz="4" w:space="0"/>
                  </w:tcBorders>
                  <w:vAlign w:val="center"/>
                </w:tcPr>
                <w:p>
                  <w:pPr>
                    <w:autoSpaceDE w:val="0"/>
                    <w:spacing w:line="300" w:lineRule="exact"/>
                    <w:jc w:val="center"/>
                    <w:rPr>
                      <w:rFonts w:ascii="Calibri" w:hAnsi="Calibri"/>
                      <w:sz w:val="18"/>
                      <w:szCs w:val="18"/>
                    </w:rPr>
                  </w:pPr>
                </w:p>
              </w:tc>
            </w:tr>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eastAsiaTheme="minorEastAsia"/>
                      <w:sz w:val="18"/>
                      <w:szCs w:val="18"/>
                    </w:rPr>
                  </w:pPr>
                  <w:r>
                    <w:rPr>
                      <w:rFonts w:hint="eastAsia" w:ascii="Times New Roman" w:eastAsiaTheme="minorEastAsia"/>
                      <w:sz w:val="18"/>
                      <w:szCs w:val="18"/>
                    </w:rPr>
                    <w:t>1.4</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普光化工园区其他工业用气户管线</w:t>
                  </w:r>
                </w:p>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w:t>
                  </w:r>
                  <w:r>
                    <w:rPr>
                      <w:rFonts w:ascii="Times New Roman" w:hAnsi="Times New Roman"/>
                      <w:sz w:val="18"/>
                      <w:szCs w:val="18"/>
                    </w:rPr>
                    <w:t>D</w:t>
                  </w:r>
                  <w:r>
                    <w:rPr>
                      <w:rFonts w:hint="eastAsia" w:ascii="Times New Roman" w:hAnsi="Times New Roman"/>
                      <w:sz w:val="18"/>
                      <w:szCs w:val="18"/>
                    </w:rPr>
                    <w:t>219</w:t>
                  </w:r>
                  <w:r>
                    <w:rPr>
                      <w:rFonts w:ascii="Times New Roman" w:hAnsi="Times New Roman"/>
                      <w:sz w:val="18"/>
                      <w:szCs w:val="18"/>
                    </w:rPr>
                    <w:t>×</w:t>
                  </w:r>
                  <w:r>
                    <w:rPr>
                      <w:rFonts w:hint="eastAsia" w:ascii="Times New Roman" w:hAnsi="Times New Roman"/>
                      <w:sz w:val="18"/>
                      <w:szCs w:val="18"/>
                    </w:rPr>
                    <w:t xml:space="preserve">7 </w:t>
                  </w:r>
                  <w:r>
                    <w:rPr>
                      <w:rFonts w:ascii="Times New Roman" w:hAnsi="Times New Roman"/>
                      <w:sz w:val="18"/>
                      <w:szCs w:val="18"/>
                    </w:rPr>
                    <w:t>L</w:t>
                  </w:r>
                  <w:r>
                    <w:rPr>
                      <w:rFonts w:hint="eastAsia" w:ascii="Times New Roman" w:hAnsi="Times New Roman"/>
                      <w:sz w:val="18"/>
                      <w:szCs w:val="18"/>
                    </w:rPr>
                    <w:t>245</w:t>
                  </w:r>
                  <w:r>
                    <w:rPr>
                      <w:rFonts w:ascii="Times New Roman" w:hAnsi="Times New Roman"/>
                      <w:sz w:val="18"/>
                      <w:szCs w:val="18"/>
                    </w:rPr>
                    <w:t>N</w:t>
                  </w:r>
                  <w:r>
                    <w:rPr>
                      <w:rFonts w:hint="eastAsia" w:ascii="Times New Roman" w:hAnsi="Times New Roman"/>
                      <w:sz w:val="18"/>
                      <w:szCs w:val="18"/>
                    </w:rPr>
                    <w:t xml:space="preserve"> </w:t>
                  </w:r>
                  <w:r>
                    <w:rPr>
                      <w:rFonts w:ascii="Times New Roman" w:hAnsi="Times New Roman"/>
                      <w:spacing w:val="-1"/>
                      <w:sz w:val="18"/>
                      <w:szCs w:val="18"/>
                    </w:rPr>
                    <w:t>PSL</w:t>
                  </w:r>
                  <w:r>
                    <w:rPr>
                      <w:rFonts w:hint="eastAsia" w:ascii="Times New Roman" w:hAnsi="Times New Roman"/>
                      <w:spacing w:val="-1"/>
                      <w:sz w:val="18"/>
                      <w:szCs w:val="18"/>
                    </w:rPr>
                    <w:t>2</w:t>
                  </w:r>
                  <w:r>
                    <w:rPr>
                      <w:rFonts w:hint="eastAsia" w:ascii="宋体" w:hAnsi="宋体"/>
                      <w:sz w:val="18"/>
                      <w:szCs w:val="18"/>
                    </w:rPr>
                    <w:t>无缝钢管）</w:t>
                  </w:r>
                </w:p>
              </w:tc>
              <w:tc>
                <w:tcPr>
                  <w:tcW w:w="97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eastAsiaTheme="minorEastAsia"/>
                      <w:spacing w:val="-1"/>
                      <w:sz w:val="18"/>
                      <w:szCs w:val="18"/>
                    </w:rPr>
                  </w:pPr>
                  <w:r>
                    <w:rPr>
                      <w:rFonts w:ascii="Times New Roman" w:eastAsia="Calibri"/>
                      <w:spacing w:val="-1"/>
                      <w:sz w:val="18"/>
                      <w:szCs w:val="18"/>
                    </w:rPr>
                    <w:t>km</w:t>
                  </w:r>
                </w:p>
              </w:tc>
              <w:tc>
                <w:tcPr>
                  <w:tcW w:w="828"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eastAsiaTheme="minorEastAsia"/>
                      <w:sz w:val="18"/>
                      <w:szCs w:val="18"/>
                    </w:rPr>
                  </w:pPr>
                  <w:r>
                    <w:rPr>
                      <w:rFonts w:hint="eastAsia" w:ascii="Times New Roman" w:eastAsiaTheme="minorEastAsia"/>
                      <w:sz w:val="18"/>
                      <w:szCs w:val="18"/>
                    </w:rPr>
                    <w:t>18.0</w:t>
                  </w:r>
                </w:p>
              </w:tc>
              <w:tc>
                <w:tcPr>
                  <w:tcW w:w="1843" w:type="dxa"/>
                  <w:tcBorders>
                    <w:top w:val="single" w:color="000000" w:sz="4" w:space="0"/>
                    <w:left w:val="nil"/>
                    <w:bottom w:val="single" w:color="000000" w:sz="4" w:space="0"/>
                    <w:right w:val="single" w:color="000000" w:sz="4" w:space="0"/>
                  </w:tcBorders>
                  <w:vAlign w:val="center"/>
                </w:tcPr>
                <w:p>
                  <w:pPr>
                    <w:autoSpaceDE w:val="0"/>
                    <w:spacing w:line="300" w:lineRule="exact"/>
                    <w:jc w:val="center"/>
                    <w:rPr>
                      <w:rFonts w:ascii="Calibri" w:hAnsi="Calibri"/>
                      <w:sz w:val="18"/>
                      <w:szCs w:val="18"/>
                    </w:rPr>
                  </w:pPr>
                </w:p>
              </w:tc>
            </w:tr>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eastAsia="Calibri"/>
                      <w:sz w:val="18"/>
                      <w:szCs w:val="18"/>
                    </w:rPr>
                    <w:t>2</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焊接及检测</w:t>
                  </w:r>
                </w:p>
              </w:tc>
              <w:tc>
                <w:tcPr>
                  <w:tcW w:w="973" w:type="dxa"/>
                  <w:tcBorders>
                    <w:top w:val="single" w:color="000000" w:sz="4" w:space="0"/>
                    <w:left w:val="nil"/>
                    <w:bottom w:val="single" w:color="000000" w:sz="4" w:space="0"/>
                    <w:right w:val="single" w:color="000000" w:sz="4" w:space="0"/>
                  </w:tcBorders>
                  <w:vAlign w:val="center"/>
                </w:tcPr>
                <w:p>
                  <w:pPr>
                    <w:autoSpaceDE w:val="0"/>
                    <w:spacing w:line="300" w:lineRule="exact"/>
                    <w:jc w:val="center"/>
                    <w:rPr>
                      <w:rFonts w:ascii="Calibri" w:hAnsi="Calibri"/>
                      <w:sz w:val="18"/>
                      <w:szCs w:val="18"/>
                    </w:rPr>
                  </w:pPr>
                </w:p>
              </w:tc>
              <w:tc>
                <w:tcPr>
                  <w:tcW w:w="828" w:type="dxa"/>
                  <w:tcBorders>
                    <w:top w:val="single" w:color="000000" w:sz="4" w:space="0"/>
                    <w:left w:val="nil"/>
                    <w:bottom w:val="single" w:color="000000" w:sz="4" w:space="0"/>
                    <w:right w:val="single" w:color="000000" w:sz="4" w:space="0"/>
                  </w:tcBorders>
                  <w:vAlign w:val="center"/>
                </w:tcPr>
                <w:p>
                  <w:pPr>
                    <w:autoSpaceDE w:val="0"/>
                    <w:spacing w:line="300" w:lineRule="exact"/>
                    <w:jc w:val="center"/>
                    <w:rPr>
                      <w:rFonts w:ascii="Calibri" w:hAnsi="Calibri"/>
                      <w:sz w:val="18"/>
                      <w:szCs w:val="18"/>
                    </w:rPr>
                  </w:pPr>
                </w:p>
              </w:tc>
              <w:tc>
                <w:tcPr>
                  <w:tcW w:w="1843" w:type="dxa"/>
                  <w:tcBorders>
                    <w:top w:val="single" w:color="000000" w:sz="4" w:space="0"/>
                    <w:left w:val="nil"/>
                    <w:bottom w:val="single" w:color="000000" w:sz="4" w:space="0"/>
                    <w:right w:val="single" w:color="000000" w:sz="4" w:space="0"/>
                  </w:tcBorders>
                  <w:vAlign w:val="center"/>
                </w:tcPr>
                <w:p>
                  <w:pPr>
                    <w:autoSpaceDE w:val="0"/>
                    <w:spacing w:line="300" w:lineRule="exact"/>
                    <w:jc w:val="center"/>
                    <w:rPr>
                      <w:rFonts w:ascii="Calibri" w:hAnsi="Calibri"/>
                      <w:sz w:val="18"/>
                      <w:szCs w:val="18"/>
                    </w:rPr>
                  </w:pPr>
                </w:p>
              </w:tc>
            </w:tr>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eastAsia="Calibri"/>
                      <w:sz w:val="18"/>
                      <w:szCs w:val="18"/>
                    </w:rPr>
                    <w:t>2.1</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焊口数</w:t>
                  </w:r>
                </w:p>
              </w:tc>
              <w:tc>
                <w:tcPr>
                  <w:tcW w:w="97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口</w:t>
                  </w:r>
                </w:p>
              </w:tc>
              <w:tc>
                <w:tcPr>
                  <w:tcW w:w="828"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eastAsiaTheme="minorEastAsia"/>
                      <w:sz w:val="18"/>
                      <w:szCs w:val="18"/>
                    </w:rPr>
                  </w:pPr>
                  <w:r>
                    <w:rPr>
                      <w:rFonts w:hint="eastAsia" w:ascii="Times New Roman" w:eastAsiaTheme="minorEastAsia"/>
                      <w:sz w:val="18"/>
                      <w:szCs w:val="18"/>
                    </w:rPr>
                    <w:t>3740</w:t>
                  </w:r>
                </w:p>
              </w:tc>
              <w:tc>
                <w:tcPr>
                  <w:tcW w:w="1843" w:type="dxa"/>
                  <w:tcBorders>
                    <w:top w:val="single" w:color="000000" w:sz="4" w:space="0"/>
                    <w:left w:val="nil"/>
                    <w:bottom w:val="single" w:color="000000" w:sz="4" w:space="0"/>
                    <w:right w:val="single" w:color="000000" w:sz="4" w:space="0"/>
                  </w:tcBorders>
                  <w:vAlign w:val="center"/>
                </w:tcPr>
                <w:p>
                  <w:pPr>
                    <w:autoSpaceDE w:val="0"/>
                    <w:spacing w:line="300" w:lineRule="exact"/>
                    <w:jc w:val="center"/>
                    <w:rPr>
                      <w:rFonts w:ascii="Calibri" w:hAnsi="Calibri"/>
                      <w:sz w:val="18"/>
                      <w:szCs w:val="18"/>
                    </w:rPr>
                  </w:pPr>
                </w:p>
              </w:tc>
            </w:tr>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eastAsia="Calibri"/>
                      <w:sz w:val="18"/>
                      <w:szCs w:val="18"/>
                    </w:rPr>
                    <w:t>2.2</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焊缝检测</w:t>
                  </w:r>
                </w:p>
              </w:tc>
              <w:tc>
                <w:tcPr>
                  <w:tcW w:w="97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口</w:t>
                  </w:r>
                </w:p>
              </w:tc>
              <w:tc>
                <w:tcPr>
                  <w:tcW w:w="828"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eastAsiaTheme="minorEastAsia"/>
                      <w:sz w:val="18"/>
                      <w:szCs w:val="18"/>
                    </w:rPr>
                  </w:pPr>
                  <w:r>
                    <w:rPr>
                      <w:rFonts w:hint="eastAsia" w:ascii="Times New Roman" w:eastAsiaTheme="minorEastAsia"/>
                      <w:sz w:val="18"/>
                      <w:szCs w:val="18"/>
                    </w:rPr>
                    <w:t>3740</w:t>
                  </w:r>
                </w:p>
              </w:tc>
              <w:tc>
                <w:tcPr>
                  <w:tcW w:w="184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超声波</w:t>
                  </w:r>
                  <w:r>
                    <w:rPr>
                      <w:rFonts w:ascii="Times New Roman" w:hAnsi="Times New Roman"/>
                      <w:sz w:val="18"/>
                      <w:szCs w:val="18"/>
                    </w:rPr>
                    <w:t>+</w:t>
                  </w:r>
                  <w:r>
                    <w:rPr>
                      <w:rFonts w:hint="eastAsia" w:ascii="宋体" w:hAnsi="宋体"/>
                      <w:sz w:val="18"/>
                      <w:szCs w:val="18"/>
                    </w:rPr>
                    <w:t>射线</w:t>
                  </w:r>
                </w:p>
              </w:tc>
            </w:tr>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eastAsia="Calibri"/>
                      <w:sz w:val="18"/>
                      <w:szCs w:val="18"/>
                    </w:rPr>
                    <w:t>3</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临时占地</w:t>
                  </w:r>
                </w:p>
              </w:tc>
              <w:tc>
                <w:tcPr>
                  <w:tcW w:w="97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vertAlign w:val="superscript"/>
                    </w:rPr>
                  </w:pPr>
                  <w:r>
                    <w:rPr>
                      <w:rFonts w:ascii="Times New Roman" w:hAnsi="Times New Roman"/>
                      <w:sz w:val="18"/>
                      <w:szCs w:val="18"/>
                    </w:rPr>
                    <w:t>hm</w:t>
                  </w:r>
                  <w:r>
                    <w:rPr>
                      <w:rFonts w:hint="eastAsia" w:ascii="Times New Roman" w:hAnsi="Times New Roman"/>
                      <w:sz w:val="18"/>
                      <w:szCs w:val="18"/>
                      <w:vertAlign w:val="superscript"/>
                    </w:rPr>
                    <w:t>2</w:t>
                  </w:r>
                </w:p>
              </w:tc>
              <w:tc>
                <w:tcPr>
                  <w:tcW w:w="828"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eastAsiaTheme="minorEastAsia"/>
                      <w:sz w:val="18"/>
                      <w:szCs w:val="18"/>
                    </w:rPr>
                  </w:pPr>
                  <w:r>
                    <w:rPr>
                      <w:rFonts w:hint="eastAsia" w:ascii="Times New Roman" w:hAnsi="Times New Roman" w:eastAsiaTheme="minorEastAsia"/>
                      <w:sz w:val="18"/>
                      <w:szCs w:val="18"/>
                    </w:rPr>
                    <w:t>24.02</w:t>
                  </w:r>
                </w:p>
              </w:tc>
              <w:tc>
                <w:tcPr>
                  <w:tcW w:w="184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pacing w:val="-1"/>
                      <w:sz w:val="18"/>
                      <w:szCs w:val="18"/>
                    </w:rPr>
                    <w:t>/</w:t>
                  </w:r>
                </w:p>
              </w:tc>
            </w:tr>
            <w:tr>
              <w:tblPrEx>
                <w:tblCellMar>
                  <w:top w:w="0" w:type="dxa"/>
                  <w:left w:w="0" w:type="dxa"/>
                  <w:bottom w:w="0" w:type="dxa"/>
                  <w:right w:w="0" w:type="dxa"/>
                </w:tblCellMar>
              </w:tblPrEx>
              <w:trPr>
                <w:trHeight w:val="82"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eastAsia="Calibri"/>
                      <w:sz w:val="18"/>
                      <w:szCs w:val="18"/>
                    </w:rPr>
                    <w:t>4</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土石方工程</w:t>
                  </w:r>
                </w:p>
              </w:tc>
              <w:tc>
                <w:tcPr>
                  <w:tcW w:w="97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hint="eastAsia" w:ascii="Times New Roman" w:hAnsi="Times New Roman"/>
                      <w:sz w:val="18"/>
                      <w:szCs w:val="18"/>
                    </w:rPr>
                    <w:t>m</w:t>
                  </w:r>
                  <w:r>
                    <w:rPr>
                      <w:rFonts w:hint="eastAsia" w:ascii="Times New Roman" w:hAnsi="Times New Roman"/>
                      <w:sz w:val="18"/>
                      <w:szCs w:val="18"/>
                      <w:vertAlign w:val="superscript"/>
                    </w:rPr>
                    <w:t>3</w:t>
                  </w:r>
                </w:p>
              </w:tc>
              <w:tc>
                <w:tcPr>
                  <w:tcW w:w="828"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eastAsiaTheme="minorEastAsia"/>
                      <w:sz w:val="18"/>
                      <w:szCs w:val="18"/>
                    </w:rPr>
                  </w:pPr>
                  <w:r>
                    <w:rPr>
                      <w:rFonts w:hint="eastAsia" w:ascii="Times New Roman" w:eastAsiaTheme="minorEastAsia"/>
                      <w:sz w:val="18"/>
                      <w:szCs w:val="18"/>
                    </w:rPr>
                    <w:t>84050</w:t>
                  </w:r>
                </w:p>
              </w:tc>
              <w:tc>
                <w:tcPr>
                  <w:tcW w:w="184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p>
              </w:tc>
            </w:tr>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eastAsia="Calibri"/>
                      <w:sz w:val="18"/>
                      <w:szCs w:val="18"/>
                    </w:rPr>
                    <w:t>5</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ascii="宋体" w:hAnsi="宋体"/>
                      <w:sz w:val="18"/>
                      <w:szCs w:val="18"/>
                    </w:rPr>
                    <w:t>穿越工程</w:t>
                  </w:r>
                </w:p>
              </w:tc>
              <w:tc>
                <w:tcPr>
                  <w:tcW w:w="973" w:type="dxa"/>
                  <w:tcBorders>
                    <w:top w:val="single" w:color="000000" w:sz="4" w:space="0"/>
                    <w:left w:val="nil"/>
                    <w:bottom w:val="single" w:color="000000" w:sz="4" w:space="0"/>
                    <w:right w:val="single" w:color="000000" w:sz="4" w:space="0"/>
                  </w:tcBorders>
                  <w:vAlign w:val="center"/>
                </w:tcPr>
                <w:p>
                  <w:pPr>
                    <w:autoSpaceDE w:val="0"/>
                    <w:spacing w:line="300" w:lineRule="exact"/>
                    <w:jc w:val="center"/>
                    <w:rPr>
                      <w:rFonts w:ascii="Calibri" w:hAnsi="Calibri"/>
                      <w:sz w:val="18"/>
                      <w:szCs w:val="18"/>
                    </w:rPr>
                  </w:pPr>
                </w:p>
              </w:tc>
              <w:tc>
                <w:tcPr>
                  <w:tcW w:w="828" w:type="dxa"/>
                  <w:tcBorders>
                    <w:top w:val="single" w:color="000000" w:sz="4" w:space="0"/>
                    <w:left w:val="nil"/>
                    <w:bottom w:val="single" w:color="000000" w:sz="4" w:space="0"/>
                    <w:right w:val="single" w:color="000000" w:sz="4" w:space="0"/>
                  </w:tcBorders>
                  <w:vAlign w:val="center"/>
                </w:tcPr>
                <w:p>
                  <w:pPr>
                    <w:autoSpaceDE w:val="0"/>
                    <w:spacing w:line="300" w:lineRule="exact"/>
                    <w:jc w:val="center"/>
                    <w:rPr>
                      <w:rFonts w:ascii="Calibri" w:hAnsi="Calibri"/>
                      <w:sz w:val="18"/>
                      <w:szCs w:val="18"/>
                    </w:rPr>
                  </w:pPr>
                </w:p>
              </w:tc>
              <w:tc>
                <w:tcPr>
                  <w:tcW w:w="1843" w:type="dxa"/>
                  <w:tcBorders>
                    <w:top w:val="single" w:color="000000" w:sz="4" w:space="0"/>
                    <w:left w:val="nil"/>
                    <w:bottom w:val="single" w:color="000000" w:sz="4" w:space="0"/>
                    <w:right w:val="single" w:color="000000" w:sz="4" w:space="0"/>
                  </w:tcBorders>
                  <w:vAlign w:val="center"/>
                </w:tcPr>
                <w:p>
                  <w:pPr>
                    <w:autoSpaceDE w:val="0"/>
                    <w:spacing w:line="300" w:lineRule="exact"/>
                    <w:jc w:val="center"/>
                    <w:rPr>
                      <w:rFonts w:ascii="Calibri" w:hAnsi="Calibri"/>
                      <w:sz w:val="18"/>
                      <w:szCs w:val="18"/>
                    </w:rPr>
                  </w:pPr>
                </w:p>
              </w:tc>
            </w:tr>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eastAsia="Calibri"/>
                      <w:sz w:val="18"/>
                      <w:szCs w:val="18"/>
                    </w:rPr>
                    <w:t>5.1</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乡村水泥路</w:t>
                  </w:r>
                </w:p>
              </w:tc>
              <w:tc>
                <w:tcPr>
                  <w:tcW w:w="97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ascii="Times New Roman" w:hAnsi="Times New Roman"/>
                      <w:spacing w:val="-1"/>
                      <w:sz w:val="18"/>
                      <w:szCs w:val="18"/>
                    </w:rPr>
                    <w:t>m/</w:t>
                  </w:r>
                  <w:r>
                    <w:rPr>
                      <w:rFonts w:hint="eastAsia" w:ascii="宋体" w:hAnsi="宋体"/>
                      <w:spacing w:val="-1"/>
                      <w:sz w:val="18"/>
                      <w:szCs w:val="18"/>
                    </w:rPr>
                    <w:t>次</w:t>
                  </w:r>
                </w:p>
              </w:tc>
              <w:tc>
                <w:tcPr>
                  <w:tcW w:w="828"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eastAsiaTheme="minorEastAsia"/>
                      <w:sz w:val="18"/>
                      <w:szCs w:val="18"/>
                    </w:rPr>
                  </w:pPr>
                  <w:r>
                    <w:rPr>
                      <w:rFonts w:hint="eastAsia" w:ascii="Times New Roman" w:eastAsiaTheme="minorEastAsia"/>
                      <w:sz w:val="18"/>
                      <w:szCs w:val="18"/>
                    </w:rPr>
                    <w:t>190</w:t>
                  </w:r>
                  <w:r>
                    <w:rPr>
                      <w:rFonts w:ascii="Times New Roman" w:eastAsia="Calibri"/>
                      <w:sz w:val="18"/>
                      <w:szCs w:val="18"/>
                    </w:rPr>
                    <w:t>/</w:t>
                  </w:r>
                  <w:r>
                    <w:rPr>
                      <w:rFonts w:hint="eastAsia" w:ascii="Times New Roman" w:eastAsiaTheme="minorEastAsia"/>
                      <w:sz w:val="18"/>
                      <w:szCs w:val="18"/>
                    </w:rPr>
                    <w:t>22</w:t>
                  </w:r>
                </w:p>
              </w:tc>
              <w:tc>
                <w:tcPr>
                  <w:tcW w:w="184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开挖加套管</w:t>
                  </w:r>
                </w:p>
              </w:tc>
            </w:tr>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eastAsia="Calibri"/>
                      <w:sz w:val="18"/>
                      <w:szCs w:val="18"/>
                    </w:rPr>
                    <w:t>5.2</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地下管线穿越</w:t>
                  </w:r>
                </w:p>
              </w:tc>
              <w:tc>
                <w:tcPr>
                  <w:tcW w:w="97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次</w:t>
                  </w:r>
                </w:p>
              </w:tc>
              <w:tc>
                <w:tcPr>
                  <w:tcW w:w="828"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eastAsia="Calibri"/>
                      <w:sz w:val="18"/>
                      <w:szCs w:val="18"/>
                    </w:rPr>
                    <w:t>15</w:t>
                  </w:r>
                </w:p>
              </w:tc>
              <w:tc>
                <w:tcPr>
                  <w:tcW w:w="184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pacing w:val="-1"/>
                      <w:sz w:val="18"/>
                      <w:szCs w:val="18"/>
                    </w:rPr>
                    <w:t>预估</w:t>
                  </w:r>
                </w:p>
              </w:tc>
            </w:tr>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eastAsia="Calibri"/>
                      <w:sz w:val="18"/>
                      <w:szCs w:val="18"/>
                    </w:rPr>
                    <w:t>5.3</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规划市政道路</w:t>
                  </w:r>
                </w:p>
              </w:tc>
              <w:tc>
                <w:tcPr>
                  <w:tcW w:w="97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ascii="Times New Roman" w:hAnsi="Times New Roman"/>
                      <w:spacing w:val="-1"/>
                      <w:sz w:val="18"/>
                      <w:szCs w:val="18"/>
                    </w:rPr>
                    <w:t>m/</w:t>
                  </w:r>
                  <w:r>
                    <w:rPr>
                      <w:rFonts w:hint="eastAsia" w:ascii="宋体" w:hAnsi="宋体"/>
                      <w:spacing w:val="-1"/>
                      <w:sz w:val="18"/>
                      <w:szCs w:val="18"/>
                    </w:rPr>
                    <w:t>次</w:t>
                  </w:r>
                </w:p>
              </w:tc>
              <w:tc>
                <w:tcPr>
                  <w:tcW w:w="828"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eastAsiaTheme="minorEastAsia"/>
                      <w:sz w:val="18"/>
                      <w:szCs w:val="18"/>
                    </w:rPr>
                  </w:pPr>
                  <w:r>
                    <w:rPr>
                      <w:rFonts w:hint="eastAsia" w:ascii="Times New Roman" w:eastAsiaTheme="minorEastAsia"/>
                      <w:sz w:val="18"/>
                      <w:szCs w:val="18"/>
                    </w:rPr>
                    <w:t>90</w:t>
                  </w:r>
                  <w:r>
                    <w:rPr>
                      <w:rFonts w:ascii="Times New Roman" w:eastAsia="Calibri"/>
                      <w:sz w:val="18"/>
                      <w:szCs w:val="18"/>
                    </w:rPr>
                    <w:t>/</w:t>
                  </w:r>
                  <w:r>
                    <w:rPr>
                      <w:rFonts w:hint="eastAsia" w:ascii="Times New Roman" w:eastAsiaTheme="minorEastAsia"/>
                      <w:sz w:val="18"/>
                      <w:szCs w:val="18"/>
                    </w:rPr>
                    <w:t>4</w:t>
                  </w:r>
                </w:p>
              </w:tc>
              <w:tc>
                <w:tcPr>
                  <w:tcW w:w="1843" w:type="dxa"/>
                  <w:tcBorders>
                    <w:top w:val="single" w:color="000000" w:sz="4" w:space="0"/>
                    <w:left w:val="nil"/>
                    <w:bottom w:val="single" w:color="000000" w:sz="4" w:space="0"/>
                    <w:right w:val="single" w:color="000000" w:sz="4" w:space="0"/>
                  </w:tcBorders>
                  <w:vAlign w:val="center"/>
                </w:tcPr>
                <w:p>
                  <w:pPr>
                    <w:autoSpaceDE w:val="0"/>
                    <w:spacing w:line="300" w:lineRule="exact"/>
                    <w:jc w:val="center"/>
                    <w:rPr>
                      <w:rFonts w:ascii="Calibri" w:hAnsi="Calibri"/>
                      <w:sz w:val="18"/>
                      <w:szCs w:val="18"/>
                    </w:rPr>
                  </w:pPr>
                  <w:r>
                    <w:rPr>
                      <w:rFonts w:hint="eastAsia" w:ascii="宋体" w:hAnsi="宋体"/>
                      <w:sz w:val="18"/>
                      <w:szCs w:val="18"/>
                    </w:rPr>
                    <w:t>开挖加套管</w:t>
                  </w:r>
                </w:p>
              </w:tc>
            </w:tr>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eastAsia="Calibri"/>
                      <w:sz w:val="18"/>
                      <w:szCs w:val="18"/>
                    </w:rPr>
                    <w:t>5.4</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pacing w:val="-1"/>
                      <w:sz w:val="18"/>
                      <w:szCs w:val="18"/>
                    </w:rPr>
                    <w:t>小河</w:t>
                  </w:r>
                </w:p>
              </w:tc>
              <w:tc>
                <w:tcPr>
                  <w:tcW w:w="97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ascii="Times New Roman" w:hAnsi="Times New Roman"/>
                      <w:spacing w:val="-1"/>
                      <w:sz w:val="18"/>
                      <w:szCs w:val="18"/>
                    </w:rPr>
                    <w:t>m/</w:t>
                  </w:r>
                  <w:r>
                    <w:rPr>
                      <w:rFonts w:hint="eastAsia" w:ascii="宋体" w:hAnsi="宋体"/>
                      <w:spacing w:val="-1"/>
                      <w:sz w:val="18"/>
                      <w:szCs w:val="18"/>
                    </w:rPr>
                    <w:t>次</w:t>
                  </w:r>
                </w:p>
              </w:tc>
              <w:tc>
                <w:tcPr>
                  <w:tcW w:w="828"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hint="eastAsia" w:ascii="Times New Roman" w:eastAsiaTheme="minorEastAsia"/>
                      <w:sz w:val="18"/>
                      <w:szCs w:val="18"/>
                    </w:rPr>
                    <w:t>80</w:t>
                  </w:r>
                  <w:r>
                    <w:rPr>
                      <w:rFonts w:ascii="Times New Roman" w:eastAsia="Calibri"/>
                      <w:sz w:val="18"/>
                      <w:szCs w:val="18"/>
                    </w:rPr>
                    <w:t>/1</w:t>
                  </w:r>
                </w:p>
              </w:tc>
              <w:tc>
                <w:tcPr>
                  <w:tcW w:w="184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pacing w:val="-1"/>
                      <w:sz w:val="18"/>
                      <w:szCs w:val="18"/>
                    </w:rPr>
                    <w:t>开挖加配重块稳管</w:t>
                  </w:r>
                </w:p>
              </w:tc>
            </w:tr>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eastAsia="Calibri"/>
                      <w:sz w:val="18"/>
                      <w:szCs w:val="18"/>
                    </w:rPr>
                    <w:t>6</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水工保护</w:t>
                  </w:r>
                </w:p>
              </w:tc>
              <w:tc>
                <w:tcPr>
                  <w:tcW w:w="97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hAnsi="Times New Roman"/>
                      <w:sz w:val="18"/>
                      <w:szCs w:val="18"/>
                    </w:rPr>
                    <w:t>m</w:t>
                  </w:r>
                  <w:r>
                    <w:rPr>
                      <w:rFonts w:hint="eastAsia" w:ascii="Times New Roman" w:hAnsi="Times New Roman"/>
                      <w:sz w:val="18"/>
                      <w:szCs w:val="18"/>
                      <w:vertAlign w:val="superscript"/>
                    </w:rPr>
                    <w:t>3</w:t>
                  </w:r>
                </w:p>
              </w:tc>
              <w:tc>
                <w:tcPr>
                  <w:tcW w:w="828"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eastAsia="Calibri"/>
                      <w:sz w:val="18"/>
                      <w:szCs w:val="18"/>
                    </w:rPr>
                    <w:t>5850</w:t>
                  </w:r>
                </w:p>
              </w:tc>
              <w:tc>
                <w:tcPr>
                  <w:tcW w:w="1843" w:type="dxa"/>
                  <w:tcBorders>
                    <w:top w:val="single" w:color="000000" w:sz="4" w:space="0"/>
                    <w:left w:val="nil"/>
                    <w:bottom w:val="single" w:color="000000" w:sz="4" w:space="0"/>
                    <w:right w:val="single" w:color="000000" w:sz="4" w:space="0"/>
                  </w:tcBorders>
                  <w:vAlign w:val="center"/>
                </w:tcPr>
                <w:p>
                  <w:pPr>
                    <w:autoSpaceDE w:val="0"/>
                    <w:spacing w:line="300" w:lineRule="exact"/>
                    <w:jc w:val="center"/>
                    <w:rPr>
                      <w:rFonts w:ascii="Calibri" w:hAnsi="Calibri"/>
                      <w:sz w:val="18"/>
                      <w:szCs w:val="18"/>
                    </w:rPr>
                  </w:pPr>
                </w:p>
              </w:tc>
            </w:tr>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eastAsia="Calibri"/>
                      <w:sz w:val="18"/>
                      <w:szCs w:val="18"/>
                    </w:rPr>
                    <w:t>7</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pacing w:val="-1"/>
                      <w:sz w:val="18"/>
                      <w:szCs w:val="18"/>
                    </w:rPr>
                    <w:t>三层</w:t>
                  </w:r>
                  <w:r>
                    <w:rPr>
                      <w:rFonts w:hint="eastAsia" w:ascii="宋体" w:hAnsi="宋体"/>
                      <w:spacing w:val="-60"/>
                      <w:sz w:val="18"/>
                      <w:szCs w:val="18"/>
                    </w:rPr>
                    <w:t xml:space="preserve"> </w:t>
                  </w:r>
                  <w:r>
                    <w:rPr>
                      <w:rFonts w:ascii="Times New Roman" w:hAnsi="Times New Roman"/>
                      <w:spacing w:val="-1"/>
                      <w:sz w:val="18"/>
                      <w:szCs w:val="18"/>
                    </w:rPr>
                    <w:t>PE</w:t>
                  </w:r>
                  <w:r>
                    <w:rPr>
                      <w:rFonts w:hint="eastAsia" w:ascii="宋体" w:hAnsi="宋体"/>
                      <w:spacing w:val="-1"/>
                      <w:sz w:val="18"/>
                      <w:szCs w:val="18"/>
                    </w:rPr>
                    <w:t>外防腐</w:t>
                  </w:r>
                </w:p>
              </w:tc>
              <w:tc>
                <w:tcPr>
                  <w:tcW w:w="97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hAnsi="Times New Roman"/>
                      <w:sz w:val="18"/>
                      <w:szCs w:val="18"/>
                    </w:rPr>
                    <w:t>km</w:t>
                  </w:r>
                  <w:r>
                    <w:rPr>
                      <w:rFonts w:hint="eastAsia" w:ascii="Times New Roman" w:hAnsi="Times New Roman"/>
                      <w:sz w:val="18"/>
                      <w:szCs w:val="18"/>
                      <w:vertAlign w:val="superscript"/>
                    </w:rPr>
                    <w:t>2</w:t>
                  </w:r>
                </w:p>
              </w:tc>
              <w:tc>
                <w:tcPr>
                  <w:tcW w:w="828"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eastAsiaTheme="minorEastAsia"/>
                      <w:sz w:val="18"/>
                      <w:szCs w:val="18"/>
                    </w:rPr>
                  </w:pPr>
                  <w:r>
                    <w:rPr>
                      <w:rFonts w:hint="eastAsia" w:ascii="Times New Roman" w:eastAsiaTheme="minorEastAsia"/>
                      <w:sz w:val="18"/>
                      <w:szCs w:val="18"/>
                    </w:rPr>
                    <w:t>27.5</w:t>
                  </w:r>
                </w:p>
              </w:tc>
              <w:tc>
                <w:tcPr>
                  <w:tcW w:w="1843" w:type="dxa"/>
                  <w:tcBorders>
                    <w:top w:val="single" w:color="000000" w:sz="4" w:space="0"/>
                    <w:left w:val="nil"/>
                    <w:bottom w:val="single" w:color="000000" w:sz="4" w:space="0"/>
                    <w:right w:val="single" w:color="000000" w:sz="4" w:space="0"/>
                  </w:tcBorders>
                  <w:vAlign w:val="center"/>
                </w:tcPr>
                <w:p>
                  <w:pPr>
                    <w:autoSpaceDE w:val="0"/>
                    <w:spacing w:line="300" w:lineRule="exact"/>
                    <w:jc w:val="center"/>
                    <w:rPr>
                      <w:rFonts w:ascii="Calibri" w:hAnsi="Calibri"/>
                      <w:sz w:val="18"/>
                      <w:szCs w:val="18"/>
                    </w:rPr>
                  </w:pPr>
                </w:p>
              </w:tc>
            </w:tr>
            <w:tr>
              <w:tblPrEx>
                <w:tblCellMar>
                  <w:top w:w="0" w:type="dxa"/>
                  <w:left w:w="0" w:type="dxa"/>
                  <w:bottom w:w="0" w:type="dxa"/>
                  <w:right w:w="0" w:type="dxa"/>
                </w:tblCellMar>
              </w:tblPrEx>
              <w:trPr>
                <w:trHeight w:val="21" w:hRule="atLeast"/>
                <w:jc w:val="center"/>
              </w:trPr>
              <w:tc>
                <w:tcPr>
                  <w:tcW w:w="678" w:type="dxa"/>
                  <w:tcBorders>
                    <w:top w:val="single" w:color="000000" w:sz="4" w:space="0"/>
                    <w:left w:val="single" w:color="000000" w:sz="4" w:space="0"/>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eastAsia="Calibri"/>
                      <w:sz w:val="18"/>
                      <w:szCs w:val="18"/>
                    </w:rPr>
                    <w:t>8</w:t>
                  </w:r>
                </w:p>
              </w:tc>
              <w:tc>
                <w:tcPr>
                  <w:tcW w:w="3295"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阴极保护</w:t>
                  </w:r>
                </w:p>
              </w:tc>
              <w:tc>
                <w:tcPr>
                  <w:tcW w:w="97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sz w:val="18"/>
                      <w:szCs w:val="18"/>
                    </w:rPr>
                  </w:pPr>
                  <w:r>
                    <w:rPr>
                      <w:rFonts w:ascii="Times New Roman" w:eastAsia="Calibri"/>
                      <w:spacing w:val="-1"/>
                      <w:sz w:val="18"/>
                      <w:szCs w:val="18"/>
                    </w:rPr>
                    <w:t>km</w:t>
                  </w:r>
                </w:p>
              </w:tc>
              <w:tc>
                <w:tcPr>
                  <w:tcW w:w="828"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Times New Roman" w:hAnsi="Times New Roman" w:eastAsiaTheme="minorEastAsia"/>
                      <w:sz w:val="18"/>
                      <w:szCs w:val="18"/>
                    </w:rPr>
                  </w:pPr>
                  <w:r>
                    <w:rPr>
                      <w:rFonts w:hint="eastAsia" w:ascii="Times New Roman" w:eastAsiaTheme="minorEastAsia"/>
                      <w:sz w:val="18"/>
                      <w:szCs w:val="18"/>
                    </w:rPr>
                    <w:t>27.5</w:t>
                  </w:r>
                </w:p>
              </w:tc>
              <w:tc>
                <w:tcPr>
                  <w:tcW w:w="1843" w:type="dxa"/>
                  <w:tcBorders>
                    <w:top w:val="single" w:color="000000" w:sz="4" w:space="0"/>
                    <w:left w:val="nil"/>
                    <w:bottom w:val="single" w:color="000000" w:sz="4" w:space="0"/>
                    <w:right w:val="single" w:color="000000" w:sz="4" w:space="0"/>
                  </w:tcBorders>
                  <w:vAlign w:val="center"/>
                </w:tcPr>
                <w:p>
                  <w:pPr>
                    <w:pStyle w:val="54"/>
                    <w:autoSpaceDE w:val="0"/>
                    <w:spacing w:before="0" w:beforeAutospacing="0" w:line="300" w:lineRule="exact"/>
                    <w:jc w:val="center"/>
                    <w:rPr>
                      <w:rFonts w:ascii="宋体" w:hAnsi="宋体"/>
                      <w:sz w:val="18"/>
                      <w:szCs w:val="18"/>
                    </w:rPr>
                  </w:pPr>
                  <w:r>
                    <w:rPr>
                      <w:rFonts w:hint="eastAsia" w:ascii="宋体" w:hAnsi="宋体"/>
                      <w:sz w:val="18"/>
                      <w:szCs w:val="18"/>
                    </w:rPr>
                    <w:t>牺牲阳极</w:t>
                  </w:r>
                </w:p>
              </w:tc>
            </w:tr>
          </w:tbl>
          <w:p>
            <w:pPr>
              <w:spacing w:line="400" w:lineRule="exact"/>
              <w:ind w:left="53" w:leftChars="25" w:right="53" w:rightChars="25" w:firstLine="420" w:firstLineChars="200"/>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744" w:type="dxa"/>
            <w:vAlign w:val="center"/>
          </w:tcPr>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pStyle w:val="2"/>
            </w:pPr>
          </w:p>
          <w:p>
            <w:pPr>
              <w:pStyle w:val="2"/>
            </w:pPr>
          </w:p>
          <w:p>
            <w:pPr>
              <w:adjustRightInd w:val="0"/>
              <w:snapToGrid w:val="0"/>
              <w:jc w:val="center"/>
              <w:rPr>
                <w:rFonts w:ascii="宋体" w:hAnsi="宋体" w:cs="宋体"/>
                <w:kern w:val="0"/>
                <w:szCs w:val="21"/>
              </w:rPr>
            </w:pPr>
            <w:r>
              <w:rPr>
                <w:rFonts w:hint="eastAsia" w:ascii="宋体" w:hAnsi="宋体" w:cs="宋体"/>
                <w:kern w:val="0"/>
                <w:szCs w:val="21"/>
              </w:rPr>
              <w:t>总平面及现场布置</w:t>
            </w: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r>
              <w:rPr>
                <w:rFonts w:hint="eastAsia" w:ascii="宋体" w:hAnsi="宋体" w:cs="宋体"/>
                <w:kern w:val="0"/>
                <w:szCs w:val="21"/>
              </w:rPr>
              <w:t>总平面及现场布置</w:t>
            </w:r>
          </w:p>
        </w:tc>
        <w:tc>
          <w:tcPr>
            <w:tcW w:w="8169" w:type="dxa"/>
            <w:vAlign w:val="center"/>
          </w:tcPr>
          <w:p>
            <w:pPr>
              <w:spacing w:line="400" w:lineRule="exact"/>
              <w:ind w:left="53" w:leftChars="25" w:right="53" w:rightChars="25" w:firstLine="420" w:firstLineChars="200"/>
            </w:pPr>
            <w:r>
              <w:rPr>
                <w:rFonts w:hint="eastAsia"/>
              </w:rPr>
              <w:t>项目输气管线采用挖沟建设的方法。管线不新增永久占地，管线工程建设无永久性占地，项目施工作业带为9m（普光化工园区其他工业用气企业管线施工作业带带宽8m），主要用于管道挖掘土的堆积，堆管、设备及材料存放用地等。</w:t>
            </w:r>
          </w:p>
          <w:p>
            <w:pPr>
              <w:spacing w:line="400" w:lineRule="exact"/>
              <w:ind w:left="53" w:leftChars="25" w:right="53" w:rightChars="25" w:firstLine="420" w:firstLineChars="200"/>
            </w:pPr>
            <w:r>
              <w:rPr>
                <w:rFonts w:hint="eastAsia"/>
              </w:rPr>
              <w:t>普光化工专线配气站按功能分为生产区、辅助区、生活区、放空区。生产区为工艺装置区（包括过滤计量、储罐、调压加压等）；辅助区包括供配电、给排水及消防防雷等；生活区主要为综合值班室。</w:t>
            </w:r>
          </w:p>
          <w:p>
            <w:pPr>
              <w:spacing w:line="400" w:lineRule="exact"/>
              <w:ind w:left="53" w:leftChars="25" w:right="53" w:rightChars="25" w:firstLine="420" w:firstLineChars="200"/>
            </w:pPr>
            <w:r>
              <w:rPr>
                <w:rFonts w:hint="eastAsia"/>
              </w:rPr>
              <w:t>普光化工配气站为有人值守站，配气站内主要设置生产区和辅助生产区，在站外东北侧山包上设置放空区1座。生产区主要设置工艺装置区、排污池，工艺装置区位于站场西侧，排污池位于工艺装置区北侧。辅助生产区主要设置辅助生产用房、箱式变电站、发电机等设施，辅助生产区设施设置于站场东侧靠横一路和进站大门一侧。配气站四周设置铁艺空花围墙围护，生产区与辅助生产区之间设置铁艺空花围墙。站场大门采用9m宽电动大门，在工艺装置区设置逃生门1樘。放空区采用砖砌实体围墙围护。</w:t>
            </w:r>
          </w:p>
          <w:p>
            <w:pPr>
              <w:adjustRightInd w:val="0"/>
              <w:snapToGrid w:val="0"/>
              <w:spacing w:line="400" w:lineRule="exact"/>
              <w:ind w:firstLine="420" w:firstLineChars="200"/>
              <w:rPr>
                <w:szCs w:val="20"/>
              </w:rPr>
            </w:pPr>
            <w:r>
              <w:rPr>
                <w:rFonts w:hint="eastAsia"/>
                <w:szCs w:val="20"/>
              </w:rPr>
              <w:t>项目配气站总体平面布置图如下：</w:t>
            </w:r>
          </w:p>
          <w:p>
            <w:pPr>
              <w:adjustRightInd w:val="0"/>
              <w:snapToGrid w:val="0"/>
              <w:jc w:val="center"/>
              <w:rPr>
                <w:rFonts w:ascii="宋体" w:hAnsi="宋体" w:cs="宋体"/>
                <w:kern w:val="0"/>
                <w:szCs w:val="21"/>
              </w:rPr>
            </w:pPr>
            <w:r>
              <w:rPr>
                <w:rFonts w:ascii="Arial" w:hAnsi="Arial" w:cs="Arial"/>
                <w:kern w:val="0"/>
                <w:szCs w:val="21"/>
              </w:rPr>
              <w:drawing>
                <wp:anchor distT="0" distB="0" distL="114300" distR="114300" simplePos="0" relativeHeight="251664384" behindDoc="0" locked="0" layoutInCell="1" allowOverlap="1">
                  <wp:simplePos x="0" y="0"/>
                  <wp:positionH relativeFrom="column">
                    <wp:posOffset>8255</wp:posOffset>
                  </wp:positionH>
                  <wp:positionV relativeFrom="paragraph">
                    <wp:posOffset>-635</wp:posOffset>
                  </wp:positionV>
                  <wp:extent cx="606425" cy="628650"/>
                  <wp:effectExtent l="19050" t="19050" r="22225" b="1905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6425" cy="628650"/>
                          </a:xfrm>
                          <a:prstGeom prst="rect">
                            <a:avLst/>
                          </a:prstGeom>
                          <a:ln>
                            <a:solidFill>
                              <a:schemeClr val="tx1"/>
                            </a:solidFill>
                          </a:ln>
                        </pic:spPr>
                      </pic:pic>
                    </a:graphicData>
                  </a:graphic>
                </wp:anchor>
              </w:drawing>
            </w:r>
            <w:r>
              <w:drawing>
                <wp:inline distT="0" distB="0" distL="0" distR="0">
                  <wp:extent cx="4928235" cy="389128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930346" cy="3892919"/>
                          </a:xfrm>
                          <a:prstGeom prst="rect">
                            <a:avLst/>
                          </a:prstGeom>
                        </pic:spPr>
                      </pic:pic>
                    </a:graphicData>
                  </a:graphic>
                </wp:inline>
              </w:drawing>
            </w:r>
            <w:r>
              <w:rPr>
                <w:rFonts w:ascii="Arial" w:hAnsi="Arial" w:cs="Arial"/>
                <w:kern w:val="0"/>
                <w:szCs w:val="21"/>
              </w:rPr>
              <w:t xml:space="preserve"> </w:t>
            </w:r>
          </w:p>
          <w:p>
            <w:pPr>
              <w:adjustRightInd w:val="0"/>
              <w:snapToGrid w:val="0"/>
              <w:spacing w:line="400" w:lineRule="exact"/>
              <w:ind w:firstLine="420" w:firstLineChars="200"/>
              <w:rPr>
                <w:rFonts w:ascii="宋体" w:hAnsi="宋体" w:cs="宋体"/>
                <w:kern w:val="0"/>
                <w:szCs w:val="21"/>
              </w:rPr>
            </w:pPr>
            <w:r>
              <w:rPr>
                <w:rFonts w:ascii="宋体" w:hAnsi="宋体" w:cs="宋体"/>
                <w:kern w:val="0"/>
                <w:szCs w:val="21"/>
              </w:rPr>
              <mc:AlternateContent>
                <mc:Choice Requires="wps">
                  <w:drawing>
                    <wp:anchor distT="0" distB="0" distL="114300" distR="114300" simplePos="0" relativeHeight="251659264" behindDoc="0" locked="0" layoutInCell="1" allowOverlap="1">
                      <wp:simplePos x="0" y="0"/>
                      <wp:positionH relativeFrom="column">
                        <wp:posOffset>1645920</wp:posOffset>
                      </wp:positionH>
                      <wp:positionV relativeFrom="paragraph">
                        <wp:posOffset>4445</wp:posOffset>
                      </wp:positionV>
                      <wp:extent cx="2145030" cy="266065"/>
                      <wp:effectExtent l="0" t="0" r="0" b="635"/>
                      <wp:wrapNone/>
                      <wp:docPr id="2" name="文本框 2"/>
                      <wp:cNvGraphicFramePr/>
                      <a:graphic xmlns:a="http://schemas.openxmlformats.org/drawingml/2006/main">
                        <a:graphicData uri="http://schemas.microsoft.com/office/word/2010/wordprocessingShape">
                          <wps:wsp>
                            <wps:cNvSpPr txBox="1"/>
                            <wps:spPr>
                              <a:xfrm>
                                <a:off x="0" y="0"/>
                                <a:ext cx="214503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sz w:val="18"/>
                                      <w:szCs w:val="18"/>
                                    </w:rPr>
                                  </w:pPr>
                                  <w:r>
                                    <w:rPr>
                                      <w:rFonts w:hint="eastAsia" w:ascii="黑体" w:hAnsi="黑体" w:eastAsia="黑体"/>
                                      <w:sz w:val="18"/>
                                      <w:szCs w:val="18"/>
                                    </w:rPr>
                                    <w:t>图2-1：项目总体平面布置图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6pt;margin-top:0.35pt;height:20.95pt;width:168.9pt;z-index:251659264;mso-width-relative:page;mso-height-relative:page;" filled="f" stroked="f" coordsize="21600,21600" o:gfxdata="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zHeMo2QAAAAcBAAAPAAAAAAAAAAEAIAAAACIA&#10;AABkcnMvZG93bnJldi54bWxQSwECFAAUAAAACACHTuJAGYUAzkECAAB0BAAADgAAAAAAAAABACAA&#10;AAAoAQAAZHJzL2Uyb0RvYy54bWxQSwUGAAAAAAYABgBZAQAA2wUAAAAA&#10;">
                      <v:fill on="f" focussize="0,0"/>
                      <v:stroke on="f" weight="0.5pt"/>
                      <v:imagedata o:title=""/>
                      <o:lock v:ext="edit" aspectratio="f"/>
                      <v:textbox>
                        <w:txbxContent>
                          <w:p>
                            <w:pPr>
                              <w:rPr>
                                <w:rFonts w:ascii="黑体" w:hAnsi="黑体" w:eastAsia="黑体"/>
                                <w:sz w:val="18"/>
                                <w:szCs w:val="18"/>
                              </w:rPr>
                            </w:pPr>
                            <w:r>
                              <w:rPr>
                                <w:rFonts w:hint="eastAsia" w:ascii="黑体" w:hAnsi="黑体" w:eastAsia="黑体"/>
                                <w:sz w:val="18"/>
                                <w:szCs w:val="18"/>
                              </w:rPr>
                              <w:t>图2-1：项目总体平面布置图</w:t>
                            </w:r>
                          </w:p>
                        </w:txbxContent>
                      </v:textbox>
                    </v:shape>
                  </w:pict>
                </mc:Fallback>
              </mc:AlternateConten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44" w:type="dxa"/>
            <w:vAlign w:val="center"/>
          </w:tcPr>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r>
              <w:rPr>
                <w:rFonts w:hint="eastAsia" w:ascii="宋体" w:hAnsi="宋体" w:cs="宋体"/>
                <w:kern w:val="0"/>
                <w:szCs w:val="21"/>
              </w:rPr>
              <w:t>施工方案</w:t>
            </w: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r>
              <w:rPr>
                <w:rFonts w:hint="eastAsia" w:ascii="宋体" w:hAnsi="宋体" w:cs="宋体"/>
                <w:kern w:val="0"/>
                <w:szCs w:val="21"/>
              </w:rPr>
              <w:t>施工方案</w:t>
            </w: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r>
              <w:rPr>
                <w:rFonts w:hint="eastAsia" w:ascii="宋体" w:hAnsi="宋体" w:cs="宋体"/>
                <w:kern w:val="0"/>
                <w:szCs w:val="21"/>
              </w:rPr>
              <w:t>施工方案</w:t>
            </w: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tc>
        <w:tc>
          <w:tcPr>
            <w:tcW w:w="8169" w:type="dxa"/>
            <w:vAlign w:val="center"/>
          </w:tcPr>
          <w:p>
            <w:pPr>
              <w:autoSpaceDE w:val="0"/>
              <w:autoSpaceDN w:val="0"/>
              <w:adjustRightInd w:val="0"/>
              <w:spacing w:line="400" w:lineRule="exact"/>
              <w:ind w:right="53" w:rightChars="25"/>
              <w:jc w:val="left"/>
              <w:rPr>
                <w:rFonts w:eastAsia="黑体"/>
              </w:rPr>
            </w:pPr>
            <w:r>
              <w:rPr>
                <w:rFonts w:hint="eastAsia" w:eastAsia="黑体"/>
                <w:lang w:val="zh-CN"/>
              </w:rPr>
              <w:t>一、施工工艺</w:t>
            </w:r>
          </w:p>
          <w:p>
            <w:pPr>
              <w:widowControl/>
              <w:shd w:val="clear" w:color="auto" w:fill="FFFFFF"/>
              <w:spacing w:line="400" w:lineRule="exact"/>
              <w:ind w:firstLine="422" w:firstLineChars="200"/>
              <w:jc w:val="left"/>
              <w:rPr>
                <w:rFonts w:cs="Arial"/>
                <w:b/>
                <w:kern w:val="0"/>
                <w:szCs w:val="21"/>
              </w:rPr>
            </w:pPr>
            <w:r>
              <w:rPr>
                <w:rFonts w:hint="eastAsia" w:cs="Arial"/>
                <w:b/>
                <w:kern w:val="0"/>
                <w:szCs w:val="21"/>
              </w:rPr>
              <w:t>1、配气站施工工艺</w:t>
            </w:r>
          </w:p>
          <w:p>
            <w:pPr>
              <w:widowControl/>
              <w:shd w:val="clear" w:color="auto" w:fill="FFFFFF"/>
              <w:spacing w:line="400" w:lineRule="exact"/>
              <w:ind w:firstLine="422" w:firstLineChars="200"/>
              <w:jc w:val="left"/>
              <w:rPr>
                <w:rFonts w:cs="Arial"/>
                <w:b/>
                <w:kern w:val="0"/>
                <w:szCs w:val="21"/>
              </w:rPr>
            </w:pPr>
            <w:r>
              <w:rPr>
                <w:rFonts w:hint="eastAsia" w:cs="Arial"/>
                <w:b/>
                <w:kern w:val="0"/>
                <w:szCs w:val="21"/>
              </w:rPr>
              <w:t>（1）工艺流程图</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配气站施工工艺主要是对站场进行场平施工和基础施工，然后修建构筑物主体工程，最后进行装修工程和设备安装。施工工艺如下：</w:t>
            </w:r>
          </w:p>
          <w:p>
            <w:pPr>
              <w:widowControl/>
              <w:shd w:val="clear" w:color="auto" w:fill="FFFFFF"/>
              <w:jc w:val="center"/>
              <w:rPr>
                <w:rFonts w:cs="Arial"/>
                <w:kern w:val="0"/>
                <w:szCs w:val="21"/>
              </w:rPr>
            </w:pPr>
            <w:r>
              <w:rPr>
                <w:rFonts w:hint="eastAsia" w:eastAsia="黑体"/>
                <w:sz w:val="28"/>
                <w:szCs w:val="28"/>
              </w:rPr>
              <mc:AlternateContent>
                <mc:Choice Requires="wps">
                  <w:drawing>
                    <wp:anchor distT="0" distB="0" distL="114300" distR="114300" simplePos="0" relativeHeight="251667456" behindDoc="0" locked="0" layoutInCell="1" allowOverlap="1">
                      <wp:simplePos x="0" y="0"/>
                      <wp:positionH relativeFrom="column">
                        <wp:posOffset>234315</wp:posOffset>
                      </wp:positionH>
                      <wp:positionV relativeFrom="paragraph">
                        <wp:posOffset>151765</wp:posOffset>
                      </wp:positionV>
                      <wp:extent cx="1004570" cy="242570"/>
                      <wp:effectExtent l="0" t="0" r="0" b="5080"/>
                      <wp:wrapNone/>
                      <wp:docPr id="48" name="矩形 48"/>
                      <wp:cNvGraphicFramePr/>
                      <a:graphic xmlns:a="http://schemas.openxmlformats.org/drawingml/2006/main">
                        <a:graphicData uri="http://schemas.microsoft.com/office/word/2010/wordprocessingShape">
                          <wps:wsp>
                            <wps:cNvSpPr>
                              <a:spLocks noChangeArrowheads="1"/>
                            </wps:cNvSpPr>
                            <wps:spPr bwMode="auto">
                              <a:xfrm>
                                <a:off x="0" y="0"/>
                                <a:ext cx="1004570" cy="242570"/>
                              </a:xfrm>
                              <a:prstGeom prst="rect">
                                <a:avLst/>
                              </a:prstGeom>
                              <a:noFill/>
                              <a:ln>
                                <a:noFill/>
                              </a:ln>
                              <a:effectLst/>
                            </wps:spPr>
                            <wps:txbx>
                              <w:txbxContent>
                                <w:p>
                                  <w:pPr>
                                    <w:jc w:val="center"/>
                                    <w:rPr>
                                      <w:rFonts w:ascii="黑体" w:hAnsi="宋体" w:eastAsia="黑体"/>
                                      <w:spacing w:val="-16"/>
                                      <w:sz w:val="20"/>
                                      <w:szCs w:val="18"/>
                                    </w:rPr>
                                  </w:pPr>
                                  <w:r>
                                    <w:rPr>
                                      <w:rFonts w:hint="eastAsia" w:eastAsia="黑体"/>
                                      <w:sz w:val="20"/>
                                      <w:szCs w:val="18"/>
                                    </w:rPr>
                                    <w:t>废气、土石方</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45pt;margin-top:11.95pt;height:19.1pt;width:79.1pt;z-index:251667456;mso-width-relative:page;mso-height-relative:page;" filled="f" stroked="f" coordsize="21600,21600" o:gfxdata="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Df9nXZAAAACAEAAA8AAAAAAAAAAQAg&#10;AAAAIgAAAGRycy9kb3ducmV2LnhtbFBLAQIUABQAAAAIAIdO4kDDAtAADQIAABgEAAAOAAAAAAAA&#10;AAEAIAAAACgBAABkcnMvZTJvRG9jLnhtbFBLBQYAAAAABgAGAFkBAACnBQAAAAA=&#10;">
                      <v:fill on="f" focussize="0,0"/>
                      <v:stroke on="f"/>
                      <v:imagedata o:title=""/>
                      <o:lock v:ext="edit" aspectratio="f"/>
                      <v:textbox>
                        <w:txbxContent>
                          <w:p>
                            <w:pPr>
                              <w:jc w:val="center"/>
                              <w:rPr>
                                <w:rFonts w:ascii="黑体" w:hAnsi="宋体" w:eastAsia="黑体"/>
                                <w:spacing w:val="-16"/>
                                <w:sz w:val="20"/>
                                <w:szCs w:val="18"/>
                              </w:rPr>
                            </w:pPr>
                            <w:r>
                              <w:rPr>
                                <w:rFonts w:hint="eastAsia" w:eastAsia="黑体"/>
                                <w:sz w:val="20"/>
                                <w:szCs w:val="18"/>
                              </w:rPr>
                              <w:t>废气、土石方</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718820</wp:posOffset>
                      </wp:positionH>
                      <wp:positionV relativeFrom="paragraph">
                        <wp:posOffset>355600</wp:posOffset>
                      </wp:positionV>
                      <wp:extent cx="0" cy="423545"/>
                      <wp:effectExtent l="76200" t="38100" r="57150" b="14605"/>
                      <wp:wrapNone/>
                      <wp:docPr id="47" name="直接箭头连接符 47"/>
                      <wp:cNvGraphicFramePr/>
                      <a:graphic xmlns:a="http://schemas.openxmlformats.org/drawingml/2006/main">
                        <a:graphicData uri="http://schemas.microsoft.com/office/word/2010/wordprocessingShape">
                          <wps:wsp>
                            <wps:cNvCnPr/>
                            <wps:spPr>
                              <a:xfrm flipV="1">
                                <a:off x="0" y="0"/>
                                <a:ext cx="0" cy="423545"/>
                              </a:xfrm>
                              <a:prstGeom prst="straightConnector1">
                                <a:avLst/>
                              </a:prstGeom>
                              <a:ln>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6.6pt;margin-top:28pt;height:33.35pt;width:0pt;z-index:251666432;mso-width-relative:page;mso-height-relative:page;" filled="f" stroked="t" coordsize="21600,21600" o:gfxdata="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ltMkrTAAAACgEAAA8AAAAAAAAA&#10;AQAgAAAAIgAAAGRycy9kb3ducmV2LnhtbFBLAQIUABQAAAAIAIdO4kBIwzb+FgIAABAEAAAOAAAA&#10;AAAAAAEAIAAAACIBAABkcnMvZTJvRG9jLnhtbFBLBQYAAAAABgAGAFkBAACqBQAAAAA=&#10;">
                      <v:fill on="f" focussize="0,0"/>
                      <v:stroke color="#000000 [3213]" joinstyle="round" dashstyle="dash" endarrow="block"/>
                      <v:imagedata o:title=""/>
                      <o:lock v:ext="edit" aspectratio="f"/>
                    </v:shape>
                  </w:pict>
                </mc:Fallback>
              </mc:AlternateContent>
            </w:r>
            <w:r>
              <w:drawing>
                <wp:inline distT="0" distB="0" distL="0" distR="0">
                  <wp:extent cx="4725035" cy="11652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4"/>
                          <a:stretch>
                            <a:fillRect/>
                          </a:stretch>
                        </pic:blipFill>
                        <pic:spPr>
                          <a:xfrm>
                            <a:off x="0" y="0"/>
                            <a:ext cx="4725619" cy="1165543"/>
                          </a:xfrm>
                          <a:prstGeom prst="rect">
                            <a:avLst/>
                          </a:prstGeom>
                        </pic:spPr>
                      </pic:pic>
                    </a:graphicData>
                  </a:graphic>
                </wp:inline>
              </w:drawing>
            </w:r>
          </w:p>
          <w:p>
            <w:pPr>
              <w:widowControl/>
              <w:shd w:val="clear" w:color="auto" w:fill="FFFFFF"/>
              <w:spacing w:line="400" w:lineRule="exact"/>
              <w:ind w:firstLine="560" w:firstLineChars="200"/>
              <w:jc w:val="left"/>
              <w:rPr>
                <w:rFonts w:cs="Arial"/>
                <w:b/>
                <w:kern w:val="0"/>
                <w:szCs w:val="21"/>
              </w:rPr>
            </w:pPr>
            <w:r>
              <w:rPr>
                <w:rFonts w:hint="eastAsia" w:eastAsia="黑体"/>
                <w:sz w:val="28"/>
                <w:szCs w:val="28"/>
              </w:rPr>
              <mc:AlternateContent>
                <mc:Choice Requires="wps">
                  <w:drawing>
                    <wp:anchor distT="0" distB="0" distL="114300" distR="114300" simplePos="0" relativeHeight="251665408" behindDoc="0" locked="0" layoutInCell="1" allowOverlap="1">
                      <wp:simplePos x="0" y="0"/>
                      <wp:positionH relativeFrom="column">
                        <wp:posOffset>1045845</wp:posOffset>
                      </wp:positionH>
                      <wp:positionV relativeFrom="paragraph">
                        <wp:posOffset>2540</wp:posOffset>
                      </wp:positionV>
                      <wp:extent cx="2751455" cy="316230"/>
                      <wp:effectExtent l="0" t="0" r="0" b="7620"/>
                      <wp:wrapNone/>
                      <wp:docPr id="42" name="矩形 42"/>
                      <wp:cNvGraphicFramePr/>
                      <a:graphic xmlns:a="http://schemas.openxmlformats.org/drawingml/2006/main">
                        <a:graphicData uri="http://schemas.microsoft.com/office/word/2010/wordprocessingShape">
                          <wps:wsp>
                            <wps:cNvSpPr>
                              <a:spLocks noChangeArrowheads="1"/>
                            </wps:cNvSpPr>
                            <wps:spPr bwMode="auto">
                              <a:xfrm>
                                <a:off x="0" y="0"/>
                                <a:ext cx="2751455" cy="316230"/>
                              </a:xfrm>
                              <a:prstGeom prst="rect">
                                <a:avLst/>
                              </a:prstGeom>
                              <a:noFill/>
                              <a:ln>
                                <a:noFill/>
                              </a:ln>
                              <a:effectLst/>
                            </wps:spPr>
                            <wps:txbx>
                              <w:txbxContent>
                                <w:p>
                                  <w:pPr>
                                    <w:jc w:val="center"/>
                                    <w:rPr>
                                      <w:rFonts w:ascii="黑体" w:hAnsi="宋体" w:eastAsia="黑体"/>
                                      <w:spacing w:val="-16"/>
                                      <w:sz w:val="20"/>
                                      <w:szCs w:val="18"/>
                                    </w:rPr>
                                  </w:pPr>
                                  <w:r>
                                    <w:rPr>
                                      <w:rFonts w:eastAsia="黑体"/>
                                      <w:sz w:val="20"/>
                                      <w:szCs w:val="18"/>
                                    </w:rPr>
                                    <w:t>图</w:t>
                                  </w:r>
                                  <w:r>
                                    <w:rPr>
                                      <w:rFonts w:hint="eastAsia" w:eastAsia="黑体"/>
                                      <w:sz w:val="20"/>
                                      <w:szCs w:val="18"/>
                                    </w:rPr>
                                    <w:t>2-2：</w:t>
                                  </w:r>
                                  <w:r>
                                    <w:rPr>
                                      <w:rFonts w:hint="eastAsia" w:ascii="黑体" w:hAnsi="宋体" w:eastAsia="黑体"/>
                                      <w:sz w:val="20"/>
                                      <w:szCs w:val="18"/>
                                    </w:rPr>
                                    <w:t>施工期配气站工艺流程及产污环节图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2.35pt;margin-top:0.2pt;height:24.9pt;width:216.65pt;z-index:251665408;mso-width-relative:page;mso-height-relative:page;" filled="f" stroked="f" coordsize="21600,21600" o:gfxdata="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0XVPtgAAAAHAQAADwAAAAAA&#10;AAABACAAAAAiAAAAZHJzL2Rvd25yZXYueG1sUEsBAhQAFAAAAAgAh07iQNXWBAwTAgAAGAQAAA4A&#10;AAAAAAAAAQAgAAAAJwEAAGRycy9lMm9Eb2MueG1sUEsFBgAAAAAGAAYAWQEAAKwFAAAAAA==&#10;">
                      <v:fill on="f" focussize="0,0"/>
                      <v:stroke on="f"/>
                      <v:imagedata o:title=""/>
                      <o:lock v:ext="edit" aspectratio="f"/>
                      <v:textbox>
                        <w:txbxContent>
                          <w:p>
                            <w:pPr>
                              <w:jc w:val="center"/>
                              <w:rPr>
                                <w:rFonts w:ascii="黑体" w:hAnsi="宋体" w:eastAsia="黑体"/>
                                <w:spacing w:val="-16"/>
                                <w:sz w:val="20"/>
                                <w:szCs w:val="18"/>
                              </w:rPr>
                            </w:pPr>
                            <w:r>
                              <w:rPr>
                                <w:rFonts w:eastAsia="黑体"/>
                                <w:sz w:val="20"/>
                                <w:szCs w:val="18"/>
                              </w:rPr>
                              <w:t>图</w:t>
                            </w:r>
                            <w:r>
                              <w:rPr>
                                <w:rFonts w:hint="eastAsia" w:eastAsia="黑体"/>
                                <w:sz w:val="20"/>
                                <w:szCs w:val="18"/>
                              </w:rPr>
                              <w:t>2-2：</w:t>
                            </w:r>
                            <w:r>
                              <w:rPr>
                                <w:rFonts w:hint="eastAsia" w:ascii="黑体" w:hAnsi="宋体" w:eastAsia="黑体"/>
                                <w:sz w:val="20"/>
                                <w:szCs w:val="18"/>
                              </w:rPr>
                              <w:t>施工期配气站工艺流程及产污环节图</w:t>
                            </w:r>
                          </w:p>
                        </w:txbxContent>
                      </v:textbox>
                    </v:rect>
                  </w:pict>
                </mc:Fallback>
              </mc:AlternateContent>
            </w:r>
          </w:p>
          <w:p>
            <w:pPr>
              <w:widowControl/>
              <w:shd w:val="clear" w:color="auto" w:fill="FFFFFF"/>
              <w:spacing w:line="400" w:lineRule="exact"/>
              <w:ind w:firstLine="422" w:firstLineChars="200"/>
              <w:jc w:val="left"/>
              <w:rPr>
                <w:rFonts w:cs="Arial"/>
                <w:b/>
                <w:kern w:val="0"/>
                <w:szCs w:val="21"/>
              </w:rPr>
            </w:pPr>
            <w:r>
              <w:rPr>
                <w:rFonts w:hint="eastAsia" w:cs="Arial"/>
                <w:b/>
                <w:kern w:val="0"/>
                <w:szCs w:val="21"/>
              </w:rPr>
              <w:t>（2）产污环节：</w:t>
            </w:r>
          </w:p>
          <w:p>
            <w:pPr>
              <w:widowControl/>
              <w:shd w:val="clear" w:color="auto" w:fill="FFFFFF"/>
              <w:spacing w:line="380" w:lineRule="exact"/>
              <w:ind w:firstLine="420" w:firstLineChars="200"/>
              <w:jc w:val="left"/>
              <w:rPr>
                <w:rFonts w:cs="Arial"/>
                <w:kern w:val="0"/>
                <w:szCs w:val="21"/>
              </w:rPr>
            </w:pPr>
            <w:r>
              <w:rPr>
                <w:rFonts w:hint="eastAsia" w:cs="Arial"/>
                <w:kern w:val="0"/>
                <w:szCs w:val="21"/>
              </w:rPr>
              <w:t>废气：主要为粉（扬）尘、施工机械和设备的燃油废气。</w:t>
            </w:r>
          </w:p>
          <w:p>
            <w:pPr>
              <w:widowControl/>
              <w:shd w:val="clear" w:color="auto" w:fill="FFFFFF"/>
              <w:spacing w:line="380" w:lineRule="exact"/>
              <w:ind w:firstLine="420" w:firstLineChars="200"/>
              <w:jc w:val="left"/>
              <w:rPr>
                <w:rFonts w:cs="Arial"/>
                <w:kern w:val="0"/>
                <w:szCs w:val="21"/>
              </w:rPr>
            </w:pPr>
            <w:r>
              <w:rPr>
                <w:rFonts w:hint="eastAsia" w:cs="Arial"/>
                <w:kern w:val="0"/>
                <w:szCs w:val="21"/>
              </w:rPr>
              <w:t>废水：主要为施工废水、降雨导致的散料和泥沙漫流，少量施工人员的生活污水。</w:t>
            </w:r>
          </w:p>
          <w:p>
            <w:pPr>
              <w:widowControl/>
              <w:shd w:val="clear" w:color="auto" w:fill="FFFFFF"/>
              <w:spacing w:line="380" w:lineRule="exact"/>
              <w:ind w:firstLine="420" w:firstLineChars="200"/>
              <w:jc w:val="left"/>
              <w:rPr>
                <w:rFonts w:cs="Arial"/>
                <w:kern w:val="0"/>
                <w:szCs w:val="21"/>
              </w:rPr>
            </w:pPr>
            <w:r>
              <w:rPr>
                <w:rFonts w:hint="eastAsia" w:cs="Arial"/>
                <w:kern w:val="0"/>
                <w:szCs w:val="21"/>
              </w:rPr>
              <w:t>噪声：主要为施工机械运行产生的设备噪声、材料运输作业的交通噪声。</w:t>
            </w:r>
          </w:p>
          <w:p>
            <w:pPr>
              <w:widowControl/>
              <w:shd w:val="clear" w:color="auto" w:fill="FFFFFF"/>
              <w:spacing w:line="380" w:lineRule="exact"/>
              <w:ind w:firstLine="420" w:firstLineChars="200"/>
              <w:jc w:val="left"/>
              <w:rPr>
                <w:rFonts w:cs="Arial"/>
                <w:kern w:val="0"/>
                <w:szCs w:val="21"/>
              </w:rPr>
            </w:pPr>
            <w:r>
              <w:rPr>
                <w:rFonts w:hint="eastAsia" w:cs="Arial"/>
                <w:kern w:val="0"/>
                <w:szCs w:val="21"/>
              </w:rPr>
              <w:t>固体废物：包括场地产生的开挖土石方、建筑垃圾、装修废弃物以及施工人员的生活垃圾。</w:t>
            </w:r>
          </w:p>
          <w:p>
            <w:pPr>
              <w:widowControl/>
              <w:shd w:val="clear" w:color="auto" w:fill="FFFFFF"/>
              <w:spacing w:line="380" w:lineRule="exact"/>
              <w:ind w:firstLine="420" w:firstLineChars="200"/>
              <w:jc w:val="left"/>
              <w:rPr>
                <w:rFonts w:cs="Arial"/>
                <w:kern w:val="0"/>
                <w:szCs w:val="21"/>
              </w:rPr>
            </w:pPr>
            <w:r>
              <w:rPr>
                <w:rFonts w:hint="eastAsia" w:cs="Arial"/>
                <w:kern w:val="0"/>
                <w:szCs w:val="21"/>
              </w:rPr>
              <w:t>生态影响：主要体现在地表开挖等会破坏土壤结构、表层植被，使表土松散，造成地表裸露，从而减弱土层的稳定性。在雨季，雨水冲刷松散表土，会加强水力切割，增加小范围的水土流失量。表土剥离使表土松散，地表裸露，增加小范围的水土流失量。</w:t>
            </w:r>
          </w:p>
          <w:p>
            <w:pPr>
              <w:widowControl/>
              <w:shd w:val="clear" w:color="auto" w:fill="FFFFFF"/>
              <w:spacing w:line="400" w:lineRule="exact"/>
              <w:ind w:firstLine="422" w:firstLineChars="200"/>
              <w:jc w:val="left"/>
              <w:rPr>
                <w:rFonts w:cs="Arial"/>
                <w:b/>
                <w:kern w:val="0"/>
                <w:szCs w:val="21"/>
              </w:rPr>
            </w:pPr>
            <w:r>
              <w:rPr>
                <w:rFonts w:hint="eastAsia" w:cs="Arial"/>
                <w:b/>
                <w:kern w:val="0"/>
                <w:szCs w:val="21"/>
              </w:rPr>
              <w:t>2、</w:t>
            </w:r>
            <w:r>
              <w:rPr>
                <w:rFonts w:cs="Arial"/>
                <w:b/>
                <w:kern w:val="0"/>
                <w:szCs w:val="21"/>
              </w:rPr>
              <w:t>管道工程施工工艺</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项目管道全线水平长度为27.5km，项目沿线主要为山区。为最大限度地降低工程建设对生态环境的影响，管道以沟埋方式敷设为主。施工时，首先清理施工现场、平整工作带，修筑施工管道（以便施工人员、施工车辆、管材等进入施工场地），管材防腐绝缘后运到现场；开始布管、组装焊接，无损探伤，补口及防腐检漏，在完成管沟开挖，公路、河流穿越等基础工作以后下沟，分段试压，通球扫线，阴极保护，覆土回填，植被恢复，竣工验收。</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施工期会产生施工机械噪声、施工废水和试管废水、堆土过程中产生扬尘等污染物以及施工人员生活污水、施工人员生活垃圾。管道敷设过程中开挖管沟并回填，造成局部植被破坏、地貌改变，对当地生态环境造成短暂性的影响。</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拟建项目施工工序及主要产污环节见下图。</w:t>
            </w:r>
          </w:p>
          <w:p>
            <w:pPr>
              <w:widowControl/>
              <w:shd w:val="clear" w:color="auto" w:fill="FFFFFF"/>
              <w:jc w:val="center"/>
              <w:rPr>
                <w:rFonts w:cs="Arial"/>
                <w:b/>
                <w:kern w:val="0"/>
                <w:szCs w:val="21"/>
              </w:rPr>
            </w:pPr>
            <w:r>
              <w:rPr>
                <w:rFonts w:hint="eastAsia" w:eastAsia="黑体"/>
                <w:sz w:val="28"/>
                <w:szCs w:val="28"/>
              </w:rPr>
              <mc:AlternateContent>
                <mc:Choice Requires="wps">
                  <w:drawing>
                    <wp:anchor distT="0" distB="0" distL="114300" distR="114300" simplePos="0" relativeHeight="251668480" behindDoc="0" locked="0" layoutInCell="1" allowOverlap="1">
                      <wp:simplePos x="0" y="0"/>
                      <wp:positionH relativeFrom="column">
                        <wp:posOffset>1049020</wp:posOffset>
                      </wp:positionH>
                      <wp:positionV relativeFrom="paragraph">
                        <wp:posOffset>4296410</wp:posOffset>
                      </wp:positionV>
                      <wp:extent cx="2751455" cy="316230"/>
                      <wp:effectExtent l="0" t="0" r="0" b="7620"/>
                      <wp:wrapNone/>
                      <wp:docPr id="50" name="矩形 50"/>
                      <wp:cNvGraphicFramePr/>
                      <a:graphic xmlns:a="http://schemas.openxmlformats.org/drawingml/2006/main">
                        <a:graphicData uri="http://schemas.microsoft.com/office/word/2010/wordprocessingShape">
                          <wps:wsp>
                            <wps:cNvSpPr>
                              <a:spLocks noChangeArrowheads="1"/>
                            </wps:cNvSpPr>
                            <wps:spPr bwMode="auto">
                              <a:xfrm>
                                <a:off x="0" y="0"/>
                                <a:ext cx="2751455" cy="316230"/>
                              </a:xfrm>
                              <a:prstGeom prst="rect">
                                <a:avLst/>
                              </a:prstGeom>
                              <a:noFill/>
                              <a:ln>
                                <a:noFill/>
                              </a:ln>
                              <a:effectLst/>
                            </wps:spPr>
                            <wps:txbx>
                              <w:txbxContent>
                                <w:p>
                                  <w:pPr>
                                    <w:jc w:val="center"/>
                                    <w:rPr>
                                      <w:rFonts w:ascii="黑体" w:hAnsi="宋体" w:eastAsia="黑体"/>
                                      <w:spacing w:val="-16"/>
                                      <w:sz w:val="18"/>
                                      <w:szCs w:val="18"/>
                                    </w:rPr>
                                  </w:pPr>
                                  <w:r>
                                    <w:rPr>
                                      <w:rFonts w:eastAsia="黑体"/>
                                      <w:sz w:val="18"/>
                                      <w:szCs w:val="18"/>
                                    </w:rPr>
                                    <w:t>图</w:t>
                                  </w:r>
                                  <w:r>
                                    <w:rPr>
                                      <w:rFonts w:hint="eastAsia" w:eastAsia="黑体"/>
                                      <w:sz w:val="18"/>
                                      <w:szCs w:val="18"/>
                                    </w:rPr>
                                    <w:t>2-3：</w:t>
                                  </w:r>
                                  <w:r>
                                    <w:rPr>
                                      <w:rFonts w:hint="eastAsia" w:ascii="黑体" w:hAnsi="宋体" w:eastAsia="黑体"/>
                                      <w:sz w:val="18"/>
                                      <w:szCs w:val="18"/>
                                    </w:rPr>
                                    <w:t>施工期管线工程工艺流程及产污环节图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2.6pt;margin-top:338.3pt;height:24.9pt;width:216.65pt;z-index:251668480;mso-width-relative:page;mso-height-relative:page;" filled="f" stroked="f" coordsize="21600,21600" o:gfxdata="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v7jgP2wAAAAsBAAAPAAAA&#10;AAAAAAEAIAAAACIAAABkcnMvZG93bnJldi54bWxQSwECFAAUAAAACACHTuJAWRzp1BICAAAYBAAA&#10;DgAAAAAAAAABACAAAAAqAQAAZHJzL2Uyb0RvYy54bWxQSwUGAAAAAAYABgBZAQAArgUAAAAA&#10;">
                      <v:fill on="f" focussize="0,0"/>
                      <v:stroke on="f"/>
                      <v:imagedata o:title=""/>
                      <o:lock v:ext="edit" aspectratio="f"/>
                      <v:textbox>
                        <w:txbxContent>
                          <w:p>
                            <w:pPr>
                              <w:jc w:val="center"/>
                              <w:rPr>
                                <w:rFonts w:ascii="黑体" w:hAnsi="宋体" w:eastAsia="黑体"/>
                                <w:spacing w:val="-16"/>
                                <w:sz w:val="18"/>
                                <w:szCs w:val="18"/>
                              </w:rPr>
                            </w:pPr>
                            <w:r>
                              <w:rPr>
                                <w:rFonts w:eastAsia="黑体"/>
                                <w:sz w:val="18"/>
                                <w:szCs w:val="18"/>
                              </w:rPr>
                              <w:t>图</w:t>
                            </w:r>
                            <w:r>
                              <w:rPr>
                                <w:rFonts w:hint="eastAsia" w:eastAsia="黑体"/>
                                <w:sz w:val="18"/>
                                <w:szCs w:val="18"/>
                              </w:rPr>
                              <w:t>2-3：</w:t>
                            </w:r>
                            <w:r>
                              <w:rPr>
                                <w:rFonts w:hint="eastAsia" w:ascii="黑体" w:hAnsi="宋体" w:eastAsia="黑体"/>
                                <w:sz w:val="18"/>
                                <w:szCs w:val="18"/>
                              </w:rPr>
                              <w:t>施工期管线工程工艺流程及产污环节图</w:t>
                            </w:r>
                          </w:p>
                        </w:txbxContent>
                      </v:textbox>
                    </v:rect>
                  </w:pict>
                </mc:Fallback>
              </mc:AlternateContent>
            </w:r>
            <w:r>
              <w:drawing>
                <wp:inline distT="0" distB="0" distL="0" distR="0">
                  <wp:extent cx="4949825" cy="4346575"/>
                  <wp:effectExtent l="0" t="0" r="317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5"/>
                          <a:stretch>
                            <a:fillRect/>
                          </a:stretch>
                        </pic:blipFill>
                        <pic:spPr>
                          <a:xfrm>
                            <a:off x="0" y="0"/>
                            <a:ext cx="4950194" cy="4346889"/>
                          </a:xfrm>
                          <a:prstGeom prst="rect">
                            <a:avLst/>
                          </a:prstGeom>
                        </pic:spPr>
                      </pic:pic>
                    </a:graphicData>
                  </a:graphic>
                </wp:inline>
              </w:drawing>
            </w:r>
          </w:p>
          <w:p>
            <w:pPr>
              <w:widowControl/>
              <w:shd w:val="clear" w:color="auto" w:fill="FFFFFF"/>
              <w:spacing w:line="400" w:lineRule="exact"/>
              <w:ind w:firstLine="422" w:firstLineChars="200"/>
              <w:jc w:val="left"/>
              <w:rPr>
                <w:rFonts w:cs="Arial"/>
                <w:b/>
                <w:kern w:val="0"/>
                <w:szCs w:val="21"/>
              </w:rPr>
            </w:pPr>
          </w:p>
          <w:p>
            <w:pPr>
              <w:widowControl/>
              <w:shd w:val="clear" w:color="auto" w:fill="FFFFFF"/>
              <w:spacing w:line="400" w:lineRule="exact"/>
              <w:ind w:firstLine="420" w:firstLineChars="200"/>
              <w:jc w:val="left"/>
              <w:rPr>
                <w:rFonts w:cs="Arial"/>
                <w:kern w:val="0"/>
                <w:szCs w:val="21"/>
              </w:rPr>
            </w:pPr>
            <w:r>
              <w:rPr>
                <w:rFonts w:hint="eastAsia" w:cs="Arial"/>
                <w:kern w:val="0"/>
                <w:szCs w:val="21"/>
              </w:rPr>
              <w:t>本管道敷时严格按照《油气长输管道工程施工及验收规范》（GB50369-2014）、《油气输送管道穿越工程施工规范》（GB50424-2015）等相关规范和标准执行。项目采用的铺设方式如下：</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管道铺设施工方案及工艺：</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(1) 测量定线;作业线路、场地清理和平整</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供气管线管沟结合现场实际情况，用白灰画出管沟开挖的中心和开挖线在放线过程中，尽量避开地下管线交叉。选择好线路后对管道敷设线路进行清理平整，方便施工。</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 xml:space="preserve"> (2)管沟及穿越道路开挖工程</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对选择好的线路进行挖沟施工，采用人工开挖。本项目全线直管和弯头均采用无缝钢管，一般地段埋深为 1.0m，穿越道路段加钢筋混凝土套管，距离钢筋混凝土套管顶埋深不小于1.2m。则开挖管道沟槽的沟底宽度约为 0.5~0.7米，沟槽深度为1.1-1.5米左右。当地下天然气管道与建筑物、构筑物、其他管道、电力、电缆、通信等管线交叉时，水平净距和垂直净距 (m)不得小于《输气管道工程设计规范》 (GB50251-2015)中地下燃气管道与构筑物要求的水平、垂直净距，并按国家现行规范执行。</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管道施工作业带一般地区宽度9m，水田、鱼塘宽度为9m，林地、苗圃宽度8m，施工作业带为临时用地，施工完毕后应立即还耕复种。管道通过苗圃时要尽量减小施工作业带宽度，减少对环境的破坏，尽量降低砍伐数量；管道施工结束后，除输气管道中心两则5m范围内不允许种植深根植物外，其余被破坏的植被应立即恢复，以保护管道安全、保护环境。鱼塘、水田以及敷设在低洼地段的管段，均应对管道采取防浮处理(配重块或混凝土覆盖层)以防止管道漂浮失稳。</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本项目管道沿线小型河流穿越1 次，规划道路穿越4次，水泥道路穿越22次，国家管网川东北至川西联络线穿越1 次，中石化毛达线管线穿越4 次。采用大开挖方式穿越小河，采用开挖加套管保护方式穿越乡村道路及规划道路。</w:t>
            </w:r>
          </w:p>
          <w:p>
            <w:pPr>
              <w:widowControl/>
              <w:shd w:val="clear" w:color="auto" w:fill="FFFFFF"/>
              <w:spacing w:line="400" w:lineRule="exact"/>
              <w:ind w:firstLine="420" w:firstLineChars="200"/>
              <w:jc w:val="left"/>
              <w:rPr>
                <w:rFonts w:cs="Arial"/>
                <w:b/>
                <w:kern w:val="0"/>
                <w:szCs w:val="21"/>
              </w:rPr>
            </w:pPr>
            <w:r>
              <w:rPr>
                <w:rFonts w:hint="eastAsia" w:cs="Arial"/>
                <w:kern w:val="0"/>
                <w:szCs w:val="21"/>
              </w:rPr>
              <w:t>①道路穿越</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根据《油气输送管道穿越工程设计规范》（GB50423-2013）规定要求，采用套管穿越公路时，套管内径应大于输送管道外径300mm以上。套管长度宜伸出路堤坡脚、排水沟外边缘不小于2m；当穿过路堑时，应长出路堑顶不小于5m。被穿越的公路有扩建规划时，应该按照扩建后的情况确定套管长度。管道穿越道路时，尽量垂直，在任何情况下不小于60°，在路基下不允许管道有转角或曲线敷设出现。套管顶至路面的最小埋深应≥1.2m （如果公路部门要求，可按照公路部门要求完成），套管内管道采用细砂充实。</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②河流穿越</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管线穿越小型河流和沟渠时，根据地质条件，采用现浇混凝土、预制混凝土加重块稳管。在有冲刷河流，管顶埋深应在设计洪水冲刷线以下大于1.0m。无冲刷水域应在河床底大于1.0m。河床为基岩时，嵌入基岩深度大于0.5m，现浇混凝土封顶。穿越两岸做好护坡、护岸措施，与自然地貌衔接好，护岸应置于稳定的地基上。本工程气源管道穿越后江支流一次，穿越长度约 40m，为小型穿越，采用开挖加配重块稳管方式穿越。</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③地下管道、线缆交叉穿越</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本管道在施工时应根据现场的实际情况，采取以下措施：勘测、放线过程中相关施工单位要配备专用探测设备，会同设计、监理、建设单位、在役管道运行管理单位一起，对并行段内在役管道和其他相关管道的准确位置做好标识，敏感地段要使用专用设备探测出在役管道的准确位置，然后再开挖管沟，必要时还可采取人工开挖管沟方式。与在役管道交叉时，应由在役管道下方穿过，交叉角度尽量保持60°以上，且最小交叉角度不得小于30°。两线交叉时，两管道之间的最小净距宜保持0.5m以上，且最小净距不得小于0.3m，当最小净距不足0.3m时，应在两管间设置绝缘隔离物。与通信电缆等地下线缆交叉通过时，其垂直净距不应小于0.5m，并设置绝缘隔离物。与地下管道、线缆交叉段交叉点两侧10m～15m内管沟禁止机械开挖，并采用人工开挖方式，在开挖中要防止对已建管道的损伤。新建、已建管线并行、交叉段，除采取必要的支护、保护等安全措施外，应采用连续施工的作业方式，同时应及时回填，减小对已建管线的影响。</w:t>
            </w:r>
          </w:p>
          <w:p>
            <w:pPr>
              <w:widowControl/>
              <w:shd w:val="clear" w:color="auto" w:fill="FFFFFF"/>
              <w:spacing w:line="400" w:lineRule="exact"/>
              <w:ind w:firstLine="422" w:firstLineChars="200"/>
              <w:jc w:val="left"/>
              <w:rPr>
                <w:rFonts w:cs="Arial"/>
                <w:b/>
                <w:kern w:val="0"/>
                <w:szCs w:val="21"/>
              </w:rPr>
            </w:pPr>
            <w:r>
              <w:rPr>
                <w:rFonts w:hint="eastAsia" w:cs="Arial"/>
                <w:b/>
                <w:kern w:val="0"/>
                <w:szCs w:val="21"/>
              </w:rPr>
              <w:t>管道具体敷设方式：</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①一般地段敷设</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管道在一般地段采用管沟埋地敷设方式。堆土时应遵循生熟土分开堆放,生土堆放在内测，熟土堆放在外侧的原则。项目管沟开挖敷设示意图见下图</w:t>
            </w:r>
          </w:p>
          <w:p>
            <w:pPr>
              <w:widowControl/>
              <w:shd w:val="clear" w:color="auto" w:fill="FFFFFF"/>
              <w:jc w:val="center"/>
              <w:rPr>
                <w:rFonts w:cs="Arial"/>
                <w:kern w:val="0"/>
                <w:szCs w:val="21"/>
              </w:rPr>
            </w:pPr>
            <w:r>
              <w:rPr>
                <w:rFonts w:hint="eastAsia" w:eastAsia="黑体"/>
                <w:sz w:val="28"/>
                <w:szCs w:val="28"/>
              </w:rPr>
              <mc:AlternateContent>
                <mc:Choice Requires="wps">
                  <w:drawing>
                    <wp:anchor distT="0" distB="0" distL="114300" distR="114300" simplePos="0" relativeHeight="251669504" behindDoc="0" locked="0" layoutInCell="1" allowOverlap="1">
                      <wp:simplePos x="0" y="0"/>
                      <wp:positionH relativeFrom="column">
                        <wp:posOffset>942340</wp:posOffset>
                      </wp:positionH>
                      <wp:positionV relativeFrom="paragraph">
                        <wp:posOffset>2019300</wp:posOffset>
                      </wp:positionV>
                      <wp:extent cx="2751455" cy="316230"/>
                      <wp:effectExtent l="0" t="0" r="0" b="7620"/>
                      <wp:wrapNone/>
                      <wp:docPr id="53" name="矩形 53"/>
                      <wp:cNvGraphicFramePr/>
                      <a:graphic xmlns:a="http://schemas.openxmlformats.org/drawingml/2006/main">
                        <a:graphicData uri="http://schemas.microsoft.com/office/word/2010/wordprocessingShape">
                          <wps:wsp>
                            <wps:cNvSpPr>
                              <a:spLocks noChangeArrowheads="1"/>
                            </wps:cNvSpPr>
                            <wps:spPr bwMode="auto">
                              <a:xfrm>
                                <a:off x="0" y="0"/>
                                <a:ext cx="2751455" cy="316230"/>
                              </a:xfrm>
                              <a:prstGeom prst="rect">
                                <a:avLst/>
                              </a:prstGeom>
                              <a:noFill/>
                              <a:ln>
                                <a:noFill/>
                              </a:ln>
                              <a:effectLst/>
                            </wps:spPr>
                            <wps:txbx>
                              <w:txbxContent>
                                <w:p>
                                  <w:pPr>
                                    <w:jc w:val="center"/>
                                    <w:rPr>
                                      <w:rFonts w:ascii="黑体" w:hAnsi="宋体" w:eastAsia="黑体"/>
                                      <w:spacing w:val="-16"/>
                                      <w:sz w:val="18"/>
                                      <w:szCs w:val="18"/>
                                    </w:rPr>
                                  </w:pPr>
                                  <w:r>
                                    <w:rPr>
                                      <w:rFonts w:eastAsia="黑体"/>
                                      <w:sz w:val="18"/>
                                      <w:szCs w:val="18"/>
                                    </w:rPr>
                                    <w:t>图</w:t>
                                  </w:r>
                                  <w:r>
                                    <w:rPr>
                                      <w:rFonts w:hint="eastAsia" w:eastAsia="黑体"/>
                                      <w:sz w:val="18"/>
                                      <w:szCs w:val="18"/>
                                    </w:rPr>
                                    <w:t>2-4：</w:t>
                                  </w:r>
                                  <w:r>
                                    <w:rPr>
                                      <w:rFonts w:hint="eastAsia" w:ascii="黑体" w:hAnsi="宋体" w:eastAsia="黑体"/>
                                      <w:sz w:val="18"/>
                                      <w:szCs w:val="18"/>
                                    </w:rPr>
                                    <w:t>一般地段管道施工方式断面示意图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4.2pt;margin-top:159pt;height:24.9pt;width:216.65pt;z-index:251669504;mso-width-relative:page;mso-height-relative:page;" filled="f" stroked="f" coordsize="21600,21600" o:gfxdata="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8yO59sAAAALAQAADwAA&#10;AAAAAAABACAAAAAiAAAAZHJzL2Rvd25yZXYueG1sUEsBAhQAFAAAAAgAh07iQHTmGK8TAgAAGAQA&#10;AA4AAAAAAAAAAQAgAAAAKgEAAGRycy9lMm9Eb2MueG1sUEsFBgAAAAAGAAYAWQEAAK8FAAAAAA==&#10;">
                      <v:fill on="f" focussize="0,0"/>
                      <v:stroke on="f"/>
                      <v:imagedata o:title=""/>
                      <o:lock v:ext="edit" aspectratio="f"/>
                      <v:textbox>
                        <w:txbxContent>
                          <w:p>
                            <w:pPr>
                              <w:jc w:val="center"/>
                              <w:rPr>
                                <w:rFonts w:ascii="黑体" w:hAnsi="宋体" w:eastAsia="黑体"/>
                                <w:spacing w:val="-16"/>
                                <w:sz w:val="18"/>
                                <w:szCs w:val="18"/>
                              </w:rPr>
                            </w:pPr>
                            <w:r>
                              <w:rPr>
                                <w:rFonts w:eastAsia="黑体"/>
                                <w:sz w:val="18"/>
                                <w:szCs w:val="18"/>
                              </w:rPr>
                              <w:t>图</w:t>
                            </w:r>
                            <w:r>
                              <w:rPr>
                                <w:rFonts w:hint="eastAsia" w:eastAsia="黑体"/>
                                <w:sz w:val="18"/>
                                <w:szCs w:val="18"/>
                              </w:rPr>
                              <w:t>2-4：</w:t>
                            </w:r>
                            <w:r>
                              <w:rPr>
                                <w:rFonts w:hint="eastAsia" w:ascii="黑体" w:hAnsi="宋体" w:eastAsia="黑体"/>
                                <w:sz w:val="18"/>
                                <w:szCs w:val="18"/>
                              </w:rPr>
                              <w:t>一般地段管道施工方式断面示意图</w:t>
                            </w:r>
                          </w:p>
                        </w:txbxContent>
                      </v:textbox>
                    </v:rect>
                  </w:pict>
                </mc:Fallback>
              </mc:AlternateContent>
            </w:r>
            <w:r>
              <w:drawing>
                <wp:inline distT="0" distB="0" distL="0" distR="0">
                  <wp:extent cx="4453255" cy="2080895"/>
                  <wp:effectExtent l="0" t="0" r="444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6"/>
                          <a:stretch>
                            <a:fillRect/>
                          </a:stretch>
                        </pic:blipFill>
                        <pic:spPr>
                          <a:xfrm>
                            <a:off x="0" y="0"/>
                            <a:ext cx="4453266" cy="2081284"/>
                          </a:xfrm>
                          <a:prstGeom prst="rect">
                            <a:avLst/>
                          </a:prstGeom>
                        </pic:spPr>
                      </pic:pic>
                    </a:graphicData>
                  </a:graphic>
                </wp:inline>
              </w:drawing>
            </w:r>
          </w:p>
          <w:p>
            <w:pPr>
              <w:widowControl/>
              <w:shd w:val="clear" w:color="auto" w:fill="FFFFFF"/>
              <w:spacing w:line="400" w:lineRule="exact"/>
              <w:ind w:firstLine="420" w:firstLineChars="200"/>
              <w:jc w:val="left"/>
              <w:rPr>
                <w:rFonts w:cs="Arial"/>
                <w:kern w:val="0"/>
                <w:szCs w:val="21"/>
              </w:rPr>
            </w:pPr>
          </w:p>
          <w:p>
            <w:pPr>
              <w:widowControl/>
              <w:shd w:val="clear" w:color="auto" w:fill="FFFFFF"/>
              <w:spacing w:line="400" w:lineRule="exact"/>
              <w:ind w:firstLine="420" w:firstLineChars="200"/>
              <w:jc w:val="left"/>
              <w:rPr>
                <w:rFonts w:cs="Arial"/>
                <w:kern w:val="0"/>
                <w:szCs w:val="21"/>
              </w:rPr>
            </w:pPr>
            <w:r>
              <w:rPr>
                <w:rFonts w:hint="eastAsia" w:cs="Arial"/>
                <w:kern w:val="0"/>
                <w:szCs w:val="21"/>
              </w:rPr>
              <w:t>②河流穿越敷设</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本工程全线管道穿越小河流1次，长约80m。该河流为季节性河流，枯水期流量小，有时甚至为干枯状态，采用大开挖沟埋的方式通过。</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河流小型穿越根据不同地质条件，采用混凝土加重块连续覆盖或现浇水下不分散混凝土稳管。在有冲刷的河流，管顶埋深在设计洪水冲刷线以下1.0m。无冲刷数据水域，保证管道最低埋深（距管顶）不小于2.5m。河床为基岩时，嵌入基岩深度大于0.5m，并对基岩段所挖沟槽采用满槽混凝土覆盖封顶。两岸护坡及护岸的宽度大于被松动过的地表宽度，以确保管道运行安全。管道穿越水塘时，埋设深度要保证管道处在清淤之后塘底深度0.5m以下，实际塘底确认困难时，必须保证管道埋设深度在现状塘底以下1.5m，并根据具体情况采用混凝土加重块、平衡压袋等进行稳管。</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本工程河流穿越均为开挖方式。施工中丢弃的固体废物、施工机具车辆的洗污水、管道试压产生的废水、施工队伍的生活污水、生活垃圾等，都将会对河流产生一定的不利影响。</w:t>
            </w:r>
          </w:p>
          <w:p>
            <w:pPr>
              <w:widowControl/>
              <w:shd w:val="clear" w:color="auto" w:fill="FFFFFF"/>
              <w:jc w:val="center"/>
              <w:rPr>
                <w:rFonts w:cs="Arial"/>
                <w:kern w:val="0"/>
                <w:szCs w:val="21"/>
              </w:rPr>
            </w:pPr>
            <w:r>
              <w:rPr>
                <w:rFonts w:hint="eastAsia" w:eastAsia="黑体"/>
                <w:sz w:val="28"/>
                <w:szCs w:val="28"/>
              </w:rPr>
              <mc:AlternateContent>
                <mc:Choice Requires="wps">
                  <w:drawing>
                    <wp:anchor distT="0" distB="0" distL="114300" distR="114300" simplePos="0" relativeHeight="251670528" behindDoc="0" locked="0" layoutInCell="1" allowOverlap="1">
                      <wp:simplePos x="0" y="0"/>
                      <wp:positionH relativeFrom="column">
                        <wp:posOffset>1061085</wp:posOffset>
                      </wp:positionH>
                      <wp:positionV relativeFrom="paragraph">
                        <wp:posOffset>2324100</wp:posOffset>
                      </wp:positionV>
                      <wp:extent cx="2751455" cy="316230"/>
                      <wp:effectExtent l="0" t="0" r="0" b="7620"/>
                      <wp:wrapNone/>
                      <wp:docPr id="55" name="矩形 55"/>
                      <wp:cNvGraphicFramePr/>
                      <a:graphic xmlns:a="http://schemas.openxmlformats.org/drawingml/2006/main">
                        <a:graphicData uri="http://schemas.microsoft.com/office/word/2010/wordprocessingShape">
                          <wps:wsp>
                            <wps:cNvSpPr>
                              <a:spLocks noChangeArrowheads="1"/>
                            </wps:cNvSpPr>
                            <wps:spPr bwMode="auto">
                              <a:xfrm>
                                <a:off x="0" y="0"/>
                                <a:ext cx="2751455" cy="316230"/>
                              </a:xfrm>
                              <a:prstGeom prst="rect">
                                <a:avLst/>
                              </a:prstGeom>
                              <a:noFill/>
                              <a:ln>
                                <a:noFill/>
                              </a:ln>
                              <a:effectLst/>
                            </wps:spPr>
                            <wps:txbx>
                              <w:txbxContent>
                                <w:p>
                                  <w:pPr>
                                    <w:jc w:val="center"/>
                                    <w:rPr>
                                      <w:rFonts w:ascii="黑体" w:hAnsi="宋体" w:eastAsia="黑体"/>
                                      <w:spacing w:val="-16"/>
                                      <w:sz w:val="18"/>
                                      <w:szCs w:val="18"/>
                                    </w:rPr>
                                  </w:pPr>
                                  <w:r>
                                    <w:rPr>
                                      <w:rFonts w:eastAsia="黑体"/>
                                      <w:sz w:val="18"/>
                                      <w:szCs w:val="18"/>
                                    </w:rPr>
                                    <w:t>图</w:t>
                                  </w:r>
                                  <w:r>
                                    <w:rPr>
                                      <w:rFonts w:hint="eastAsia" w:eastAsia="黑体"/>
                                      <w:sz w:val="18"/>
                                      <w:szCs w:val="18"/>
                                    </w:rPr>
                                    <w:t>2-5：</w:t>
                                  </w:r>
                                  <w:r>
                                    <w:rPr>
                                      <w:rFonts w:hint="eastAsia" w:ascii="黑体" w:hAnsi="宋体" w:eastAsia="黑体"/>
                                      <w:sz w:val="18"/>
                                      <w:szCs w:val="18"/>
                                    </w:rPr>
                                    <w:t>围堰开挖管沟法施工示意图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3.55pt;margin-top:183pt;height:24.9pt;width:216.65pt;z-index:251670528;mso-width-relative:page;mso-height-relative:page;" filled="f" stroked="f" coordsize="21600,21600" o:gfxdata="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fk9t2wAAAAsBAAAPAAAA&#10;AAAAAAEAIAAAACIAAABkcnMvZG93bnJldi54bWxQSwECFAAUAAAACACHTuJALhL7WBICAAAYBAAA&#10;DgAAAAAAAAABACAAAAAqAQAAZHJzL2Uyb0RvYy54bWxQSwUGAAAAAAYABgBZAQAArgUAAAAA&#10;">
                      <v:fill on="f" focussize="0,0"/>
                      <v:stroke on="f"/>
                      <v:imagedata o:title=""/>
                      <o:lock v:ext="edit" aspectratio="f"/>
                      <v:textbox>
                        <w:txbxContent>
                          <w:p>
                            <w:pPr>
                              <w:jc w:val="center"/>
                              <w:rPr>
                                <w:rFonts w:ascii="黑体" w:hAnsi="宋体" w:eastAsia="黑体"/>
                                <w:spacing w:val="-16"/>
                                <w:sz w:val="18"/>
                                <w:szCs w:val="18"/>
                              </w:rPr>
                            </w:pPr>
                            <w:r>
                              <w:rPr>
                                <w:rFonts w:eastAsia="黑体"/>
                                <w:sz w:val="18"/>
                                <w:szCs w:val="18"/>
                              </w:rPr>
                              <w:t>图</w:t>
                            </w:r>
                            <w:r>
                              <w:rPr>
                                <w:rFonts w:hint="eastAsia" w:eastAsia="黑体"/>
                                <w:sz w:val="18"/>
                                <w:szCs w:val="18"/>
                              </w:rPr>
                              <w:t>2-5：</w:t>
                            </w:r>
                            <w:r>
                              <w:rPr>
                                <w:rFonts w:hint="eastAsia" w:ascii="黑体" w:hAnsi="宋体" w:eastAsia="黑体"/>
                                <w:sz w:val="18"/>
                                <w:szCs w:val="18"/>
                              </w:rPr>
                              <w:t>围堰开挖管沟法施工示意图</w:t>
                            </w:r>
                          </w:p>
                        </w:txbxContent>
                      </v:textbox>
                    </v:rect>
                  </w:pict>
                </mc:Fallback>
              </mc:AlternateContent>
            </w:r>
            <w:r>
              <w:drawing>
                <wp:inline distT="0" distB="0" distL="0" distR="0">
                  <wp:extent cx="3651885" cy="2419350"/>
                  <wp:effectExtent l="0" t="0" r="571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7"/>
                          <a:stretch>
                            <a:fillRect/>
                          </a:stretch>
                        </pic:blipFill>
                        <pic:spPr>
                          <a:xfrm>
                            <a:off x="0" y="0"/>
                            <a:ext cx="3654028" cy="2421255"/>
                          </a:xfrm>
                          <a:prstGeom prst="rect">
                            <a:avLst/>
                          </a:prstGeom>
                        </pic:spPr>
                      </pic:pic>
                    </a:graphicData>
                  </a:graphic>
                </wp:inline>
              </w:drawing>
            </w:r>
          </w:p>
          <w:p>
            <w:pPr>
              <w:widowControl/>
              <w:shd w:val="clear" w:color="auto" w:fill="FFFFFF"/>
              <w:spacing w:line="400" w:lineRule="exact"/>
              <w:ind w:firstLine="420" w:firstLineChars="200"/>
              <w:jc w:val="left"/>
              <w:rPr>
                <w:rFonts w:cs="Arial"/>
                <w:kern w:val="0"/>
                <w:szCs w:val="21"/>
              </w:rPr>
            </w:pPr>
          </w:p>
          <w:p>
            <w:pPr>
              <w:widowControl/>
              <w:shd w:val="clear" w:color="auto" w:fill="FFFFFF"/>
              <w:spacing w:line="414" w:lineRule="exact"/>
              <w:ind w:firstLine="420" w:firstLineChars="200"/>
              <w:jc w:val="left"/>
              <w:rPr>
                <w:rFonts w:cs="Arial"/>
                <w:kern w:val="0"/>
                <w:szCs w:val="21"/>
              </w:rPr>
            </w:pPr>
            <w:r>
              <w:rPr>
                <w:rFonts w:hint="eastAsia" w:cs="Arial"/>
                <w:kern w:val="0"/>
                <w:szCs w:val="21"/>
              </w:rPr>
              <w:t>③公路穿越</w:t>
            </w:r>
          </w:p>
          <w:p>
            <w:pPr>
              <w:widowControl/>
              <w:shd w:val="clear" w:color="auto" w:fill="FFFFFF"/>
              <w:spacing w:line="414" w:lineRule="exact"/>
              <w:ind w:firstLine="420" w:firstLineChars="200"/>
              <w:jc w:val="left"/>
              <w:rPr>
                <w:rFonts w:cs="Arial"/>
                <w:kern w:val="0"/>
                <w:szCs w:val="21"/>
              </w:rPr>
            </w:pPr>
            <w:r>
              <w:rPr>
                <w:rFonts w:hint="eastAsia" w:cs="Arial"/>
                <w:kern w:val="0"/>
                <w:szCs w:val="21"/>
              </w:rPr>
              <w:t>管道穿越位置宜选在稳定的公路路基下，避开了石方区、高填方区、路堑和道路两侧为半挖半填的同坡向陡坡地段；</w:t>
            </w:r>
          </w:p>
          <w:p>
            <w:pPr>
              <w:widowControl/>
              <w:shd w:val="clear" w:color="auto" w:fill="FFFFFF"/>
              <w:spacing w:line="414" w:lineRule="exact"/>
              <w:ind w:firstLine="420" w:firstLineChars="200"/>
              <w:jc w:val="left"/>
              <w:rPr>
                <w:rFonts w:cs="Arial"/>
                <w:kern w:val="0"/>
                <w:szCs w:val="21"/>
              </w:rPr>
            </w:pPr>
            <w:r>
              <w:rPr>
                <w:rFonts w:hint="eastAsia" w:cs="Arial"/>
                <w:kern w:val="0"/>
                <w:szCs w:val="21"/>
              </w:rPr>
              <w:t>管道穿越公路宜垂直交叉通过。必须斜交时，斜交角度大于60°。路基下面的管段不允许出现转角或进行平、竖面曲线敷设；</w:t>
            </w:r>
          </w:p>
          <w:p>
            <w:pPr>
              <w:widowControl/>
              <w:shd w:val="clear" w:color="auto" w:fill="FFFFFF"/>
              <w:spacing w:line="414" w:lineRule="exact"/>
              <w:ind w:firstLine="420" w:firstLineChars="200"/>
              <w:jc w:val="left"/>
              <w:rPr>
                <w:rFonts w:cs="Arial"/>
                <w:kern w:val="0"/>
                <w:szCs w:val="21"/>
              </w:rPr>
            </w:pPr>
            <w:r>
              <w:rPr>
                <w:rFonts w:hint="eastAsia" w:cs="Arial"/>
                <w:kern w:val="0"/>
                <w:szCs w:val="21"/>
              </w:rPr>
              <w:t>对于乡村公路及机耕道穿越长度在10m及10m以下的穿越管段，采用整根管子穿过，中间不允许出现环向焊缝；</w:t>
            </w:r>
          </w:p>
          <w:p>
            <w:pPr>
              <w:widowControl/>
              <w:shd w:val="clear" w:color="auto" w:fill="FFFFFF"/>
              <w:spacing w:line="414" w:lineRule="exact"/>
              <w:ind w:firstLine="420" w:firstLineChars="200"/>
              <w:jc w:val="left"/>
              <w:rPr>
                <w:rFonts w:cs="Arial"/>
                <w:kern w:val="0"/>
                <w:szCs w:val="21"/>
              </w:rPr>
            </w:pPr>
            <w:r>
              <w:rPr>
                <w:rFonts w:hint="eastAsia" w:cs="Arial"/>
                <w:kern w:val="0"/>
                <w:szCs w:val="21"/>
              </w:rPr>
              <w:t>套管穿越道路（村道、耕道）用钢筋混凝土套管保护，套管内宜采用细土进行填充，套管顶至路面埋深不小于1.2m；</w:t>
            </w:r>
          </w:p>
          <w:p>
            <w:pPr>
              <w:widowControl/>
              <w:shd w:val="clear" w:color="auto" w:fill="FFFFFF"/>
              <w:spacing w:line="414" w:lineRule="exact"/>
              <w:ind w:firstLine="420" w:firstLineChars="200"/>
              <w:jc w:val="left"/>
              <w:rPr>
                <w:rFonts w:cs="Arial"/>
                <w:kern w:val="0"/>
                <w:szCs w:val="21"/>
              </w:rPr>
            </w:pPr>
            <w:r>
              <w:rPr>
                <w:rFonts w:hint="eastAsia" w:cs="Arial"/>
                <w:kern w:val="0"/>
                <w:szCs w:val="21"/>
              </w:rPr>
              <w:t>管道铺设绝缘滑块以保护管道外防腐层，并在穿越套管两端采用柔性材料进行端部密封；公路穿越段两侧设置管道公路穿越标志桩。</w:t>
            </w:r>
          </w:p>
          <w:p>
            <w:pPr>
              <w:widowControl/>
              <w:shd w:val="clear" w:color="auto" w:fill="FFFFFF"/>
              <w:spacing w:line="414" w:lineRule="exact"/>
              <w:ind w:firstLine="420" w:firstLineChars="200"/>
              <w:jc w:val="left"/>
              <w:rPr>
                <w:rFonts w:cs="Arial"/>
                <w:kern w:val="0"/>
                <w:szCs w:val="21"/>
              </w:rPr>
            </w:pPr>
            <w:r>
              <w:rPr>
                <w:rFonts w:hint="eastAsia" w:cs="Arial"/>
                <w:kern w:val="0"/>
                <w:szCs w:val="21"/>
              </w:rPr>
              <w:t>（3）线路附属构筑物</w:t>
            </w:r>
          </w:p>
          <w:p>
            <w:pPr>
              <w:widowControl/>
              <w:shd w:val="clear" w:color="auto" w:fill="FFFFFF"/>
              <w:spacing w:line="414" w:lineRule="exact"/>
              <w:ind w:firstLine="420" w:firstLineChars="200"/>
              <w:jc w:val="left"/>
              <w:rPr>
                <w:rFonts w:cs="Arial"/>
                <w:kern w:val="0"/>
                <w:szCs w:val="21"/>
              </w:rPr>
            </w:pPr>
            <w:r>
              <w:rPr>
                <w:rFonts w:hint="eastAsia" w:cs="Arial"/>
                <w:kern w:val="0"/>
                <w:szCs w:val="21"/>
              </w:rPr>
              <w:t>线路阀室：本项目上游输气管道线路全长约6.0km，沿线所经地区为二级及三级地区，本工程无需设置阀室。下游用气输气管线全长21.5km，于普光化工园区其他用气企业接口处设置17座埋地阀井。</w:t>
            </w:r>
          </w:p>
          <w:p>
            <w:pPr>
              <w:widowControl/>
              <w:shd w:val="clear" w:color="auto" w:fill="FFFFFF"/>
              <w:spacing w:line="414" w:lineRule="exact"/>
              <w:ind w:firstLine="420" w:firstLineChars="200"/>
              <w:jc w:val="left"/>
              <w:rPr>
                <w:rFonts w:cs="Arial"/>
                <w:kern w:val="0"/>
                <w:szCs w:val="21"/>
              </w:rPr>
            </w:pPr>
            <w:r>
              <w:rPr>
                <w:rFonts w:hint="eastAsia" w:cs="Arial"/>
                <w:kern w:val="0"/>
                <w:szCs w:val="21"/>
              </w:rPr>
              <w:t>管道标识：根据《管道干线标记设置技术规定》（SY/T6064－2017）的规定。管道沿线应设置：</w:t>
            </w:r>
          </w:p>
          <w:p>
            <w:pPr>
              <w:widowControl/>
              <w:shd w:val="clear" w:color="auto" w:fill="FFFFFF"/>
              <w:spacing w:line="414" w:lineRule="exact"/>
              <w:ind w:firstLine="420" w:firstLineChars="200"/>
              <w:jc w:val="left"/>
              <w:rPr>
                <w:rFonts w:cs="Arial"/>
                <w:kern w:val="0"/>
                <w:szCs w:val="21"/>
              </w:rPr>
            </w:pPr>
            <w:r>
              <w:rPr>
                <w:rFonts w:hint="eastAsia" w:cs="Arial"/>
                <w:kern w:val="0"/>
                <w:szCs w:val="21"/>
              </w:rPr>
              <w:t>A、里程桩：每公里设 1 个，一般与阴极保护测试桩合用。</w:t>
            </w:r>
          </w:p>
          <w:p>
            <w:pPr>
              <w:widowControl/>
              <w:shd w:val="clear" w:color="auto" w:fill="FFFFFF"/>
              <w:spacing w:line="414" w:lineRule="exact"/>
              <w:ind w:firstLine="420" w:firstLineChars="200"/>
              <w:jc w:val="left"/>
              <w:rPr>
                <w:rFonts w:cs="Arial"/>
                <w:kern w:val="0"/>
                <w:szCs w:val="21"/>
              </w:rPr>
            </w:pPr>
            <w:r>
              <w:rPr>
                <w:rFonts w:hint="eastAsia" w:cs="Arial"/>
                <w:kern w:val="0"/>
                <w:szCs w:val="21"/>
              </w:rPr>
              <w:t>B、转角桩：在管道水平方向改变位置，应设置转角桩，转角桩上要标明管线里程，转角角度等。当管道顺公路敷设时，可只对角度大于 30°的转角设置转角桩。</w:t>
            </w:r>
          </w:p>
          <w:p>
            <w:pPr>
              <w:widowControl/>
              <w:shd w:val="clear" w:color="auto" w:fill="FFFFFF"/>
              <w:spacing w:line="414" w:lineRule="exact"/>
              <w:ind w:firstLine="420" w:firstLineChars="200"/>
              <w:jc w:val="left"/>
              <w:rPr>
                <w:rFonts w:cs="Arial"/>
                <w:kern w:val="0"/>
                <w:szCs w:val="21"/>
              </w:rPr>
            </w:pPr>
            <w:r>
              <w:rPr>
                <w:rFonts w:hint="eastAsia" w:cs="Arial"/>
                <w:kern w:val="0"/>
                <w:szCs w:val="21"/>
              </w:rPr>
              <w:t>C、穿跨越桩：当管道穿越等级公路时，应在两侧设置穿越桩，穿越桩上应标明管线名称、公路或河流的名称、线路里程、穿越长度，有套管的应注明套管的长度、规格和材质等。</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D、交叉桩：凡是与地下管道、电（光）缆交叉的位置，应设置交叉桩。交叉桩上应注明线路里程、交叉物的名称、与交叉物的关系。</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E、管道警示带设置宽度大于管道外径便于管道的保护。警示带上应标明管理单位、报警电话、输气管线名称及大小等相关内容。</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(4)管道组合、焊接、补口、补伤、接口防腐</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对敷设管道进行组合。项目完成管沟开挖等基础工作后，按照施工规范将组合完成的管道进行焊接、补口、补伤、接口防腐等。管道焊接采用乙快焊打底，手工电弧焊填充、盖面。焊接施工前，应根据设计要求进行焊接工艺评定，并根据焊接工艺评定书编制焊接工艺规程，施焊按焊接工艺规程确定的参数、焊材施焊。焊接工艺评定执行《承压设备焊接工艺评定》(NB/T 47014-2011)。管道环向对接焊缝防腐层补口采用辐射交联聚乙烯热收缩套防腐:当防腐层损伤直径不大于30mmm的损伤(包括针孔)，损伤处未露管材，直接采用补伤片补伤，损伤处露管材，除锈后先采用环氧树脂涂刷，然后用聚乙烯补伤片补伤:当防腐层损伤直径大于30mm的损伤，先用聚乙烯补伤片进行补伤，然后用辐射交联聚乙烯热收缩套包覆。热收缩套材料应符合《埋地钢质管道聚Z烯防腐层》 (GB/T23257-2009)的相关规定。在组合过程中将产生一定量的焊接烟尘、有机废气以及噪声。</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(5) 焊缝外观检查及探伤检验</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焊缝外观检查、焊口探伤检验管道所有焊缝应先进行100%外观检查，焊缝外观质量不得低于《工业金属管道工程施工质量验收规范》GB50184-2011中I级质量要求。外观检查合格后进行无损探伤检查，线路工程的所有焊缝均进行100%超声波探，并进行100%X射线探伤复，检查按照《石油天然气钢质管道无损检测》(SY/T4109-2013)标准执行，达到规定的I级为合格，且不能有裂缝和未溶合焊缝。</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本次评价不包括工程施工中管道X射线探伤检测的辐射评价。</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 xml:space="preserve"> (6) 管道下沟、稳管、回填</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将组合、焊接完成的管道下放至挖好的管沟内。管道下沟后，对管沟进行回填处理，回填土采用管沟开挖时产生的挖方，沟槽的回填应用细土先填实管底，再同时投填管道两侧，然后回填至管顶以上0.5m处，再分层夯实回填.如沟内有积水，则排尽后再回填。回填土横断面示意图见下图。</w:t>
            </w:r>
          </w:p>
          <w:p>
            <w:pPr>
              <w:pStyle w:val="2"/>
              <w:spacing w:after="0" w:line="240" w:lineRule="auto"/>
              <w:ind w:left="0" w:leftChars="0"/>
              <w:jc w:val="center"/>
            </w:pPr>
            <w:r>
              <w:rPr>
                <w:rFonts w:hint="eastAsia" w:cs="Arial"/>
                <w:b/>
                <w:kern w:val="0"/>
                <w:szCs w:val="21"/>
              </w:rPr>
              <mc:AlternateContent>
                <mc:Choice Requires="wps">
                  <w:drawing>
                    <wp:anchor distT="0" distB="0" distL="114300" distR="114300" simplePos="0" relativeHeight="251673600" behindDoc="0" locked="0" layoutInCell="1" allowOverlap="1">
                      <wp:simplePos x="0" y="0"/>
                      <wp:positionH relativeFrom="column">
                        <wp:posOffset>824865</wp:posOffset>
                      </wp:positionH>
                      <wp:positionV relativeFrom="paragraph">
                        <wp:posOffset>1083310</wp:posOffset>
                      </wp:positionV>
                      <wp:extent cx="3049905" cy="279400"/>
                      <wp:effectExtent l="0" t="0" r="0" b="6350"/>
                      <wp:wrapNone/>
                      <wp:docPr id="7" name="文本框 7"/>
                      <wp:cNvGraphicFramePr/>
                      <a:graphic xmlns:a="http://schemas.openxmlformats.org/drawingml/2006/main">
                        <a:graphicData uri="http://schemas.microsoft.com/office/word/2010/wordprocessingShape">
                          <wps:wsp>
                            <wps:cNvSpPr txBox="1"/>
                            <wps:spPr>
                              <a:xfrm>
                                <a:off x="0" y="0"/>
                                <a:ext cx="304990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sz w:val="20"/>
                                    </w:rPr>
                                  </w:pPr>
                                  <w:r>
                                    <w:rPr>
                                      <w:rFonts w:hint="eastAsia"/>
                                      <w:b/>
                                      <w:sz w:val="20"/>
                                    </w:rPr>
                                    <w:t>图2-6：管线施工回填土横断面示意图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95pt;margin-top:85.3pt;height:22pt;width:240.15pt;z-index:251673600;mso-width-relative:page;mso-height-relative:page;" filled="f" stroked="f" coordsize="21600,21600" o:gfxdata="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IzhrNsAAAALAQAADwAAAAAAAAABACAA&#10;AAAiAAAAZHJzL2Rvd25yZXYueG1sUEsBAhQAFAAAAAgAh07iQAXZqM1DAgAAdAQAAA4AAAAAAAAA&#10;AQAgAAAAKgEAAGRycy9lMm9Eb2MueG1sUEsFBgAAAAAGAAYAWQEAAN8FAAAAAA==&#10;">
                      <v:fill on="f" focussize="0,0"/>
                      <v:stroke on="f" weight="0.5pt"/>
                      <v:imagedata o:title=""/>
                      <o:lock v:ext="edit" aspectratio="f"/>
                      <v:textbox>
                        <w:txbxContent>
                          <w:p>
                            <w:pPr>
                              <w:jc w:val="center"/>
                              <w:rPr>
                                <w:b/>
                                <w:sz w:val="20"/>
                              </w:rPr>
                            </w:pPr>
                            <w:r>
                              <w:rPr>
                                <w:rFonts w:hint="eastAsia"/>
                                <w:b/>
                                <w:sz w:val="20"/>
                              </w:rPr>
                              <w:t>图2-6：管线施工回填土横断面示意图</w:t>
                            </w:r>
                          </w:p>
                        </w:txbxContent>
                      </v:textbox>
                    </v:shape>
                  </w:pict>
                </mc:Fallback>
              </mc:AlternateContent>
            </w:r>
            <w:r>
              <w:drawing>
                <wp:inline distT="0" distB="0" distL="0" distR="0">
                  <wp:extent cx="3222625" cy="116967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18"/>
                          <a:stretch>
                            <a:fillRect/>
                          </a:stretch>
                        </pic:blipFill>
                        <pic:spPr>
                          <a:xfrm>
                            <a:off x="0" y="0"/>
                            <a:ext cx="3226292" cy="1171025"/>
                          </a:xfrm>
                          <a:prstGeom prst="rect">
                            <a:avLst/>
                          </a:prstGeom>
                        </pic:spPr>
                      </pic:pic>
                    </a:graphicData>
                  </a:graphic>
                </wp:inline>
              </w:drawing>
            </w:r>
          </w:p>
          <w:p>
            <w:pPr>
              <w:pStyle w:val="2"/>
              <w:spacing w:after="0" w:line="240" w:lineRule="auto"/>
              <w:ind w:left="0" w:leftChars="0"/>
              <w:jc w:val="center"/>
            </w:pPr>
          </w:p>
          <w:p>
            <w:pPr>
              <w:pStyle w:val="2"/>
              <w:spacing w:after="0" w:line="100" w:lineRule="exact"/>
              <w:ind w:left="0" w:leftChars="0"/>
              <w:jc w:val="center"/>
            </w:pPr>
          </w:p>
          <w:p>
            <w:pPr>
              <w:widowControl/>
              <w:shd w:val="clear" w:color="auto" w:fill="FFFFFF"/>
              <w:spacing w:line="400" w:lineRule="exact"/>
              <w:ind w:firstLine="420" w:firstLineChars="200"/>
              <w:jc w:val="left"/>
              <w:rPr>
                <w:rFonts w:cs="Arial"/>
                <w:kern w:val="0"/>
                <w:szCs w:val="21"/>
              </w:rPr>
            </w:pPr>
            <w:r>
              <w:rPr>
                <w:rFonts w:hint="eastAsia" w:cs="Arial"/>
                <w:kern w:val="0"/>
                <w:szCs w:val="21"/>
              </w:rPr>
              <w:t>本项目采用无缝钢管，以每米管道施工挖方2.0m</w:t>
            </w:r>
            <w:r>
              <w:rPr>
                <w:rFonts w:hint="eastAsia" w:cs="Arial"/>
                <w:kern w:val="0"/>
                <w:szCs w:val="21"/>
                <w:vertAlign w:val="superscript"/>
              </w:rPr>
              <w:t>3</w:t>
            </w:r>
            <w:r>
              <w:rPr>
                <w:rFonts w:hint="eastAsia" w:cs="Arial"/>
                <w:kern w:val="0"/>
                <w:szCs w:val="21"/>
              </w:rPr>
              <w:t>(沟底宽 0.5m、深1.2m，加放坡土方量)计，管道每米(加防腐层厚度，按2.7mm计)体积仅为 0.0205m</w:t>
            </w:r>
            <w:r>
              <w:rPr>
                <w:rFonts w:hint="eastAsia" w:cs="Arial"/>
                <w:kern w:val="0"/>
                <w:szCs w:val="21"/>
                <w:vertAlign w:val="superscript"/>
              </w:rPr>
              <w:t>3</w:t>
            </w:r>
            <w:r>
              <w:rPr>
                <w:rFonts w:hint="eastAsia" w:cs="Arial"/>
                <w:kern w:val="0"/>
                <w:szCs w:val="21"/>
              </w:rPr>
              <w:t>，仅占挖方体积的1.03%，因此回填后多余的土方量不大，可以用于周围低洼地回填，确需外运的弃土石方运至园区弃土场处置。</w:t>
            </w:r>
          </w:p>
          <w:p>
            <w:pPr>
              <w:widowControl/>
              <w:shd w:val="clear" w:color="auto" w:fill="FFFFFF"/>
              <w:spacing w:line="400" w:lineRule="exact"/>
              <w:ind w:firstLine="422" w:firstLineChars="200"/>
              <w:jc w:val="left"/>
              <w:rPr>
                <w:rFonts w:cs="Arial"/>
                <w:b/>
                <w:kern w:val="0"/>
                <w:szCs w:val="21"/>
              </w:rPr>
            </w:pPr>
            <w:r>
              <w:rPr>
                <w:rFonts w:hint="eastAsia" w:cs="Arial"/>
                <w:b/>
                <w:kern w:val="0"/>
                <w:szCs w:val="21"/>
              </w:rPr>
              <w:t>(7) 清管、试压、氮气置换</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项目管道敷设完成后，在试压前采用压缩空气对施工时残留下来的灰尘等进行吹扫，吹扫压力不得大于设计压力，且不得大于0.3MPa，吹扫速度不宜小于20m/s。吹扫完毕后对管道进行强度和严密性试验，试验介质采用压缩空气，管道强度试验压力为6MPa，严密性试验压力为4MPa，试压正常后可进行投产使用。</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管道投运前应根据规范《城镇燃气设施运行、维护和抢修安全技术规程》CJJ51第6.2章节开展置换工作。本项目燃气管道投运前采用氮气对管道内空气进行置换。</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 xml:space="preserve"> (8)清理现场、恢复道路、恢复植被、绿化、竣工验收</w:t>
            </w:r>
          </w:p>
          <w:p>
            <w:pPr>
              <w:widowControl/>
              <w:shd w:val="clear" w:color="auto" w:fill="FFFFFF"/>
              <w:spacing w:line="400" w:lineRule="exact"/>
              <w:ind w:firstLine="420" w:firstLineChars="200"/>
              <w:jc w:val="left"/>
              <w:rPr>
                <w:rFonts w:cs="Arial"/>
                <w:b/>
                <w:kern w:val="0"/>
                <w:szCs w:val="21"/>
              </w:rPr>
            </w:pPr>
            <w:r>
              <w:rPr>
                <w:rFonts w:hint="eastAsia" w:cs="Arial"/>
                <w:kern w:val="0"/>
                <w:szCs w:val="21"/>
              </w:rPr>
              <w:t>以上工程完成后进行清理作业场所，对沿线恢复地脉，恢复地表植被。本项目埋地管道主要敷设在已建道路边绿化带内，采取大开挖方式施工，埋管后对水泥路面进行恢复。项目不设沥青、混凝土搅拌站，需要的混凝土全部外购。工程完成后按国家现行规范执行竣工验收。</w:t>
            </w:r>
          </w:p>
          <w:p>
            <w:pPr>
              <w:widowControl/>
              <w:shd w:val="clear" w:color="auto" w:fill="FFFFFF"/>
              <w:spacing w:line="400" w:lineRule="exact"/>
              <w:ind w:firstLine="422" w:firstLineChars="200"/>
              <w:jc w:val="left"/>
              <w:rPr>
                <w:rFonts w:cs="Arial"/>
                <w:kern w:val="0"/>
                <w:szCs w:val="21"/>
              </w:rPr>
            </w:pPr>
            <w:r>
              <w:rPr>
                <w:rFonts w:cs="Arial"/>
                <w:b/>
                <w:kern w:val="0"/>
                <w:szCs w:val="21"/>
              </w:rPr>
              <w:t>3、配气站运营流程及产污环节</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本项目气源来自中石化普光气田，气源能力储备符合要求。项目天然气气源点为中石化普光配气站，通过气源管道进入普光化工专线配气站后，先进入过滤器除去少量的残液，进入汇管经调压、整流、计量后输往各处。</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项目为提高站场的安全性和可靠性，常操作的主要截断阀门选用操作方便灵活、密封性能好、关闭严密、质量可靠的平板闸阀，放空阀采用密封性能好使用寿命长、噪音小、耐冲刷的节流截止放空阀，安全阀选用流通能力小、反应迅速、开启关闭可靠，起跳回座精度高、严密不易泄露的先导式安全卸压阀。在整个系统设置放空管线通过放空阀能够放空本站与上、下游截断阀之间的天然气，实施检修。</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本项目配气站不涉及天然气加臭环节。</w:t>
            </w:r>
          </w:p>
          <w:p>
            <w:pPr>
              <w:widowControl/>
              <w:shd w:val="clear" w:color="auto" w:fill="FFFFFF"/>
              <w:jc w:val="center"/>
              <w:rPr>
                <w:rFonts w:cs="Arial"/>
                <w:kern w:val="0"/>
                <w:szCs w:val="21"/>
              </w:rPr>
            </w:pPr>
            <w:r>
              <w:drawing>
                <wp:inline distT="0" distB="0" distL="0" distR="0">
                  <wp:extent cx="4780280" cy="3520440"/>
                  <wp:effectExtent l="0" t="0" r="1270" b="3810"/>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pic:cNvPicPr>
                            <a:picLocks noChangeAspect="1"/>
                          </pic:cNvPicPr>
                        </pic:nvPicPr>
                        <pic:blipFill>
                          <a:blip r:embed="rId19"/>
                          <a:stretch>
                            <a:fillRect/>
                          </a:stretch>
                        </pic:blipFill>
                        <pic:spPr>
                          <a:xfrm>
                            <a:off x="0" y="0"/>
                            <a:ext cx="4780987" cy="3520587"/>
                          </a:xfrm>
                          <a:prstGeom prst="rect">
                            <a:avLst/>
                          </a:prstGeom>
                          <a:noFill/>
                          <a:ln>
                            <a:noFill/>
                          </a:ln>
                        </pic:spPr>
                      </pic:pic>
                    </a:graphicData>
                  </a:graphic>
                </wp:inline>
              </w:drawing>
            </w:r>
          </w:p>
          <w:p>
            <w:pPr>
              <w:widowControl/>
              <w:shd w:val="clear" w:color="auto" w:fill="FFFFFF"/>
              <w:spacing w:line="400" w:lineRule="exact"/>
              <w:ind w:firstLine="422" w:firstLineChars="200"/>
              <w:jc w:val="left"/>
              <w:rPr>
                <w:rFonts w:cs="Arial"/>
                <w:b/>
                <w:kern w:val="0"/>
                <w:szCs w:val="21"/>
              </w:rPr>
            </w:pPr>
            <w:r>
              <w:rPr>
                <w:rFonts w:hint="eastAsia" w:cs="Arial"/>
                <w:b/>
                <w:kern w:val="0"/>
                <w:szCs w:val="21"/>
              </w:rPr>
              <mc:AlternateContent>
                <mc:Choice Requires="wps">
                  <w:drawing>
                    <wp:anchor distT="0" distB="0" distL="114300" distR="114300" simplePos="0" relativeHeight="251672576" behindDoc="0" locked="0" layoutInCell="1" allowOverlap="1">
                      <wp:simplePos x="0" y="0"/>
                      <wp:positionH relativeFrom="column">
                        <wp:posOffset>899795</wp:posOffset>
                      </wp:positionH>
                      <wp:positionV relativeFrom="paragraph">
                        <wp:posOffset>-6985</wp:posOffset>
                      </wp:positionV>
                      <wp:extent cx="3049905" cy="279400"/>
                      <wp:effectExtent l="0" t="0" r="0" b="6350"/>
                      <wp:wrapNone/>
                      <wp:docPr id="4" name="文本框 4"/>
                      <wp:cNvGraphicFramePr/>
                      <a:graphic xmlns:a="http://schemas.openxmlformats.org/drawingml/2006/main">
                        <a:graphicData uri="http://schemas.microsoft.com/office/word/2010/wordprocessingShape">
                          <wps:wsp>
                            <wps:cNvSpPr txBox="1"/>
                            <wps:spPr>
                              <a:xfrm>
                                <a:off x="0" y="0"/>
                                <a:ext cx="304990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sz w:val="20"/>
                                    </w:rPr>
                                  </w:pPr>
                                  <w:r>
                                    <w:rPr>
                                      <w:rFonts w:hint="eastAsia"/>
                                      <w:b/>
                                      <w:sz w:val="20"/>
                                    </w:rPr>
                                    <w:t>图2-7：项目营运期工艺流程图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85pt;margin-top:-0.55pt;height:22pt;width:240.15pt;z-index:251672576;mso-width-relative:page;mso-height-relative:page;" filled="f" stroked="f" coordsize="21600,21600" o:gfxdata="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QhzdL2gAAAAkBAAAPAAAAAAAAAAEAIAAA&#10;ACIAAABkcnMvZG93bnJldi54bWxQSwECFAAUAAAACACHTuJA/Wt5x0MCAAB0BAAADgAAAAAAAAAB&#10;ACAAAAApAQAAZHJzL2Uyb0RvYy54bWxQSwUGAAAAAAYABgBZAQAA3gUAAAAA&#10;">
                      <v:fill on="f" focussize="0,0"/>
                      <v:stroke on="f" weight="0.5pt"/>
                      <v:imagedata o:title=""/>
                      <o:lock v:ext="edit" aspectratio="f"/>
                      <v:textbox>
                        <w:txbxContent>
                          <w:p>
                            <w:pPr>
                              <w:jc w:val="center"/>
                              <w:rPr>
                                <w:b/>
                                <w:sz w:val="20"/>
                              </w:rPr>
                            </w:pPr>
                            <w:r>
                              <w:rPr>
                                <w:rFonts w:hint="eastAsia"/>
                                <w:b/>
                                <w:sz w:val="20"/>
                              </w:rPr>
                              <w:t>图2-7：项目营运期工艺流程图</w:t>
                            </w:r>
                          </w:p>
                        </w:txbxContent>
                      </v:textbox>
                    </v:shape>
                  </w:pict>
                </mc:Fallback>
              </mc:AlternateContent>
            </w:r>
          </w:p>
          <w:p>
            <w:pPr>
              <w:widowControl/>
              <w:shd w:val="clear" w:color="auto" w:fill="FFFFFF"/>
              <w:spacing w:before="120" w:beforeLines="50" w:line="400" w:lineRule="exact"/>
              <w:ind w:firstLine="422" w:firstLineChars="200"/>
              <w:jc w:val="left"/>
              <w:rPr>
                <w:rFonts w:cs="Arial"/>
                <w:b/>
                <w:kern w:val="0"/>
                <w:szCs w:val="21"/>
              </w:rPr>
            </w:pPr>
            <w:r>
              <w:rPr>
                <w:rFonts w:hint="eastAsia" w:cs="Arial"/>
                <w:b/>
                <w:kern w:val="0"/>
                <w:szCs w:val="21"/>
              </w:rPr>
              <w:t>产污环节：</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在营运期里输气管道封闭运行，正常运营过程中不会对环境造成影响，运行中的污染物均产生在配气站。工艺站场对环境产生的主要影响因素为：</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废气：正常运营无废气，异常状态下的清管、超压、事故时放空排放的废气。</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废水：设备检修清洗废水、分离器等设备排污（残液），员工生活污水。</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噪声：场站内分离节流调压阀、汇管、清管等其他设备运行的噪声，放空区超压、事故放空的噪声。</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固体废物：生活垃圾，清管检修废渣、过滤器的废滤芯、设备维护保养的废润滑油、设备表面保养的废油漆桶等。</w:t>
            </w:r>
          </w:p>
          <w:p>
            <w:pPr>
              <w:widowControl/>
              <w:shd w:val="clear" w:color="auto" w:fill="FFFFFF"/>
              <w:spacing w:line="400" w:lineRule="exact"/>
              <w:jc w:val="left"/>
              <w:rPr>
                <w:rFonts w:cs="Arial"/>
                <w:b/>
                <w:kern w:val="0"/>
                <w:szCs w:val="21"/>
              </w:rPr>
            </w:pPr>
            <w:r>
              <w:rPr>
                <w:rFonts w:cs="Arial"/>
                <w:b/>
                <w:kern w:val="0"/>
                <w:szCs w:val="21"/>
              </w:rPr>
              <w:t>二、施工时序</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小河沟（后河支流）为每年6~10月(丰水期)，12月~次年4月为枯水期，此段时间河水位较低、深度较浅、流量较小，施工时应避开丰水期，选在枯水季节进行。施工时应考虑降水及河水对管道工程施工的影响，以免威胁施工安全和延误工期。</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场地周围较平坦开阔，具备放坡条件：在开挖前应选好土方堆放地点开挖土方应及时运走，适当处理，不能在基坑边堆放，以免引起边坡变形而发生意外。尤其是在雨季施工，应注意监测开挖情况下边坡变形，根据变形情况确定采用工程支护措施。待管道安装运行完成后，进行土壤回填压实。</w:t>
            </w:r>
          </w:p>
          <w:p>
            <w:pPr>
              <w:widowControl/>
              <w:shd w:val="clear" w:color="auto" w:fill="FFFFFF"/>
              <w:spacing w:line="400" w:lineRule="exact"/>
              <w:jc w:val="left"/>
              <w:rPr>
                <w:rFonts w:cs="Arial"/>
                <w:b/>
                <w:kern w:val="0"/>
                <w:szCs w:val="21"/>
              </w:rPr>
            </w:pPr>
            <w:r>
              <w:rPr>
                <w:rFonts w:hint="eastAsia" w:cs="Arial"/>
                <w:b/>
                <w:kern w:val="0"/>
                <w:szCs w:val="21"/>
              </w:rPr>
              <w:t>三、建设周期</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本工程主要工作阶段包括：初步设计、初步设计批复、施工图设计、设备及管件安装材料采购、土建施工、生产准备和试运行、竣工验收和正式投产项目按基本建设程序进行初步设计、施工图设计、采购、开工建设以及项目验收、试运和正式投产等阶段。</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施工方案合理性分析：</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根据项目施工方案，在施工中合理安排施工进度，尽量避开雨季施工，在穿越河流、水渠时，应避开汛期，以减少洪水的侵蚀。施工中要作到分段施工随挖、随运、随铺、随压，不留疏松地面，严格控制和管理运输车辆及重型机械施工作业范围，尽可能减少对土壤和农田作物的破坏以及由此引发的水土流失，提高工程施工效率，缩短施工工期，划定适宜的堆料场，以防对植物的破坏范围扩大，施工结束后，及时进行植被恢复工作，以植被护土，减轻水土流失。</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根据现场勘察对管道施工提出需补充或需强调的安全对策措施如下：</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1)管道施工</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管道经过地区主要属平原、浅丘，施工中应充分考虑现状地质灾害，同时也要考虑到开挖边坡引起的次生地质灾害，施工和运营过程中应注意监测，对险情段及时采取补救措施。</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根据《石油天然气安全规程》 (AQ2012-2007) 等要求，对管道施工一般情况与工程特点，提出如下补充对策措施。</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建立安全预警机制入手，对每道工序、每个环节都要开展风险识别、风险评估，确立风险级别，制定预防和应急方案。</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施工使用的各种特种设备应按照要求进行了定期的检测，合格方能使用，并且特种设备的操作员需持证上岗。</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管道的施焊应严格按焊接工艺评定执行，焊工应持主管部门颁发的高压管道焊工证，才能在有效期间担任合格范围内的焊接工作。在穿越河流、水渠时，特别是开挖穿越，应合理安排工程进度，尽量避开雨季施工，应避开汛期，以减少洪水的侵蚀。 管线碰口连头时，管道应碰在已建管道直管段处。碰口前，应先用氮气合格置换改造部分管段、设备内空气</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严禁带气碰口。管沟开挖过程中，应加强支护，防止沟壁垮塌影响施工安全。在对管道防腐层进行现场修补时，应把好除锈关，严格按照要求进行操作和验收管道通过部分地段为苗圃。对于苗圃区域内的管道施工，应预先编制施工安全预案，确保苗圃区域内的施工安全</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管沟开挖严禁采用爆破方式进行;管沟成型组焊前，应清除管沟附近的树枝、树叶，组焊建议采用沟下焊方式:焊接过程中，应对焊接区一定范围设置临时的隔阻材料(如钢板)，防止电弧和火花进入林区:严禁在树林边或树林内吸烟、引弧;对于材料中的易燃物质，应设置于空旷的场地且远离焊接区施工中应配备一定数量的移动灭火器。</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2)站场施工</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站场施工主要涉及到挖填土方、场地平整、设备组焊、高空吊装、高处作业等，其中动土、动火、动焊作业等较多。本工程涉及1个新建配气站。施工现场安全管理的原则是施工现场的工地围挡、道路施工、临时用电线路装置、排水、供水设施、工棚、办公室等临时设施，各类施工设备设施，安全宣传图牌标志，安全防护设施和其他设施和使用，均要在符合安全、消防、卫生、环境保护的前提下，按国家和地方有关法规和要求加强控制，做到合理有序，便利施工。</w:t>
            </w:r>
          </w:p>
          <w:p>
            <w:pPr>
              <w:widowControl/>
              <w:shd w:val="clear" w:color="auto" w:fill="FFFFFF"/>
              <w:spacing w:line="400" w:lineRule="exact"/>
              <w:ind w:firstLine="420" w:firstLineChars="200"/>
              <w:jc w:val="left"/>
              <w:rPr>
                <w:rFonts w:cs="Arial"/>
                <w:kern w:val="0"/>
                <w:szCs w:val="21"/>
              </w:rPr>
            </w:pPr>
            <w:r>
              <w:rPr>
                <w:rFonts w:hint="eastAsia" w:cs="Arial"/>
                <w:kern w:val="0"/>
                <w:szCs w:val="21"/>
              </w:rPr>
              <w:t>动土作业应完成以下作业危险分析：所有地下管道、电缆、光缆应确定方位；地面堆土、堆物应加以控制，进行必要的支撑以防滑坡。施工现场要求准备足够的消防灭火器材，以防出现火险上下交叉作业应戴安全帽，多人同时挖土应相距在2m以上，防止工具伤人。作业人员发现异常时，应立即撤离作业现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744" w:type="dxa"/>
            <w:vAlign w:val="center"/>
          </w:tcPr>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r>
              <w:rPr>
                <w:rFonts w:hint="eastAsia" w:ascii="宋体" w:hAnsi="宋体" w:cs="宋体"/>
                <w:kern w:val="0"/>
                <w:szCs w:val="21"/>
              </w:rPr>
              <w:t>其他</w:t>
            </w: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tc>
        <w:tc>
          <w:tcPr>
            <w:tcW w:w="8169" w:type="dxa"/>
            <w:vAlign w:val="center"/>
          </w:tcPr>
          <w:p>
            <w:pPr>
              <w:spacing w:line="460" w:lineRule="exact"/>
              <w:ind w:firstLine="420" w:firstLineChars="200"/>
            </w:pPr>
          </w:p>
          <w:p>
            <w:pPr>
              <w:spacing w:line="460" w:lineRule="exact"/>
              <w:ind w:firstLine="420" w:firstLineChars="200"/>
            </w:pPr>
          </w:p>
          <w:p>
            <w:pPr>
              <w:spacing w:line="460" w:lineRule="exact"/>
              <w:ind w:firstLine="420" w:firstLineChars="200"/>
            </w:pPr>
          </w:p>
          <w:p>
            <w:pPr>
              <w:spacing w:line="460" w:lineRule="exact"/>
              <w:ind w:firstLine="420" w:firstLineChars="200"/>
            </w:pPr>
          </w:p>
          <w:p>
            <w:pPr>
              <w:spacing w:line="460" w:lineRule="exact"/>
              <w:ind w:firstLine="420" w:firstLineChars="200"/>
            </w:pPr>
          </w:p>
          <w:p>
            <w:pPr>
              <w:spacing w:line="460" w:lineRule="exact"/>
              <w:ind w:firstLine="420" w:firstLineChars="200"/>
            </w:pPr>
          </w:p>
          <w:p>
            <w:pPr>
              <w:spacing w:line="460" w:lineRule="exact"/>
              <w:ind w:firstLine="420" w:firstLineChars="200"/>
            </w:pPr>
          </w:p>
          <w:p>
            <w:pPr>
              <w:spacing w:line="460" w:lineRule="exact"/>
              <w:ind w:firstLine="420" w:firstLineChars="200"/>
            </w:pPr>
          </w:p>
          <w:p>
            <w:pPr>
              <w:spacing w:line="460" w:lineRule="exact"/>
              <w:ind w:firstLine="420" w:firstLineChars="200"/>
            </w:pPr>
          </w:p>
          <w:p>
            <w:pPr>
              <w:spacing w:line="460" w:lineRule="exact"/>
              <w:ind w:firstLine="420" w:firstLineChars="200"/>
            </w:pPr>
          </w:p>
          <w:p>
            <w:pPr>
              <w:spacing w:line="460" w:lineRule="exact"/>
              <w:ind w:firstLine="420" w:firstLineChars="200"/>
            </w:pPr>
          </w:p>
          <w:p>
            <w:pPr>
              <w:spacing w:line="460" w:lineRule="exact"/>
              <w:ind w:firstLine="420" w:firstLineChars="200"/>
            </w:pPr>
          </w:p>
          <w:p>
            <w:pPr>
              <w:spacing w:line="460" w:lineRule="exact"/>
              <w:ind w:firstLine="420" w:firstLineChars="200"/>
            </w:pPr>
          </w:p>
          <w:p>
            <w:pPr>
              <w:spacing w:line="460" w:lineRule="exact"/>
              <w:ind w:firstLine="420" w:firstLineChars="200"/>
            </w:pPr>
          </w:p>
          <w:p>
            <w:pPr>
              <w:spacing w:line="460" w:lineRule="exact"/>
              <w:ind w:firstLine="420" w:firstLineChars="200"/>
            </w:pPr>
          </w:p>
          <w:p>
            <w:pPr>
              <w:pStyle w:val="2"/>
              <w:spacing w:after="0" w:line="100" w:lineRule="exact"/>
              <w:rPr>
                <w:rFonts w:ascii="宋体" w:hAnsi="宋体" w:cs="宋体"/>
                <w:kern w:val="0"/>
                <w:szCs w:val="21"/>
              </w:rPr>
            </w:pPr>
          </w:p>
          <w:p>
            <w:pPr>
              <w:pStyle w:val="2"/>
              <w:spacing w:after="0" w:line="100" w:lineRule="exact"/>
              <w:rPr>
                <w:rFonts w:ascii="宋体" w:hAnsi="宋体" w:cs="宋体"/>
                <w:kern w:val="0"/>
                <w:szCs w:val="21"/>
              </w:rPr>
            </w:pPr>
          </w:p>
          <w:p>
            <w:pPr>
              <w:pStyle w:val="2"/>
              <w:spacing w:after="0" w:line="100" w:lineRule="exact"/>
              <w:rPr>
                <w:rFonts w:ascii="宋体" w:hAnsi="宋体" w:cs="宋体"/>
                <w:kern w:val="0"/>
                <w:szCs w:val="21"/>
              </w:rPr>
            </w:pPr>
          </w:p>
          <w:p>
            <w:pPr>
              <w:pStyle w:val="2"/>
              <w:spacing w:after="0" w:line="100" w:lineRule="exact"/>
              <w:rPr>
                <w:rFonts w:ascii="宋体" w:hAnsi="宋体" w:cs="宋体"/>
                <w:kern w:val="0"/>
                <w:szCs w:val="21"/>
              </w:rPr>
            </w:pPr>
          </w:p>
          <w:p>
            <w:pPr>
              <w:pStyle w:val="2"/>
              <w:spacing w:after="0" w:line="100" w:lineRule="exact"/>
              <w:rPr>
                <w:rFonts w:ascii="宋体" w:hAnsi="宋体" w:cs="宋体"/>
                <w:kern w:val="0"/>
                <w:szCs w:val="21"/>
              </w:rPr>
            </w:pPr>
          </w:p>
          <w:p>
            <w:pPr>
              <w:pStyle w:val="2"/>
              <w:spacing w:after="0" w:line="100" w:lineRule="exact"/>
              <w:rPr>
                <w:rFonts w:ascii="宋体" w:hAnsi="宋体" w:cs="宋体"/>
                <w:kern w:val="0"/>
                <w:szCs w:val="21"/>
              </w:rPr>
            </w:pPr>
          </w:p>
          <w:p>
            <w:pPr>
              <w:pStyle w:val="2"/>
              <w:spacing w:after="0" w:line="100" w:lineRule="exact"/>
              <w:rPr>
                <w:rFonts w:ascii="宋体" w:hAnsi="宋体" w:cs="宋体"/>
                <w:kern w:val="0"/>
                <w:szCs w:val="21"/>
              </w:rPr>
            </w:pPr>
          </w:p>
          <w:p>
            <w:pPr>
              <w:pStyle w:val="2"/>
              <w:spacing w:after="0" w:line="100" w:lineRule="exact"/>
              <w:rPr>
                <w:rFonts w:ascii="宋体" w:hAnsi="宋体" w:cs="宋体"/>
                <w:kern w:val="0"/>
                <w:szCs w:val="21"/>
              </w:rPr>
            </w:pPr>
          </w:p>
        </w:tc>
      </w:tr>
    </w:tbl>
    <w:p>
      <w:pPr>
        <w:pStyle w:val="14"/>
        <w:jc w:val="center"/>
        <w:outlineLvl w:val="0"/>
        <w:rPr>
          <w:rFonts w:ascii="黑体" w:hAnsi="黑体" w:eastAsia="黑体"/>
          <w:snapToGrid w:val="0"/>
          <w:sz w:val="30"/>
          <w:szCs w:val="30"/>
        </w:rPr>
      </w:pPr>
      <w:r>
        <w:rPr>
          <w:rFonts w:eastAsia="仿宋_GB2312"/>
          <w:b/>
          <w:bCs/>
        </w:rPr>
        <w:br w:type="page"/>
      </w:r>
      <w:r>
        <w:rPr>
          <w:rFonts w:hint="eastAsia" w:ascii="黑体" w:hAnsi="黑体" w:eastAsia="黑体"/>
          <w:snapToGrid w:val="0"/>
          <w:sz w:val="30"/>
          <w:szCs w:val="30"/>
        </w:rPr>
        <w:t>三、生态环境现状、保护目标及评价标准</w:t>
      </w:r>
    </w:p>
    <w:tbl>
      <w:tblPr>
        <w:tblStyle w:val="17"/>
        <w:tblW w:w="89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8" w:hRule="atLeast"/>
          <w:jc w:val="center"/>
        </w:trPr>
        <w:tc>
          <w:tcPr>
            <w:tcW w:w="669" w:type="dxa"/>
            <w:vAlign w:val="center"/>
          </w:tcPr>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r>
              <w:rPr>
                <w:rFonts w:hint="eastAsia" w:ascii="宋体" w:hAnsi="宋体" w:cs="宋体"/>
                <w:kern w:val="0"/>
                <w:szCs w:val="21"/>
              </w:rPr>
              <w:t>生态环境现状</w:t>
            </w: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r>
              <w:rPr>
                <w:rFonts w:hint="eastAsia" w:ascii="宋体" w:hAnsi="宋体" w:cs="宋体"/>
                <w:kern w:val="0"/>
                <w:szCs w:val="21"/>
              </w:rPr>
              <w:t>生态环境现状</w:t>
            </w: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r>
              <w:rPr>
                <w:rFonts w:hint="eastAsia" w:ascii="宋体" w:hAnsi="宋体" w:cs="宋体"/>
                <w:kern w:val="0"/>
                <w:szCs w:val="21"/>
              </w:rPr>
              <w:t>生态环境现状</w:t>
            </w: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pStyle w:val="2"/>
              <w:rPr>
                <w:rFonts w:ascii="宋体" w:hAnsi="宋体" w:cs="宋体"/>
                <w:kern w:val="0"/>
                <w:szCs w:val="21"/>
              </w:rPr>
            </w:pPr>
          </w:p>
          <w:p>
            <w:pPr>
              <w:pStyle w:val="2"/>
              <w:rPr>
                <w:rFonts w:ascii="宋体" w:hAnsi="宋体" w:cs="宋体"/>
                <w:kern w:val="0"/>
                <w:szCs w:val="21"/>
              </w:rPr>
            </w:pPr>
          </w:p>
          <w:p>
            <w:pPr>
              <w:pStyle w:val="2"/>
              <w:rPr>
                <w:rFonts w:ascii="宋体" w:hAnsi="宋体" w:cs="宋体"/>
                <w:kern w:val="0"/>
                <w:szCs w:val="21"/>
              </w:rPr>
            </w:pPr>
          </w:p>
          <w:p>
            <w:pPr>
              <w:pStyle w:val="2"/>
              <w:rPr>
                <w:rFonts w:ascii="宋体" w:hAnsi="宋体" w:cs="宋体"/>
                <w:kern w:val="0"/>
                <w:szCs w:val="21"/>
              </w:rPr>
            </w:pPr>
          </w:p>
          <w:p>
            <w:pPr>
              <w:pStyle w:val="2"/>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r>
              <w:rPr>
                <w:rFonts w:hint="eastAsia" w:ascii="宋体" w:hAnsi="宋体" w:cs="宋体"/>
                <w:kern w:val="0"/>
                <w:szCs w:val="21"/>
              </w:rPr>
              <w:t>生态环境现状</w:t>
            </w: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tc>
        <w:tc>
          <w:tcPr>
            <w:tcW w:w="8253" w:type="dxa"/>
            <w:vAlign w:val="center"/>
          </w:tcPr>
          <w:p>
            <w:pPr>
              <w:autoSpaceDE w:val="0"/>
              <w:autoSpaceDN w:val="0"/>
              <w:adjustRightInd w:val="0"/>
              <w:spacing w:line="400" w:lineRule="exact"/>
              <w:jc w:val="left"/>
              <w:rPr>
                <w:rFonts w:eastAsia="黑体"/>
              </w:rPr>
            </w:pPr>
            <w:r>
              <w:rPr>
                <w:rFonts w:hint="eastAsia" w:eastAsia="黑体"/>
              </w:rPr>
              <w:t>1</w:t>
            </w:r>
            <w:r>
              <w:rPr>
                <w:rFonts w:hint="eastAsia" w:eastAsia="黑体"/>
                <w:lang w:val="zh-CN"/>
              </w:rPr>
              <w:t>、主体功能区规划</w:t>
            </w:r>
          </w:p>
          <w:p>
            <w:pPr>
              <w:autoSpaceDE w:val="0"/>
              <w:autoSpaceDN w:val="0"/>
              <w:adjustRightInd w:val="0"/>
              <w:spacing w:line="400" w:lineRule="exact"/>
              <w:ind w:firstLine="420" w:firstLineChars="200"/>
              <w:jc w:val="left"/>
              <w:rPr>
                <w:rFonts w:cs="Arial"/>
                <w:kern w:val="0"/>
                <w:szCs w:val="21"/>
              </w:rPr>
            </w:pPr>
            <w:r>
              <w:rPr>
                <w:rFonts w:hint="eastAsia" w:cs="Arial"/>
                <w:kern w:val="0"/>
                <w:szCs w:val="21"/>
              </w:rPr>
              <w:t>根据《四川省主体功能区规划》（川府发〔2013〕16号），将四川省国土空间分为以下主体功能区：按开发方式分为重点开发区域、限制开发区域和禁止开发区域。本项目位于宣汉县普光工业园区，为省级层面重点开发区域。项目的建设通过采取合理有效的生态保护措施，加强防御外来物种入侵的能力，防止外来有害物种对生态系统的侵害等措施，与《四川省主体功能区规划》（川府发〔2013〕16号）相关要求是相符的。</w:t>
            </w:r>
          </w:p>
          <w:p>
            <w:pPr>
              <w:autoSpaceDE w:val="0"/>
              <w:autoSpaceDN w:val="0"/>
              <w:adjustRightInd w:val="0"/>
              <w:spacing w:line="400" w:lineRule="exact"/>
              <w:jc w:val="left"/>
              <w:rPr>
                <w:rFonts w:eastAsia="黑体"/>
              </w:rPr>
            </w:pPr>
            <w:r>
              <w:rPr>
                <w:rFonts w:hint="eastAsia" w:eastAsia="黑体"/>
              </w:rPr>
              <w:t>2</w:t>
            </w:r>
            <w:r>
              <w:rPr>
                <w:rFonts w:hint="eastAsia" w:eastAsia="黑体"/>
                <w:lang w:val="zh-CN"/>
              </w:rPr>
              <w:t>、生态功能区划</w:t>
            </w:r>
          </w:p>
          <w:p>
            <w:pPr>
              <w:adjustRightInd w:val="0"/>
              <w:snapToGrid w:val="0"/>
              <w:spacing w:line="400" w:lineRule="exact"/>
              <w:ind w:firstLine="420" w:firstLineChars="200"/>
              <w:jc w:val="left"/>
              <w:rPr>
                <w:rFonts w:cs="Arial"/>
                <w:kern w:val="0"/>
                <w:szCs w:val="21"/>
              </w:rPr>
            </w:pPr>
            <w:r>
              <w:rPr>
                <w:rFonts w:hint="eastAsia" w:cs="Arial"/>
                <w:kern w:val="0"/>
                <w:szCs w:val="21"/>
              </w:rPr>
              <w:t>根据《四川省生态功能区划》，四川省生态功能区划分为4个一级区，13个二级区，36个三级区。4个一级区为：Ⅰ、四川盆地亚热带湿润气候生态区；Ⅱ、川西南山地亚热带半湿润气候生态区；Ⅲ、川西高山高原亚热带-温带-寒温带生态区；Ⅳ、川西北高原江河源区寒温带-亚寒带生态区。</w:t>
            </w:r>
          </w:p>
          <w:p>
            <w:pPr>
              <w:adjustRightInd w:val="0"/>
              <w:snapToGrid w:val="0"/>
              <w:spacing w:line="400" w:lineRule="exact"/>
              <w:ind w:firstLine="420" w:firstLineChars="200"/>
              <w:jc w:val="left"/>
              <w:rPr>
                <w:rFonts w:cs="Arial"/>
                <w:kern w:val="0"/>
                <w:szCs w:val="21"/>
              </w:rPr>
            </w:pPr>
            <w:r>
              <w:rPr>
                <w:rFonts w:hint="eastAsia" w:cs="Arial"/>
                <w:kern w:val="0"/>
                <w:szCs w:val="21"/>
              </w:rPr>
              <w:t>依据《四川省生态功能区划》，评价区属于四川盆地亚热带湿润气候生态区（Ⅰ）-盆中丘陵农林复合生态亚区（Ⅰ-2）-盆北深丘农林与土壤保持生态功能区（Ⅰ-2-1），生态保护和发展方向生态巩固长江上游防护林建设、天然林保护和退耕还林成果。发挥山区资源优势，建立商品林基地，保护野生生物资源，发展生态农业和中药材产业。建设以天然气为主的基础原料和能源化工基地。开发人文景观资源,发展旅游业及相关产业链。用地养地结合，加强水土保持建设。严禁无序开发矿产、水力、生物资源。</w:t>
            </w:r>
          </w:p>
          <w:p>
            <w:pPr>
              <w:autoSpaceDE w:val="0"/>
              <w:autoSpaceDN w:val="0"/>
              <w:adjustRightInd w:val="0"/>
              <w:spacing w:line="400" w:lineRule="exact"/>
              <w:jc w:val="left"/>
              <w:rPr>
                <w:rFonts w:eastAsia="黑体"/>
              </w:rPr>
            </w:pPr>
            <w:r>
              <w:rPr>
                <w:rFonts w:hint="eastAsia" w:eastAsia="黑体"/>
              </w:rPr>
              <w:t>3</w:t>
            </w:r>
            <w:r>
              <w:rPr>
                <w:rFonts w:hint="eastAsia" w:eastAsia="黑体"/>
                <w:lang w:val="zh-CN"/>
              </w:rPr>
              <w:t>、生态环境现状</w:t>
            </w:r>
          </w:p>
          <w:p>
            <w:pPr>
              <w:autoSpaceDE w:val="0"/>
              <w:autoSpaceDN w:val="0"/>
              <w:adjustRightInd w:val="0"/>
              <w:spacing w:line="400" w:lineRule="exact"/>
              <w:jc w:val="left"/>
              <w:rPr>
                <w:rFonts w:eastAsia="黑体"/>
                <w:sz w:val="20"/>
              </w:rPr>
            </w:pPr>
            <w:r>
              <w:rPr>
                <w:rFonts w:hint="eastAsia" w:eastAsia="黑体"/>
                <w:sz w:val="20"/>
              </w:rPr>
              <w:t>3.1土地利用类型</w:t>
            </w:r>
          </w:p>
          <w:p>
            <w:pPr>
              <w:adjustRightInd w:val="0"/>
              <w:snapToGrid w:val="0"/>
              <w:spacing w:line="400" w:lineRule="exact"/>
              <w:ind w:firstLine="420" w:firstLineChars="200"/>
              <w:jc w:val="left"/>
              <w:rPr>
                <w:szCs w:val="21"/>
              </w:rPr>
            </w:pPr>
            <w:r>
              <w:rPr>
                <w:szCs w:val="21"/>
              </w:rPr>
              <w:t>项目建设涉及配气站永久占地</w:t>
            </w:r>
            <w:r>
              <w:rPr>
                <w:rFonts w:hint="eastAsia"/>
                <w:szCs w:val="21"/>
              </w:rPr>
              <w:t>9.89亩、管道沿线施工的临时占地319.97亩。配气站永久占地为普光园区规划的工业用地，管道沿线施工的临时占地部分位于普光工业园区内，部分位于园区外；</w:t>
            </w:r>
            <w:r>
              <w:rPr>
                <w:szCs w:val="21"/>
              </w:rPr>
              <w:t>管道沿线土地利用类型主要有建设用地、耕地、林地、其他农用地和未利用地等。</w:t>
            </w:r>
          </w:p>
          <w:p>
            <w:pPr>
              <w:autoSpaceDE w:val="0"/>
              <w:autoSpaceDN w:val="0"/>
              <w:adjustRightInd w:val="0"/>
              <w:spacing w:line="400" w:lineRule="exact"/>
              <w:jc w:val="left"/>
              <w:rPr>
                <w:rFonts w:eastAsia="黑体"/>
                <w:sz w:val="20"/>
              </w:rPr>
            </w:pPr>
            <w:r>
              <w:rPr>
                <w:rFonts w:hint="eastAsia" w:eastAsia="黑体"/>
                <w:sz w:val="20"/>
              </w:rPr>
              <w:t>3.2植被类型</w:t>
            </w:r>
          </w:p>
          <w:p>
            <w:pPr>
              <w:adjustRightInd w:val="0"/>
              <w:snapToGrid w:val="0"/>
              <w:spacing w:line="400" w:lineRule="exact"/>
              <w:ind w:firstLine="420" w:firstLineChars="200"/>
              <w:rPr>
                <w:szCs w:val="21"/>
              </w:rPr>
            </w:pPr>
            <w:r>
              <w:rPr>
                <w:rFonts w:hint="eastAsia"/>
                <w:szCs w:val="21"/>
              </w:rPr>
              <w:t>根据引用《四川达州普光经济开发区总体规划（2019~2035）环境影响报告书》（报批稿）：宣汉县植物种类多，种群丰富，植物区系以亚热带区系为主，据不完全统计，野生高等植物有75科，400余种。林间菌类、草本、蕨类、藤本等植物1100余种。海拔700-1400米地带，多形成以马尾松或麻栎、枫香、杜鹃、青枫、杉木混交。海拔1500米以上柳杉、漆树、刺楸、灯笼树、亮叶桦、灯台树、化香、山杨、水杉、华山松、落叶松、冷杉、香樟、楠木为主，常有铁杉及高山栎混生。其余象苔藓植物、蕨类植物、裸子植物、被子植物更是群落结构复杂，门科繁多。国家和省重点保护植物主要集中分布在巴山大峡谷中高山地带，普光经开区规划范围基本不涉及。</w:t>
            </w:r>
          </w:p>
          <w:p>
            <w:pPr>
              <w:adjustRightInd w:val="0"/>
              <w:snapToGrid w:val="0"/>
              <w:spacing w:line="400" w:lineRule="exact"/>
              <w:ind w:firstLine="420" w:firstLineChars="200"/>
              <w:rPr>
                <w:szCs w:val="21"/>
              </w:rPr>
            </w:pPr>
            <w:r>
              <w:rPr>
                <w:rFonts w:hint="eastAsia"/>
                <w:szCs w:val="21"/>
              </w:rPr>
              <w:t>本项目建设对区域生态环境影响的影响主要是在管道沿线施工作业带，评价区域内主要为林地、耕地、农用地，地表植被主要为乔木、灌木以及草本等。</w:t>
            </w:r>
            <w:r>
              <w:rPr>
                <w:szCs w:val="21"/>
              </w:rPr>
              <w:t>依据《中国植被》(1980)的植被型、植被亚型和群系分类体系，评价区的自然植被可分为5个植被型，5个植被亚型和6个群系。</w:t>
            </w:r>
          </w:p>
          <w:p>
            <w:pPr>
              <w:spacing w:line="400" w:lineRule="exact"/>
              <w:jc w:val="center"/>
              <w:rPr>
                <w:rFonts w:ascii="黑体" w:hAnsi="黑体" w:eastAsia="黑体"/>
                <w:sz w:val="18"/>
                <w:szCs w:val="18"/>
              </w:rPr>
            </w:pPr>
            <w:r>
              <w:rPr>
                <w:rFonts w:ascii="黑体" w:hAnsi="黑体" w:eastAsia="黑体"/>
                <w:sz w:val="18"/>
                <w:szCs w:val="18"/>
              </w:rPr>
              <w:t>表</w:t>
            </w:r>
            <w:r>
              <w:rPr>
                <w:rFonts w:hint="eastAsia" w:ascii="黑体" w:hAnsi="黑体" w:eastAsia="黑体"/>
                <w:sz w:val="18"/>
                <w:szCs w:val="18"/>
              </w:rPr>
              <w:t xml:space="preserve">3-1    </w:t>
            </w:r>
            <w:r>
              <w:rPr>
                <w:rFonts w:ascii="黑体" w:hAnsi="黑体" w:eastAsia="黑体"/>
                <w:sz w:val="18"/>
                <w:szCs w:val="18"/>
              </w:rPr>
              <w:t>评价区植被类型</w:t>
            </w:r>
          </w:p>
          <w:tbl>
            <w:tblPr>
              <w:tblStyle w:val="17"/>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925"/>
              <w:gridCol w:w="1731"/>
              <w:gridCol w:w="3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151" w:type="dxa"/>
                  <w:vAlign w:val="center"/>
                </w:tcPr>
                <w:p>
                  <w:pPr>
                    <w:wordWrap w:val="0"/>
                    <w:adjustRightInd w:val="0"/>
                    <w:snapToGrid w:val="0"/>
                    <w:spacing w:line="300" w:lineRule="exact"/>
                    <w:ind w:left="-53" w:leftChars="-25" w:right="-53" w:rightChars="-25"/>
                    <w:jc w:val="center"/>
                    <w:rPr>
                      <w:b/>
                      <w:bCs/>
                      <w:spacing w:val="-4"/>
                      <w:sz w:val="18"/>
                      <w:szCs w:val="18"/>
                    </w:rPr>
                  </w:pPr>
                  <w:r>
                    <w:rPr>
                      <w:b/>
                      <w:bCs/>
                      <w:spacing w:val="-4"/>
                      <w:sz w:val="18"/>
                      <w:szCs w:val="18"/>
                    </w:rPr>
                    <w:t>植 被 型</w:t>
                  </w:r>
                </w:p>
              </w:tc>
              <w:tc>
                <w:tcPr>
                  <w:tcW w:w="1925" w:type="dxa"/>
                  <w:vAlign w:val="center"/>
                </w:tcPr>
                <w:p>
                  <w:pPr>
                    <w:wordWrap w:val="0"/>
                    <w:adjustRightInd w:val="0"/>
                    <w:snapToGrid w:val="0"/>
                    <w:spacing w:line="300" w:lineRule="exact"/>
                    <w:ind w:left="-53" w:leftChars="-25" w:right="-53" w:rightChars="-25"/>
                    <w:jc w:val="center"/>
                    <w:rPr>
                      <w:b/>
                      <w:bCs/>
                      <w:spacing w:val="-4"/>
                      <w:sz w:val="18"/>
                      <w:szCs w:val="18"/>
                    </w:rPr>
                  </w:pPr>
                  <w:r>
                    <w:rPr>
                      <w:b/>
                      <w:bCs/>
                      <w:spacing w:val="-4"/>
                      <w:sz w:val="18"/>
                      <w:szCs w:val="18"/>
                    </w:rPr>
                    <w:t>植被亚型</w:t>
                  </w:r>
                </w:p>
              </w:tc>
              <w:tc>
                <w:tcPr>
                  <w:tcW w:w="1731" w:type="dxa"/>
                  <w:vAlign w:val="center"/>
                </w:tcPr>
                <w:p>
                  <w:pPr>
                    <w:wordWrap w:val="0"/>
                    <w:adjustRightInd w:val="0"/>
                    <w:snapToGrid w:val="0"/>
                    <w:spacing w:line="300" w:lineRule="exact"/>
                    <w:ind w:left="-53" w:leftChars="-25" w:right="-53" w:rightChars="-25"/>
                    <w:jc w:val="center"/>
                    <w:rPr>
                      <w:b/>
                      <w:bCs/>
                      <w:spacing w:val="-4"/>
                      <w:sz w:val="18"/>
                      <w:szCs w:val="18"/>
                    </w:rPr>
                  </w:pPr>
                  <w:r>
                    <w:rPr>
                      <w:b/>
                      <w:bCs/>
                      <w:spacing w:val="-4"/>
                      <w:sz w:val="18"/>
                      <w:szCs w:val="18"/>
                    </w:rPr>
                    <w:t>群 系 组</w:t>
                  </w:r>
                </w:p>
              </w:tc>
              <w:tc>
                <w:tcPr>
                  <w:tcW w:w="3190" w:type="dxa"/>
                  <w:vAlign w:val="center"/>
                </w:tcPr>
                <w:p>
                  <w:pPr>
                    <w:wordWrap w:val="0"/>
                    <w:adjustRightInd w:val="0"/>
                    <w:snapToGrid w:val="0"/>
                    <w:spacing w:line="300" w:lineRule="exact"/>
                    <w:ind w:left="-53" w:leftChars="-25" w:right="-53" w:rightChars="-25"/>
                    <w:jc w:val="center"/>
                    <w:rPr>
                      <w:b/>
                      <w:bCs/>
                      <w:spacing w:val="-4"/>
                      <w:sz w:val="18"/>
                      <w:szCs w:val="18"/>
                    </w:rPr>
                  </w:pPr>
                  <w:r>
                    <w:rPr>
                      <w:b/>
                      <w:bCs/>
                      <w:spacing w:val="-4"/>
                      <w:sz w:val="18"/>
                      <w:szCs w:val="18"/>
                    </w:rPr>
                    <w:t>群   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151" w:type="dxa"/>
                  <w:vMerge w:val="restart"/>
                  <w:vAlign w:val="center"/>
                </w:tcPr>
                <w:p>
                  <w:pPr>
                    <w:wordWrap w:val="0"/>
                    <w:adjustRightInd w:val="0"/>
                    <w:snapToGrid w:val="0"/>
                    <w:spacing w:line="300" w:lineRule="exact"/>
                    <w:ind w:left="-53" w:leftChars="-25" w:right="-53" w:rightChars="-25"/>
                    <w:rPr>
                      <w:spacing w:val="-4"/>
                      <w:sz w:val="18"/>
                      <w:szCs w:val="18"/>
                    </w:rPr>
                  </w:pPr>
                  <w:r>
                    <w:rPr>
                      <w:rFonts w:hint="eastAsia" w:ascii="宋体" w:hAnsi="宋体" w:cs="宋体"/>
                      <w:spacing w:val="-4"/>
                      <w:sz w:val="18"/>
                      <w:szCs w:val="18"/>
                    </w:rPr>
                    <w:t>Ⅰ</w:t>
                  </w:r>
                  <w:r>
                    <w:rPr>
                      <w:spacing w:val="-4"/>
                      <w:sz w:val="18"/>
                      <w:szCs w:val="18"/>
                    </w:rPr>
                    <w:t>.针叶林</w:t>
                  </w:r>
                </w:p>
              </w:tc>
              <w:tc>
                <w:tcPr>
                  <w:tcW w:w="1925" w:type="dxa"/>
                  <w:vMerge w:val="restart"/>
                  <w:vAlign w:val="center"/>
                </w:tcPr>
                <w:p>
                  <w:pPr>
                    <w:wordWrap w:val="0"/>
                    <w:adjustRightInd w:val="0"/>
                    <w:snapToGrid w:val="0"/>
                    <w:spacing w:line="300" w:lineRule="exact"/>
                    <w:ind w:left="-53" w:leftChars="-25" w:right="-53" w:rightChars="-25"/>
                    <w:rPr>
                      <w:spacing w:val="-4"/>
                      <w:sz w:val="18"/>
                      <w:szCs w:val="18"/>
                    </w:rPr>
                  </w:pPr>
                  <w:r>
                    <w:rPr>
                      <w:spacing w:val="-4"/>
                      <w:sz w:val="18"/>
                      <w:szCs w:val="18"/>
                    </w:rPr>
                    <w:t>一、亚热带常绿针叶林</w:t>
                  </w:r>
                </w:p>
              </w:tc>
              <w:tc>
                <w:tcPr>
                  <w:tcW w:w="1731" w:type="dxa"/>
                  <w:vAlign w:val="center"/>
                </w:tcPr>
                <w:p>
                  <w:pPr>
                    <w:wordWrap w:val="0"/>
                    <w:adjustRightInd w:val="0"/>
                    <w:snapToGrid w:val="0"/>
                    <w:spacing w:line="300" w:lineRule="exact"/>
                    <w:ind w:left="-53" w:leftChars="-25" w:right="-53" w:rightChars="-25"/>
                    <w:rPr>
                      <w:spacing w:val="-4"/>
                      <w:sz w:val="18"/>
                      <w:szCs w:val="18"/>
                    </w:rPr>
                  </w:pPr>
                  <w:r>
                    <w:rPr>
                      <w:spacing w:val="-4"/>
                      <w:sz w:val="18"/>
                      <w:szCs w:val="18"/>
                    </w:rPr>
                    <w:t>（一）松林</w:t>
                  </w:r>
                </w:p>
              </w:tc>
              <w:tc>
                <w:tcPr>
                  <w:tcW w:w="3190" w:type="dxa"/>
                  <w:vAlign w:val="center"/>
                </w:tcPr>
                <w:p>
                  <w:pPr>
                    <w:wordWrap w:val="0"/>
                    <w:adjustRightInd w:val="0"/>
                    <w:snapToGrid w:val="0"/>
                    <w:spacing w:line="300" w:lineRule="exact"/>
                    <w:ind w:left="-53" w:leftChars="-25" w:right="-53" w:rightChars="-25"/>
                    <w:rPr>
                      <w:spacing w:val="-4"/>
                      <w:sz w:val="18"/>
                      <w:szCs w:val="18"/>
                    </w:rPr>
                  </w:pPr>
                  <w:r>
                    <w:rPr>
                      <w:spacing w:val="-4"/>
                      <w:sz w:val="18"/>
                      <w:szCs w:val="18"/>
                    </w:rPr>
                    <w:t>1. 马尾松林（Form.</w:t>
                  </w:r>
                  <w:r>
                    <w:rPr>
                      <w:i/>
                      <w:iCs/>
                      <w:spacing w:val="-4"/>
                      <w:sz w:val="18"/>
                      <w:szCs w:val="18"/>
                    </w:rPr>
                    <w:t xml:space="preserve"> Pinus massoniana</w:t>
                  </w:r>
                  <w:r>
                    <w:rPr>
                      <w:spacing w:val="-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151" w:type="dxa"/>
                  <w:vMerge w:val="continue"/>
                  <w:vAlign w:val="center"/>
                </w:tcPr>
                <w:p>
                  <w:pPr>
                    <w:widowControl/>
                    <w:wordWrap w:val="0"/>
                    <w:spacing w:line="300" w:lineRule="exact"/>
                    <w:ind w:left="-53" w:leftChars="-25" w:right="-53" w:rightChars="-25"/>
                    <w:rPr>
                      <w:spacing w:val="-4"/>
                      <w:sz w:val="18"/>
                      <w:szCs w:val="18"/>
                    </w:rPr>
                  </w:pPr>
                </w:p>
              </w:tc>
              <w:tc>
                <w:tcPr>
                  <w:tcW w:w="1925" w:type="dxa"/>
                  <w:vMerge w:val="continue"/>
                  <w:vAlign w:val="center"/>
                </w:tcPr>
                <w:p>
                  <w:pPr>
                    <w:widowControl/>
                    <w:wordWrap w:val="0"/>
                    <w:spacing w:line="300" w:lineRule="exact"/>
                    <w:ind w:left="-53" w:leftChars="-25" w:right="-53" w:rightChars="-25"/>
                    <w:rPr>
                      <w:spacing w:val="-4"/>
                      <w:sz w:val="18"/>
                      <w:szCs w:val="18"/>
                    </w:rPr>
                  </w:pPr>
                </w:p>
              </w:tc>
              <w:tc>
                <w:tcPr>
                  <w:tcW w:w="1731" w:type="dxa"/>
                  <w:vAlign w:val="center"/>
                </w:tcPr>
                <w:p>
                  <w:pPr>
                    <w:wordWrap w:val="0"/>
                    <w:adjustRightInd w:val="0"/>
                    <w:snapToGrid w:val="0"/>
                    <w:spacing w:line="300" w:lineRule="exact"/>
                    <w:ind w:left="-53" w:leftChars="-25" w:right="-53" w:rightChars="-25"/>
                    <w:rPr>
                      <w:spacing w:val="-4"/>
                      <w:sz w:val="18"/>
                      <w:szCs w:val="18"/>
                    </w:rPr>
                  </w:pPr>
                  <w:r>
                    <w:rPr>
                      <w:spacing w:val="-4"/>
                      <w:sz w:val="18"/>
                      <w:szCs w:val="18"/>
                    </w:rPr>
                    <w:t>（二）柏木林</w:t>
                  </w:r>
                </w:p>
              </w:tc>
              <w:tc>
                <w:tcPr>
                  <w:tcW w:w="3190" w:type="dxa"/>
                  <w:vAlign w:val="center"/>
                </w:tcPr>
                <w:p>
                  <w:pPr>
                    <w:wordWrap w:val="0"/>
                    <w:adjustRightInd w:val="0"/>
                    <w:snapToGrid w:val="0"/>
                    <w:spacing w:line="300" w:lineRule="exact"/>
                    <w:ind w:left="-53" w:leftChars="-25" w:right="-53" w:rightChars="-25"/>
                    <w:rPr>
                      <w:spacing w:val="-4"/>
                      <w:sz w:val="18"/>
                      <w:szCs w:val="18"/>
                    </w:rPr>
                  </w:pPr>
                  <w:r>
                    <w:rPr>
                      <w:spacing w:val="-4"/>
                      <w:sz w:val="18"/>
                      <w:szCs w:val="18"/>
                    </w:rPr>
                    <w:t xml:space="preserve">2. 柏木林（Form. </w:t>
                  </w:r>
                  <w:r>
                    <w:rPr>
                      <w:i/>
                      <w:iCs/>
                      <w:spacing w:val="-4"/>
                      <w:sz w:val="18"/>
                      <w:szCs w:val="18"/>
                    </w:rPr>
                    <w:t>Cupressus funebris</w:t>
                  </w:r>
                  <w:r>
                    <w:rPr>
                      <w:spacing w:val="-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151" w:type="dxa"/>
                  <w:vAlign w:val="center"/>
                </w:tcPr>
                <w:p>
                  <w:pPr>
                    <w:wordWrap w:val="0"/>
                    <w:adjustRightInd w:val="0"/>
                    <w:snapToGrid w:val="0"/>
                    <w:spacing w:line="300" w:lineRule="exact"/>
                    <w:ind w:right="-53" w:rightChars="-25"/>
                    <w:rPr>
                      <w:spacing w:val="-4"/>
                      <w:sz w:val="18"/>
                      <w:szCs w:val="18"/>
                    </w:rPr>
                  </w:pPr>
                  <w:r>
                    <w:rPr>
                      <w:rFonts w:hint="eastAsia" w:ascii="宋体" w:hAnsi="宋体" w:cs="宋体"/>
                      <w:spacing w:val="-4"/>
                      <w:sz w:val="18"/>
                      <w:szCs w:val="18"/>
                    </w:rPr>
                    <w:t>Ⅱ</w:t>
                  </w:r>
                  <w:r>
                    <w:rPr>
                      <w:spacing w:val="-4"/>
                      <w:sz w:val="18"/>
                      <w:szCs w:val="18"/>
                    </w:rPr>
                    <w:t>.灌丛</w:t>
                  </w:r>
                </w:p>
              </w:tc>
              <w:tc>
                <w:tcPr>
                  <w:tcW w:w="1925" w:type="dxa"/>
                  <w:vAlign w:val="center"/>
                </w:tcPr>
                <w:p>
                  <w:pPr>
                    <w:wordWrap w:val="0"/>
                    <w:adjustRightInd w:val="0"/>
                    <w:snapToGrid w:val="0"/>
                    <w:spacing w:line="300" w:lineRule="exact"/>
                    <w:ind w:left="-53" w:leftChars="-25" w:right="-53" w:rightChars="-25"/>
                    <w:rPr>
                      <w:spacing w:val="-4"/>
                      <w:sz w:val="18"/>
                      <w:szCs w:val="18"/>
                    </w:rPr>
                  </w:pPr>
                  <w:r>
                    <w:rPr>
                      <w:spacing w:val="-4"/>
                      <w:sz w:val="18"/>
                      <w:szCs w:val="18"/>
                    </w:rPr>
                    <w:t>二、山地灌丛</w:t>
                  </w:r>
                </w:p>
              </w:tc>
              <w:tc>
                <w:tcPr>
                  <w:tcW w:w="1731" w:type="dxa"/>
                  <w:vAlign w:val="center"/>
                </w:tcPr>
                <w:p>
                  <w:pPr>
                    <w:wordWrap w:val="0"/>
                    <w:adjustRightInd w:val="0"/>
                    <w:snapToGrid w:val="0"/>
                    <w:spacing w:line="300" w:lineRule="exact"/>
                    <w:ind w:left="-53" w:leftChars="-25" w:right="-53" w:rightChars="-25"/>
                    <w:rPr>
                      <w:spacing w:val="-4"/>
                      <w:sz w:val="18"/>
                      <w:szCs w:val="18"/>
                    </w:rPr>
                  </w:pPr>
                  <w:r>
                    <w:rPr>
                      <w:spacing w:val="-4"/>
                      <w:sz w:val="18"/>
                      <w:szCs w:val="18"/>
                    </w:rPr>
                    <w:t>（三）落叶阔叶灌丛</w:t>
                  </w:r>
                </w:p>
              </w:tc>
              <w:tc>
                <w:tcPr>
                  <w:tcW w:w="3190" w:type="dxa"/>
                  <w:vAlign w:val="center"/>
                </w:tcPr>
                <w:p>
                  <w:pPr>
                    <w:wordWrap w:val="0"/>
                    <w:adjustRightInd w:val="0"/>
                    <w:snapToGrid w:val="0"/>
                    <w:spacing w:line="300" w:lineRule="exact"/>
                    <w:ind w:left="-53" w:leftChars="-25" w:right="-53" w:rightChars="-25"/>
                    <w:rPr>
                      <w:spacing w:val="-4"/>
                      <w:sz w:val="18"/>
                      <w:szCs w:val="18"/>
                    </w:rPr>
                  </w:pPr>
                  <w:r>
                    <w:rPr>
                      <w:spacing w:val="-4"/>
                      <w:sz w:val="18"/>
                      <w:szCs w:val="18"/>
                    </w:rPr>
                    <w:t xml:space="preserve">5. 火棘灌丛（Form. </w:t>
                  </w:r>
                  <w:r>
                    <w:rPr>
                      <w:i/>
                      <w:iCs/>
                      <w:spacing w:val="-4"/>
                      <w:kern w:val="0"/>
                      <w:sz w:val="18"/>
                      <w:szCs w:val="18"/>
                    </w:rPr>
                    <w:t>Pyracantha Roem</w:t>
                  </w:r>
                  <w:r>
                    <w:rPr>
                      <w:spacing w:val="-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51" w:type="dxa"/>
                  <w:vAlign w:val="center"/>
                </w:tcPr>
                <w:p>
                  <w:pPr>
                    <w:wordWrap w:val="0"/>
                    <w:adjustRightInd w:val="0"/>
                    <w:snapToGrid w:val="0"/>
                    <w:spacing w:line="300" w:lineRule="exact"/>
                    <w:ind w:left="-53" w:leftChars="-25" w:right="-53" w:rightChars="-25"/>
                    <w:rPr>
                      <w:spacing w:val="-4"/>
                      <w:sz w:val="18"/>
                      <w:szCs w:val="18"/>
                    </w:rPr>
                  </w:pPr>
                  <w:r>
                    <w:rPr>
                      <w:rFonts w:hint="eastAsia" w:ascii="宋体" w:hAnsi="宋体" w:cs="宋体"/>
                      <w:spacing w:val="-4"/>
                      <w:sz w:val="18"/>
                      <w:szCs w:val="18"/>
                    </w:rPr>
                    <w:t>Ⅲ</w:t>
                  </w:r>
                  <w:r>
                    <w:rPr>
                      <w:spacing w:val="-4"/>
                      <w:sz w:val="18"/>
                      <w:szCs w:val="18"/>
                    </w:rPr>
                    <w:t>.稀树草丛</w:t>
                  </w:r>
                </w:p>
              </w:tc>
              <w:tc>
                <w:tcPr>
                  <w:tcW w:w="1925" w:type="dxa"/>
                  <w:vAlign w:val="center"/>
                </w:tcPr>
                <w:p>
                  <w:pPr>
                    <w:wordWrap w:val="0"/>
                    <w:adjustRightInd w:val="0"/>
                    <w:snapToGrid w:val="0"/>
                    <w:spacing w:line="300" w:lineRule="exact"/>
                    <w:ind w:left="-53" w:leftChars="-25" w:right="-53" w:rightChars="-25"/>
                    <w:rPr>
                      <w:spacing w:val="-4"/>
                      <w:sz w:val="18"/>
                      <w:szCs w:val="18"/>
                    </w:rPr>
                  </w:pPr>
                  <w:r>
                    <w:rPr>
                      <w:spacing w:val="-4"/>
                      <w:sz w:val="18"/>
                      <w:szCs w:val="18"/>
                    </w:rPr>
                    <w:t>三、山地草丛</w:t>
                  </w:r>
                </w:p>
              </w:tc>
              <w:tc>
                <w:tcPr>
                  <w:tcW w:w="1731" w:type="dxa"/>
                  <w:vAlign w:val="center"/>
                </w:tcPr>
                <w:p>
                  <w:pPr>
                    <w:wordWrap w:val="0"/>
                    <w:adjustRightInd w:val="0"/>
                    <w:snapToGrid w:val="0"/>
                    <w:spacing w:line="300" w:lineRule="exact"/>
                    <w:ind w:left="-53" w:leftChars="-25" w:right="-53" w:rightChars="-25"/>
                    <w:rPr>
                      <w:spacing w:val="-4"/>
                      <w:sz w:val="18"/>
                      <w:szCs w:val="18"/>
                    </w:rPr>
                  </w:pPr>
                  <w:r>
                    <w:rPr>
                      <w:spacing w:val="-4"/>
                      <w:sz w:val="18"/>
                      <w:szCs w:val="18"/>
                    </w:rPr>
                    <w:t>（四）禾草草丛</w:t>
                  </w:r>
                </w:p>
              </w:tc>
              <w:tc>
                <w:tcPr>
                  <w:tcW w:w="3190" w:type="dxa"/>
                  <w:vAlign w:val="center"/>
                </w:tcPr>
                <w:p>
                  <w:pPr>
                    <w:wordWrap w:val="0"/>
                    <w:adjustRightInd w:val="0"/>
                    <w:snapToGrid w:val="0"/>
                    <w:spacing w:line="300" w:lineRule="exact"/>
                    <w:ind w:left="-53" w:leftChars="-25" w:right="-53" w:rightChars="-25"/>
                    <w:rPr>
                      <w:spacing w:val="-4"/>
                      <w:sz w:val="18"/>
                      <w:szCs w:val="18"/>
                    </w:rPr>
                  </w:pPr>
                  <w:r>
                    <w:rPr>
                      <w:spacing w:val="-4"/>
                      <w:sz w:val="18"/>
                      <w:szCs w:val="18"/>
                    </w:rPr>
                    <w:t xml:space="preserve">6. 白茅、黄茅、狗牙根等杂草丛（Form. </w:t>
                  </w:r>
                  <w:r>
                    <w:rPr>
                      <w:i/>
                      <w:iCs/>
                      <w:spacing w:val="-4"/>
                      <w:sz w:val="18"/>
                      <w:szCs w:val="18"/>
                    </w:rPr>
                    <w:t>Imperata、Heteropogon</w:t>
                  </w:r>
                  <w:r>
                    <w:rPr>
                      <w:rFonts w:hint="eastAsia"/>
                      <w:i/>
                      <w:iCs/>
                      <w:spacing w:val="-4"/>
                      <w:sz w:val="18"/>
                      <w:szCs w:val="18"/>
                    </w:rPr>
                    <w:t>、</w:t>
                  </w:r>
                  <w:r>
                    <w:rPr>
                      <w:i/>
                      <w:iCs/>
                      <w:spacing w:val="-4"/>
                      <w:sz w:val="18"/>
                      <w:szCs w:val="18"/>
                    </w:rPr>
                    <w:t xml:space="preserve"> Cynodon</w:t>
                  </w:r>
                  <w:r>
                    <w:rPr>
                      <w:spacing w:val="-4"/>
                      <w:sz w:val="18"/>
                      <w:szCs w:val="18"/>
                    </w:rPr>
                    <w:t>）</w:t>
                  </w:r>
                </w:p>
              </w:tc>
            </w:tr>
          </w:tbl>
          <w:p>
            <w:pPr>
              <w:pStyle w:val="43"/>
              <w:spacing w:line="400" w:lineRule="exact"/>
              <w:ind w:firstLine="420"/>
              <w:rPr>
                <w:sz w:val="21"/>
                <w:szCs w:val="21"/>
                <w:lang w:val="en-US"/>
              </w:rPr>
            </w:pPr>
            <w:r>
              <w:rPr>
                <w:rFonts w:hint="eastAsia"/>
                <w:sz w:val="21"/>
                <w:szCs w:val="21"/>
              </w:rPr>
              <w:t>本项目生态影响区域范围无国家重点保护野生植物。</w:t>
            </w:r>
          </w:p>
          <w:p>
            <w:pPr>
              <w:autoSpaceDE w:val="0"/>
              <w:autoSpaceDN w:val="0"/>
              <w:adjustRightInd w:val="0"/>
              <w:spacing w:line="400" w:lineRule="exact"/>
              <w:jc w:val="left"/>
              <w:rPr>
                <w:rFonts w:eastAsia="黑体"/>
                <w:sz w:val="20"/>
              </w:rPr>
            </w:pPr>
            <w:r>
              <w:rPr>
                <w:rFonts w:hint="eastAsia" w:eastAsia="黑体"/>
                <w:sz w:val="20"/>
              </w:rPr>
              <w:t>3.3区域动物现状</w:t>
            </w:r>
          </w:p>
          <w:p>
            <w:pPr>
              <w:adjustRightInd w:val="0"/>
              <w:snapToGrid w:val="0"/>
              <w:spacing w:line="400" w:lineRule="exact"/>
              <w:ind w:firstLine="420" w:firstLineChars="200"/>
              <w:jc w:val="left"/>
              <w:rPr>
                <w:szCs w:val="21"/>
              </w:rPr>
            </w:pPr>
            <w:r>
              <w:rPr>
                <w:rFonts w:hint="eastAsia"/>
                <w:szCs w:val="21"/>
              </w:rPr>
              <w:t>根据引用《四川达州普光经济开发区总体规划（2019~2035）环境影响报告书》（报批稿）：宣汉县境内野生动物品种繁多，约有400余种，主要集中分布在巴山大峡谷中高山地带，其中脊椎动物多达252种，属鸟纲54种，珍稀野生动物30种，其中属国家重点保护的有23种，属珍稀水生动物的6余种。属国家一类保护有蟒、豹、黑鹳、白鹳、大鸨、小鸨、林麝、班羚、小麂；属二类保护的有大鲵、红腹锦鸡、鬣羚、白冠长尾雉、黑头角雉、白腹锦鸡、猕猴、岩羊、黄羊、大灵猫、小灵猫、鸳鸯、大鵟、豺；属三类保护的有獐、狐、狸、麂、刺猬、猫头鹰、王锦蛇、藏马鸡、青羊、毛冠鹿等。宣汉县现有百里峡省级自然保护区1处，观音山和五马槽县级野生动植物自然保护区2处。</w:t>
            </w:r>
            <w:r>
              <w:rPr>
                <w:rFonts w:hint="eastAsia"/>
                <w:b/>
                <w:szCs w:val="21"/>
              </w:rPr>
              <w:t>根据当地资料统计，普光经开区规划范围内无珍稀濒危物种。区内分布主要为饲养型动物，家畜猪、牛、羊为主，宣汉黄牛为国家地方役牛良种。</w:t>
            </w:r>
          </w:p>
          <w:p>
            <w:pPr>
              <w:adjustRightInd w:val="0"/>
              <w:snapToGrid w:val="0"/>
              <w:spacing w:line="400" w:lineRule="exact"/>
              <w:ind w:firstLine="420" w:firstLineChars="200"/>
              <w:jc w:val="left"/>
              <w:rPr>
                <w:szCs w:val="21"/>
              </w:rPr>
            </w:pPr>
            <w:r>
              <w:rPr>
                <w:rFonts w:hint="eastAsia"/>
                <w:szCs w:val="21"/>
              </w:rPr>
              <w:t>项目管线工程生态影响评价区域，野生脊椎动物种类相对较少，评价区内的两栖、爬行动物、兽类的种类和数量均较少。根据调查资料及访问结果，并检索现有文献资料，评价区共有陆生脊椎动物7种，其中两栖动物共有2种，分隶1目1科；爬行动物共有2种，分隶1目1科；鸟类3种，分隶1目3科。</w:t>
            </w:r>
          </w:p>
          <w:p>
            <w:pPr>
              <w:adjustRightInd w:val="0"/>
              <w:snapToGrid w:val="0"/>
              <w:spacing w:line="400" w:lineRule="exact"/>
              <w:jc w:val="center"/>
              <w:rPr>
                <w:rFonts w:ascii="黑体" w:hAnsi="黑体" w:eastAsia="黑体"/>
                <w:bCs/>
                <w:sz w:val="18"/>
                <w:szCs w:val="20"/>
              </w:rPr>
            </w:pPr>
            <w:r>
              <w:rPr>
                <w:rFonts w:ascii="黑体" w:hAnsi="黑体" w:eastAsia="黑体"/>
                <w:bCs/>
                <w:sz w:val="18"/>
                <w:szCs w:val="20"/>
              </w:rPr>
              <w:t>表</w:t>
            </w:r>
            <w:r>
              <w:rPr>
                <w:rFonts w:hint="eastAsia" w:ascii="黑体" w:hAnsi="黑体" w:eastAsia="黑体"/>
                <w:bCs/>
                <w:sz w:val="18"/>
                <w:szCs w:val="20"/>
              </w:rPr>
              <w:t xml:space="preserve">3-2  </w:t>
            </w:r>
            <w:r>
              <w:rPr>
                <w:rFonts w:ascii="黑体" w:hAnsi="黑体" w:eastAsia="黑体"/>
                <w:bCs/>
                <w:sz w:val="18"/>
                <w:szCs w:val="20"/>
              </w:rPr>
              <w:t xml:space="preserve">  评价区域脊椎动物种类统计表</w:t>
            </w:r>
          </w:p>
          <w:tbl>
            <w:tblPr>
              <w:tblStyle w:val="17"/>
              <w:tblW w:w="7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1256"/>
              <w:gridCol w:w="1251"/>
              <w:gridCol w:w="1257"/>
              <w:gridCol w:w="1251"/>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833" w:type="pct"/>
                  <w:vMerge w:val="restar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Calibri"/>
                      <w:sz w:val="18"/>
                      <w:szCs w:val="18"/>
                    </w:rPr>
                  </w:pPr>
                  <w:r>
                    <w:rPr>
                      <w:sz w:val="18"/>
                      <w:szCs w:val="18"/>
                    </w:rPr>
                    <w:t>类群</w:t>
                  </w:r>
                </w:p>
              </w:tc>
              <w:tc>
                <w:tcPr>
                  <w:tcW w:w="2503" w:type="pct"/>
                  <w:gridSpan w:val="3"/>
                  <w:tcBorders>
                    <w:top w:val="single" w:color="auto" w:sz="4" w:space="0"/>
                    <w:left w:val="nil"/>
                    <w:bottom w:val="single" w:color="auto" w:sz="4" w:space="0"/>
                    <w:right w:val="single" w:color="auto" w:sz="4" w:space="0"/>
                  </w:tcBorders>
                  <w:vAlign w:val="center"/>
                </w:tcPr>
                <w:p>
                  <w:pPr>
                    <w:spacing w:line="300" w:lineRule="exact"/>
                    <w:jc w:val="center"/>
                    <w:rPr>
                      <w:rFonts w:hAnsi="Calibri"/>
                      <w:sz w:val="18"/>
                      <w:szCs w:val="18"/>
                    </w:rPr>
                  </w:pPr>
                  <w:r>
                    <w:rPr>
                      <w:sz w:val="18"/>
                      <w:szCs w:val="18"/>
                    </w:rPr>
                    <w:t>物种丰富度</w:t>
                  </w:r>
                </w:p>
              </w:tc>
              <w:tc>
                <w:tcPr>
                  <w:tcW w:w="1663" w:type="pct"/>
                  <w:gridSpan w:val="2"/>
                  <w:tcBorders>
                    <w:top w:val="single" w:color="auto" w:sz="4" w:space="0"/>
                    <w:left w:val="nil"/>
                    <w:bottom w:val="single" w:color="auto" w:sz="4" w:space="0"/>
                    <w:right w:val="single" w:color="auto" w:sz="4" w:space="0"/>
                  </w:tcBorders>
                  <w:vAlign w:val="center"/>
                </w:tcPr>
                <w:p>
                  <w:pPr>
                    <w:spacing w:line="300" w:lineRule="exact"/>
                    <w:jc w:val="center"/>
                    <w:rPr>
                      <w:rFonts w:hAnsi="Calibri"/>
                      <w:sz w:val="18"/>
                      <w:szCs w:val="18"/>
                    </w:rPr>
                  </w:pPr>
                  <w:r>
                    <w:rPr>
                      <w:sz w:val="18"/>
                      <w:szCs w:val="18"/>
                    </w:rPr>
                    <w:t>国家重点保护种数(</w:t>
                  </w:r>
                  <w:r>
                    <w:rPr>
                      <w:rFonts w:hAnsi="宋体"/>
                      <w:sz w:val="18"/>
                      <w:szCs w:val="18"/>
                    </w:rPr>
                    <w:t>种</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83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Ansi="Calibri"/>
                      <w:sz w:val="18"/>
                      <w:szCs w:val="18"/>
                    </w:rPr>
                  </w:pPr>
                </w:p>
              </w:tc>
              <w:tc>
                <w:tcPr>
                  <w:tcW w:w="835" w:type="pct"/>
                  <w:tcBorders>
                    <w:top w:val="single" w:color="auto" w:sz="4" w:space="0"/>
                    <w:left w:val="nil"/>
                    <w:bottom w:val="single" w:color="auto" w:sz="4" w:space="0"/>
                    <w:right w:val="single" w:color="auto" w:sz="4" w:space="0"/>
                  </w:tcBorders>
                  <w:vAlign w:val="center"/>
                </w:tcPr>
                <w:p>
                  <w:pPr>
                    <w:spacing w:line="300" w:lineRule="exact"/>
                    <w:jc w:val="center"/>
                    <w:rPr>
                      <w:rFonts w:hAnsi="Calibri"/>
                      <w:sz w:val="18"/>
                      <w:szCs w:val="18"/>
                    </w:rPr>
                  </w:pPr>
                  <w:r>
                    <w:rPr>
                      <w:sz w:val="18"/>
                      <w:szCs w:val="18"/>
                    </w:rPr>
                    <w:t>目数</w:t>
                  </w:r>
                </w:p>
              </w:tc>
              <w:tc>
                <w:tcPr>
                  <w:tcW w:w="832" w:type="pct"/>
                  <w:tcBorders>
                    <w:top w:val="single" w:color="auto" w:sz="4" w:space="0"/>
                    <w:left w:val="nil"/>
                    <w:bottom w:val="single" w:color="auto" w:sz="4" w:space="0"/>
                    <w:right w:val="single" w:color="auto" w:sz="4" w:space="0"/>
                  </w:tcBorders>
                  <w:vAlign w:val="center"/>
                </w:tcPr>
                <w:p>
                  <w:pPr>
                    <w:spacing w:line="300" w:lineRule="exact"/>
                    <w:jc w:val="center"/>
                    <w:rPr>
                      <w:rFonts w:hAnsi="Calibri"/>
                      <w:sz w:val="18"/>
                      <w:szCs w:val="18"/>
                    </w:rPr>
                  </w:pPr>
                  <w:r>
                    <w:rPr>
                      <w:sz w:val="18"/>
                      <w:szCs w:val="18"/>
                    </w:rPr>
                    <w:t>科数</w:t>
                  </w:r>
                </w:p>
              </w:tc>
              <w:tc>
                <w:tcPr>
                  <w:tcW w:w="836" w:type="pct"/>
                  <w:tcBorders>
                    <w:top w:val="single" w:color="auto" w:sz="4" w:space="0"/>
                    <w:left w:val="nil"/>
                    <w:bottom w:val="single" w:color="auto" w:sz="4" w:space="0"/>
                    <w:right w:val="single" w:color="auto" w:sz="4" w:space="0"/>
                  </w:tcBorders>
                  <w:vAlign w:val="center"/>
                </w:tcPr>
                <w:p>
                  <w:pPr>
                    <w:spacing w:line="300" w:lineRule="exact"/>
                    <w:jc w:val="center"/>
                    <w:rPr>
                      <w:rFonts w:hAnsi="Calibri"/>
                      <w:sz w:val="18"/>
                      <w:szCs w:val="18"/>
                    </w:rPr>
                  </w:pPr>
                  <w:r>
                    <w:rPr>
                      <w:sz w:val="18"/>
                      <w:szCs w:val="18"/>
                    </w:rPr>
                    <w:t>种数</w:t>
                  </w:r>
                </w:p>
              </w:tc>
              <w:tc>
                <w:tcPr>
                  <w:tcW w:w="832" w:type="pct"/>
                  <w:tcBorders>
                    <w:top w:val="single" w:color="auto" w:sz="4" w:space="0"/>
                    <w:left w:val="nil"/>
                    <w:bottom w:val="single" w:color="auto" w:sz="4" w:space="0"/>
                    <w:right w:val="single" w:color="auto" w:sz="4" w:space="0"/>
                  </w:tcBorders>
                  <w:vAlign w:val="center"/>
                </w:tcPr>
                <w:p>
                  <w:pPr>
                    <w:spacing w:line="300" w:lineRule="exact"/>
                    <w:jc w:val="center"/>
                    <w:rPr>
                      <w:rFonts w:hAnsi="Calibri"/>
                      <w:sz w:val="18"/>
                      <w:szCs w:val="18"/>
                    </w:rPr>
                  </w:pPr>
                  <w:r>
                    <w:rPr>
                      <w:sz w:val="18"/>
                      <w:szCs w:val="18"/>
                    </w:rPr>
                    <w:t>国家</w:t>
                  </w:r>
                  <w:r>
                    <w:rPr>
                      <w:rFonts w:hint="eastAsia" w:hAnsi="宋体"/>
                      <w:sz w:val="18"/>
                      <w:szCs w:val="18"/>
                    </w:rPr>
                    <w:t>Ⅰ</w:t>
                  </w:r>
                  <w:r>
                    <w:rPr>
                      <w:sz w:val="18"/>
                      <w:szCs w:val="18"/>
                    </w:rPr>
                    <w:t>级</w:t>
                  </w:r>
                </w:p>
              </w:tc>
              <w:tc>
                <w:tcPr>
                  <w:tcW w:w="831" w:type="pct"/>
                  <w:tcBorders>
                    <w:top w:val="single" w:color="auto" w:sz="4" w:space="0"/>
                    <w:left w:val="nil"/>
                    <w:bottom w:val="single" w:color="auto" w:sz="4" w:space="0"/>
                    <w:right w:val="single" w:color="auto" w:sz="4" w:space="0"/>
                  </w:tcBorders>
                  <w:vAlign w:val="center"/>
                </w:tcPr>
                <w:p>
                  <w:pPr>
                    <w:spacing w:line="300" w:lineRule="exact"/>
                    <w:jc w:val="center"/>
                    <w:rPr>
                      <w:rFonts w:hAnsi="Calibri"/>
                      <w:sz w:val="18"/>
                      <w:szCs w:val="18"/>
                    </w:rPr>
                  </w:pPr>
                  <w:r>
                    <w:rPr>
                      <w:sz w:val="18"/>
                      <w:szCs w:val="18"/>
                    </w:rPr>
                    <w:t>国家</w:t>
                  </w:r>
                  <w:r>
                    <w:rPr>
                      <w:rFonts w:hint="eastAsia" w:hAnsi="宋体"/>
                      <w:sz w:val="18"/>
                      <w:szCs w:val="18"/>
                    </w:rPr>
                    <w:t>Ⅱ</w:t>
                  </w:r>
                  <w:r>
                    <w:rPr>
                      <w:sz w:val="18"/>
                      <w:szCs w:val="18"/>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833"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b/>
                      <w:bCs/>
                      <w:kern w:val="0"/>
                      <w:sz w:val="18"/>
                      <w:szCs w:val="18"/>
                    </w:rPr>
                  </w:pPr>
                  <w:r>
                    <w:rPr>
                      <w:b/>
                      <w:bCs/>
                      <w:kern w:val="0"/>
                      <w:sz w:val="18"/>
                      <w:szCs w:val="18"/>
                    </w:rPr>
                    <w:t>两栖类</w:t>
                  </w:r>
                </w:p>
              </w:tc>
              <w:tc>
                <w:tcPr>
                  <w:tcW w:w="835"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kern w:val="0"/>
                      <w:sz w:val="18"/>
                      <w:szCs w:val="18"/>
                    </w:rPr>
                    <w:t>1</w:t>
                  </w:r>
                </w:p>
              </w:tc>
              <w:tc>
                <w:tcPr>
                  <w:tcW w:w="832"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rFonts w:hint="eastAsia"/>
                      <w:kern w:val="0"/>
                      <w:sz w:val="18"/>
                      <w:szCs w:val="18"/>
                    </w:rPr>
                    <w:t>1</w:t>
                  </w:r>
                </w:p>
              </w:tc>
              <w:tc>
                <w:tcPr>
                  <w:tcW w:w="836"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rFonts w:hint="eastAsia"/>
                      <w:kern w:val="0"/>
                      <w:sz w:val="18"/>
                      <w:szCs w:val="18"/>
                    </w:rPr>
                    <w:t>2</w:t>
                  </w:r>
                </w:p>
              </w:tc>
              <w:tc>
                <w:tcPr>
                  <w:tcW w:w="832" w:type="pct"/>
                  <w:tcBorders>
                    <w:top w:val="single" w:color="auto" w:sz="4" w:space="0"/>
                    <w:left w:val="nil"/>
                    <w:bottom w:val="single" w:color="auto" w:sz="4" w:space="0"/>
                    <w:right w:val="single" w:color="auto" w:sz="4" w:space="0"/>
                  </w:tcBorders>
                  <w:vAlign w:val="center"/>
                </w:tcPr>
                <w:p>
                  <w:pPr>
                    <w:spacing w:line="300" w:lineRule="exact"/>
                    <w:jc w:val="center"/>
                    <w:rPr>
                      <w:rFonts w:hAnsi="Calibri"/>
                      <w:sz w:val="18"/>
                      <w:szCs w:val="18"/>
                    </w:rPr>
                  </w:pPr>
                  <w:r>
                    <w:rPr>
                      <w:rFonts w:hint="eastAsia" w:hAnsi="Calibri"/>
                      <w:sz w:val="18"/>
                      <w:szCs w:val="18"/>
                    </w:rPr>
                    <w:t>/</w:t>
                  </w:r>
                </w:p>
              </w:tc>
              <w:tc>
                <w:tcPr>
                  <w:tcW w:w="831"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833"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b/>
                      <w:bCs/>
                      <w:kern w:val="0"/>
                      <w:sz w:val="18"/>
                      <w:szCs w:val="18"/>
                    </w:rPr>
                  </w:pPr>
                  <w:r>
                    <w:rPr>
                      <w:b/>
                      <w:bCs/>
                      <w:kern w:val="0"/>
                      <w:sz w:val="18"/>
                      <w:szCs w:val="18"/>
                    </w:rPr>
                    <w:t>爬行类</w:t>
                  </w:r>
                </w:p>
              </w:tc>
              <w:tc>
                <w:tcPr>
                  <w:tcW w:w="835"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kern w:val="0"/>
                      <w:sz w:val="18"/>
                      <w:szCs w:val="18"/>
                    </w:rPr>
                    <w:t>1</w:t>
                  </w:r>
                </w:p>
              </w:tc>
              <w:tc>
                <w:tcPr>
                  <w:tcW w:w="832"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rFonts w:hint="eastAsia"/>
                      <w:kern w:val="0"/>
                      <w:sz w:val="18"/>
                      <w:szCs w:val="18"/>
                    </w:rPr>
                    <w:t>1</w:t>
                  </w:r>
                </w:p>
              </w:tc>
              <w:tc>
                <w:tcPr>
                  <w:tcW w:w="836"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rFonts w:hint="eastAsia"/>
                      <w:kern w:val="0"/>
                      <w:sz w:val="18"/>
                      <w:szCs w:val="18"/>
                    </w:rPr>
                    <w:t>2</w:t>
                  </w:r>
                </w:p>
              </w:tc>
              <w:tc>
                <w:tcPr>
                  <w:tcW w:w="832" w:type="pct"/>
                  <w:tcBorders>
                    <w:top w:val="single" w:color="auto" w:sz="4" w:space="0"/>
                    <w:left w:val="nil"/>
                    <w:bottom w:val="single" w:color="auto" w:sz="4" w:space="0"/>
                    <w:right w:val="single" w:color="auto" w:sz="4" w:space="0"/>
                  </w:tcBorders>
                  <w:vAlign w:val="center"/>
                </w:tcPr>
                <w:p>
                  <w:pPr>
                    <w:spacing w:line="300" w:lineRule="exact"/>
                    <w:jc w:val="center"/>
                    <w:rPr>
                      <w:rFonts w:hAnsi="Calibri"/>
                      <w:sz w:val="18"/>
                      <w:szCs w:val="18"/>
                    </w:rPr>
                  </w:pPr>
                  <w:r>
                    <w:rPr>
                      <w:rFonts w:hint="eastAsia" w:hAnsi="Calibri"/>
                      <w:sz w:val="18"/>
                      <w:szCs w:val="18"/>
                    </w:rPr>
                    <w:t>/</w:t>
                  </w:r>
                </w:p>
              </w:tc>
              <w:tc>
                <w:tcPr>
                  <w:tcW w:w="831"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833"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b/>
                      <w:bCs/>
                      <w:kern w:val="0"/>
                      <w:sz w:val="18"/>
                      <w:szCs w:val="18"/>
                    </w:rPr>
                  </w:pPr>
                  <w:r>
                    <w:rPr>
                      <w:b/>
                      <w:bCs/>
                      <w:kern w:val="0"/>
                      <w:sz w:val="18"/>
                      <w:szCs w:val="18"/>
                    </w:rPr>
                    <w:t>鸟类</w:t>
                  </w:r>
                </w:p>
              </w:tc>
              <w:tc>
                <w:tcPr>
                  <w:tcW w:w="835"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rFonts w:hint="eastAsia"/>
                      <w:kern w:val="0"/>
                      <w:sz w:val="18"/>
                      <w:szCs w:val="18"/>
                    </w:rPr>
                    <w:t>1</w:t>
                  </w:r>
                </w:p>
              </w:tc>
              <w:tc>
                <w:tcPr>
                  <w:tcW w:w="832"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rFonts w:hint="eastAsia"/>
                      <w:kern w:val="0"/>
                      <w:sz w:val="18"/>
                      <w:szCs w:val="18"/>
                    </w:rPr>
                    <w:t>3</w:t>
                  </w:r>
                </w:p>
              </w:tc>
              <w:tc>
                <w:tcPr>
                  <w:tcW w:w="836"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rFonts w:hint="eastAsia"/>
                      <w:kern w:val="0"/>
                      <w:sz w:val="18"/>
                      <w:szCs w:val="18"/>
                    </w:rPr>
                    <w:t>3</w:t>
                  </w:r>
                </w:p>
              </w:tc>
              <w:tc>
                <w:tcPr>
                  <w:tcW w:w="832" w:type="pct"/>
                  <w:tcBorders>
                    <w:top w:val="single" w:color="auto" w:sz="4" w:space="0"/>
                    <w:left w:val="nil"/>
                    <w:bottom w:val="single" w:color="auto" w:sz="4" w:space="0"/>
                    <w:right w:val="single" w:color="auto" w:sz="4" w:space="0"/>
                  </w:tcBorders>
                  <w:vAlign w:val="center"/>
                </w:tcPr>
                <w:p>
                  <w:pPr>
                    <w:spacing w:line="300" w:lineRule="exact"/>
                    <w:jc w:val="center"/>
                    <w:rPr>
                      <w:rFonts w:hAnsi="Calibri"/>
                      <w:sz w:val="18"/>
                      <w:szCs w:val="18"/>
                    </w:rPr>
                  </w:pPr>
                  <w:r>
                    <w:rPr>
                      <w:rFonts w:hint="eastAsia" w:hAnsi="Calibri"/>
                      <w:sz w:val="18"/>
                      <w:szCs w:val="18"/>
                    </w:rPr>
                    <w:t>/</w:t>
                  </w:r>
                </w:p>
              </w:tc>
              <w:tc>
                <w:tcPr>
                  <w:tcW w:w="831"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rFonts w:hint="eastAsia"/>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833"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b/>
                      <w:bCs/>
                      <w:kern w:val="0"/>
                      <w:sz w:val="18"/>
                      <w:szCs w:val="18"/>
                    </w:rPr>
                  </w:pPr>
                  <w:r>
                    <w:rPr>
                      <w:b/>
                      <w:bCs/>
                      <w:kern w:val="0"/>
                      <w:sz w:val="18"/>
                      <w:szCs w:val="18"/>
                    </w:rPr>
                    <w:t>兽类</w:t>
                  </w:r>
                </w:p>
              </w:tc>
              <w:tc>
                <w:tcPr>
                  <w:tcW w:w="835"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rFonts w:hint="eastAsia"/>
                      <w:kern w:val="0"/>
                      <w:sz w:val="18"/>
                      <w:szCs w:val="18"/>
                    </w:rPr>
                    <w:t>0</w:t>
                  </w:r>
                </w:p>
              </w:tc>
              <w:tc>
                <w:tcPr>
                  <w:tcW w:w="832"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rFonts w:hint="eastAsia"/>
                      <w:kern w:val="0"/>
                      <w:sz w:val="18"/>
                      <w:szCs w:val="18"/>
                    </w:rPr>
                    <w:t>0</w:t>
                  </w:r>
                </w:p>
              </w:tc>
              <w:tc>
                <w:tcPr>
                  <w:tcW w:w="836"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rFonts w:hint="eastAsia"/>
                      <w:kern w:val="0"/>
                      <w:sz w:val="18"/>
                      <w:szCs w:val="18"/>
                    </w:rPr>
                    <w:t>0</w:t>
                  </w:r>
                </w:p>
              </w:tc>
              <w:tc>
                <w:tcPr>
                  <w:tcW w:w="832" w:type="pct"/>
                  <w:tcBorders>
                    <w:top w:val="single" w:color="auto" w:sz="4" w:space="0"/>
                    <w:left w:val="nil"/>
                    <w:bottom w:val="single" w:color="auto" w:sz="4" w:space="0"/>
                    <w:right w:val="single" w:color="auto" w:sz="4" w:space="0"/>
                  </w:tcBorders>
                  <w:vAlign w:val="center"/>
                </w:tcPr>
                <w:p>
                  <w:pPr>
                    <w:spacing w:line="300" w:lineRule="exact"/>
                    <w:jc w:val="center"/>
                    <w:rPr>
                      <w:rFonts w:hAnsi="Calibri"/>
                      <w:sz w:val="18"/>
                      <w:szCs w:val="18"/>
                    </w:rPr>
                  </w:pPr>
                  <w:r>
                    <w:rPr>
                      <w:rFonts w:hint="eastAsia" w:hAnsi="Calibri"/>
                      <w:sz w:val="18"/>
                      <w:szCs w:val="18"/>
                    </w:rPr>
                    <w:t>/</w:t>
                  </w:r>
                </w:p>
              </w:tc>
              <w:tc>
                <w:tcPr>
                  <w:tcW w:w="831"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rFonts w:hint="eastAsia"/>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3"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b/>
                      <w:bCs/>
                      <w:kern w:val="0"/>
                      <w:sz w:val="18"/>
                      <w:szCs w:val="18"/>
                    </w:rPr>
                  </w:pPr>
                  <w:r>
                    <w:rPr>
                      <w:b/>
                      <w:bCs/>
                      <w:kern w:val="0"/>
                      <w:sz w:val="18"/>
                      <w:szCs w:val="18"/>
                    </w:rPr>
                    <w:t>合计</w:t>
                  </w:r>
                </w:p>
              </w:tc>
              <w:tc>
                <w:tcPr>
                  <w:tcW w:w="835"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rFonts w:hint="eastAsia"/>
                      <w:kern w:val="0"/>
                      <w:sz w:val="18"/>
                      <w:szCs w:val="18"/>
                    </w:rPr>
                    <w:t>3</w:t>
                  </w:r>
                </w:p>
              </w:tc>
              <w:tc>
                <w:tcPr>
                  <w:tcW w:w="832"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rFonts w:hint="eastAsia"/>
                      <w:kern w:val="0"/>
                      <w:sz w:val="18"/>
                      <w:szCs w:val="18"/>
                    </w:rPr>
                    <w:t>5</w:t>
                  </w:r>
                </w:p>
              </w:tc>
              <w:tc>
                <w:tcPr>
                  <w:tcW w:w="836"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rFonts w:hint="eastAsia"/>
                      <w:kern w:val="0"/>
                      <w:sz w:val="18"/>
                      <w:szCs w:val="18"/>
                    </w:rPr>
                    <w:t>7</w:t>
                  </w:r>
                </w:p>
              </w:tc>
              <w:tc>
                <w:tcPr>
                  <w:tcW w:w="832" w:type="pct"/>
                  <w:tcBorders>
                    <w:top w:val="single" w:color="auto" w:sz="4" w:space="0"/>
                    <w:left w:val="nil"/>
                    <w:bottom w:val="single" w:color="auto" w:sz="4" w:space="0"/>
                    <w:right w:val="single" w:color="auto" w:sz="4" w:space="0"/>
                  </w:tcBorders>
                  <w:vAlign w:val="center"/>
                </w:tcPr>
                <w:p>
                  <w:pPr>
                    <w:spacing w:line="300" w:lineRule="exact"/>
                    <w:jc w:val="center"/>
                    <w:rPr>
                      <w:rFonts w:hAnsi="Calibri"/>
                      <w:sz w:val="18"/>
                      <w:szCs w:val="18"/>
                    </w:rPr>
                  </w:pPr>
                  <w:r>
                    <w:rPr>
                      <w:rFonts w:hint="eastAsia" w:hAnsi="Calibri"/>
                      <w:sz w:val="18"/>
                      <w:szCs w:val="18"/>
                    </w:rPr>
                    <w:t>/</w:t>
                  </w:r>
                </w:p>
              </w:tc>
              <w:tc>
                <w:tcPr>
                  <w:tcW w:w="831" w:type="pct"/>
                  <w:tcBorders>
                    <w:top w:val="single" w:color="auto" w:sz="4" w:space="0"/>
                    <w:left w:val="nil"/>
                    <w:bottom w:val="single" w:color="auto" w:sz="4" w:space="0"/>
                    <w:right w:val="single" w:color="auto" w:sz="4" w:space="0"/>
                  </w:tcBorders>
                  <w:vAlign w:val="center"/>
                </w:tcPr>
                <w:p>
                  <w:pPr>
                    <w:widowControl/>
                    <w:adjustRightInd w:val="0"/>
                    <w:snapToGrid w:val="0"/>
                    <w:spacing w:line="300" w:lineRule="exact"/>
                    <w:jc w:val="center"/>
                    <w:rPr>
                      <w:kern w:val="0"/>
                      <w:sz w:val="18"/>
                      <w:szCs w:val="18"/>
                    </w:rPr>
                  </w:pPr>
                  <w:r>
                    <w:rPr>
                      <w:rFonts w:hint="eastAsia"/>
                      <w:kern w:val="0"/>
                      <w:sz w:val="18"/>
                      <w:szCs w:val="18"/>
                    </w:rPr>
                    <w:t>0</w:t>
                  </w:r>
                </w:p>
              </w:tc>
            </w:tr>
          </w:tbl>
          <w:p>
            <w:pPr>
              <w:adjustRightInd w:val="0"/>
              <w:snapToGrid w:val="0"/>
              <w:spacing w:line="400" w:lineRule="exact"/>
              <w:ind w:firstLine="420" w:firstLineChars="200"/>
              <w:jc w:val="left"/>
              <w:rPr>
                <w:rFonts w:hAnsi="宋体"/>
                <w:szCs w:val="21"/>
              </w:rPr>
            </w:pPr>
            <w:r>
              <w:rPr>
                <w:rFonts w:hAnsi="宋体"/>
                <w:szCs w:val="21"/>
              </w:rPr>
              <w:t>通过查阅资料及走访调查，</w:t>
            </w:r>
            <w:r>
              <w:rPr>
                <w:rFonts w:hAnsi="宋体"/>
                <w:szCs w:val="21"/>
                <w:highlight w:val="yellow"/>
              </w:rPr>
              <w:t>项目矿区野生脊椎动物</w:t>
            </w:r>
            <w:r>
              <w:rPr>
                <w:rFonts w:hAnsi="宋体"/>
                <w:szCs w:val="21"/>
              </w:rPr>
              <w:t>共有</w:t>
            </w:r>
            <w:r>
              <w:rPr>
                <w:rFonts w:hint="eastAsia"/>
                <w:szCs w:val="21"/>
              </w:rPr>
              <w:t>7</w:t>
            </w:r>
            <w:r>
              <w:rPr>
                <w:rFonts w:hAnsi="宋体"/>
                <w:szCs w:val="21"/>
              </w:rPr>
              <w:t>种，无</w:t>
            </w:r>
            <w:r>
              <w:rPr>
                <w:rFonts w:hint="eastAsia"/>
                <w:szCs w:val="21"/>
              </w:rPr>
              <w:t>国家重点野生保护动物分布</w:t>
            </w:r>
            <w:r>
              <w:rPr>
                <w:rFonts w:hAnsi="宋体"/>
                <w:szCs w:val="21"/>
              </w:rPr>
              <w:t>。</w:t>
            </w:r>
          </w:p>
          <w:p>
            <w:pPr>
              <w:autoSpaceDE w:val="0"/>
              <w:autoSpaceDN w:val="0"/>
              <w:adjustRightInd w:val="0"/>
              <w:spacing w:line="400" w:lineRule="exact"/>
              <w:jc w:val="left"/>
              <w:rPr>
                <w:rFonts w:eastAsia="黑体"/>
                <w:sz w:val="20"/>
              </w:rPr>
            </w:pPr>
            <w:r>
              <w:rPr>
                <w:rFonts w:hint="eastAsia" w:eastAsia="黑体"/>
                <w:sz w:val="20"/>
              </w:rPr>
              <w:t>3.4区域生态环境现状评价</w:t>
            </w:r>
          </w:p>
          <w:p>
            <w:pPr>
              <w:autoSpaceDE w:val="0"/>
              <w:autoSpaceDN w:val="0"/>
              <w:adjustRightInd w:val="0"/>
              <w:spacing w:line="408" w:lineRule="exact"/>
              <w:ind w:firstLine="420" w:firstLineChars="200"/>
              <w:rPr>
                <w:rFonts w:eastAsia="黑体"/>
              </w:rPr>
            </w:pPr>
            <w:r>
              <w:rPr>
                <w:rFonts w:hint="eastAsia"/>
                <w:kern w:val="0"/>
                <w:lang w:val="zh-CN"/>
              </w:rPr>
              <w:t>项目所在地位于宣汉县普光工业园区。根据调查，项目生态影响评价区域属于</w:t>
            </w:r>
            <w:r>
              <w:rPr>
                <w:kern w:val="0"/>
                <w:lang w:val="zh-CN"/>
              </w:rPr>
              <w:t>森林生态系统。森林生态系统及灌草丛生态系统的植被主要以马尾松、火棘、茅草、狗牙根等为主。评价区未发现国家</w:t>
            </w:r>
            <w:r>
              <w:rPr>
                <w:rFonts w:hint="eastAsia"/>
                <w:szCs w:val="21"/>
              </w:rPr>
              <w:t>重点保护野生植物</w:t>
            </w:r>
            <w:r>
              <w:rPr>
                <w:rFonts w:hint="eastAsia"/>
                <w:kern w:val="0"/>
                <w:lang w:val="zh-CN"/>
              </w:rPr>
              <w:t>。根据</w:t>
            </w:r>
            <w:r>
              <w:rPr>
                <w:rFonts w:hAnsi="宋体"/>
                <w:szCs w:val="21"/>
              </w:rPr>
              <w:t>查阅资料及走访调查，</w:t>
            </w:r>
            <w:r>
              <w:rPr>
                <w:rFonts w:hint="eastAsia"/>
                <w:kern w:val="0"/>
                <w:lang w:val="zh-CN"/>
              </w:rPr>
              <w:t>区内共有脊椎动物7种，未发现国家重点野生保护动物分布。</w:t>
            </w:r>
            <w:r>
              <w:rPr>
                <w:kern w:val="0"/>
                <w:lang w:val="zh-CN"/>
              </w:rPr>
              <w:t>区内植被覆盖率约</w:t>
            </w:r>
            <w:r>
              <w:rPr>
                <w:rFonts w:hint="eastAsia"/>
                <w:kern w:val="0"/>
                <w:lang w:val="zh-CN"/>
              </w:rPr>
              <w:t>60%以上，</w:t>
            </w:r>
            <w:r>
              <w:rPr>
                <w:kern w:val="0"/>
                <w:lang w:val="zh-CN"/>
              </w:rPr>
              <w:t>不存在大的地质灾害。区域环境空气、地表水及声环境质量现状较好。</w:t>
            </w:r>
            <w:r>
              <w:rPr>
                <w:rFonts w:hint="eastAsia"/>
                <w:kern w:val="0"/>
                <w:lang w:val="zh-CN"/>
              </w:rPr>
              <w:t>整个评价区的景观格局和生态系统较为完整。</w:t>
            </w:r>
            <w:r>
              <w:rPr>
                <w:kern w:val="0"/>
                <w:lang w:val="zh-CN"/>
              </w:rPr>
              <w:t>项目所在区域环境质量现状良好，有利于项目的建设。</w:t>
            </w:r>
          </w:p>
          <w:p>
            <w:pPr>
              <w:spacing w:line="408" w:lineRule="exact"/>
              <w:rPr>
                <w:rFonts w:eastAsia="黑体"/>
              </w:rPr>
            </w:pPr>
            <w:r>
              <w:rPr>
                <w:rFonts w:hint="eastAsia" w:eastAsia="黑体"/>
              </w:rPr>
              <w:t>4</w:t>
            </w:r>
            <w:r>
              <w:rPr>
                <w:rFonts w:hint="eastAsia" w:eastAsia="黑体"/>
                <w:lang w:val="zh-CN"/>
              </w:rPr>
              <w:t>、环境空气质量现状及评价</w:t>
            </w:r>
          </w:p>
          <w:p>
            <w:pPr>
              <w:autoSpaceDE w:val="0"/>
              <w:autoSpaceDN w:val="0"/>
              <w:adjustRightInd w:val="0"/>
              <w:spacing w:line="408" w:lineRule="exact"/>
              <w:rPr>
                <w:rFonts w:eastAsia="黑体"/>
                <w:bCs/>
                <w:kern w:val="0"/>
                <w:sz w:val="20"/>
                <w:szCs w:val="28"/>
                <w:lang w:val="zh-CN"/>
              </w:rPr>
            </w:pPr>
            <w:r>
              <w:rPr>
                <w:rFonts w:hint="eastAsia"/>
                <w:sz w:val="20"/>
                <w:szCs w:val="21"/>
              </w:rPr>
              <w:t>4.1</w:t>
            </w:r>
            <w:r>
              <w:rPr>
                <w:rFonts w:hint="eastAsia" w:eastAsia="黑体"/>
                <w:bCs/>
                <w:kern w:val="0"/>
                <w:sz w:val="20"/>
                <w:szCs w:val="28"/>
                <w:lang w:val="zh-CN"/>
              </w:rPr>
              <w:t>环境空气质量达标区判定</w:t>
            </w:r>
          </w:p>
          <w:p>
            <w:pPr>
              <w:autoSpaceDE w:val="0"/>
              <w:autoSpaceDN w:val="0"/>
              <w:adjustRightInd w:val="0"/>
              <w:snapToGrid w:val="0"/>
              <w:spacing w:line="400" w:lineRule="exact"/>
              <w:ind w:firstLine="420" w:firstLineChars="200"/>
              <w:jc w:val="left"/>
              <w:rPr>
                <w:rFonts w:cs="宋体"/>
                <w:kern w:val="0"/>
                <w:szCs w:val="21"/>
              </w:rPr>
            </w:pPr>
            <w:r>
              <w:rPr>
                <w:rFonts w:cs="宋体"/>
                <w:kern w:val="0"/>
                <w:szCs w:val="21"/>
              </w:rPr>
              <w:t>本项目位于宣汉县普光工业园区</w:t>
            </w:r>
            <w:r>
              <w:rPr>
                <w:rFonts w:hint="eastAsia" w:cs="宋体"/>
                <w:kern w:val="0"/>
                <w:szCs w:val="21"/>
              </w:rPr>
              <w:t>。</w:t>
            </w:r>
            <w:r>
              <w:rPr>
                <w:rFonts w:cs="宋体"/>
                <w:kern w:val="0"/>
                <w:szCs w:val="21"/>
              </w:rPr>
              <w:t>本次环境空气质量数据采用达州市生态环境局发布的《达州市</w:t>
            </w:r>
            <w:r>
              <w:rPr>
                <w:rFonts w:hint="eastAsia" w:cs="宋体"/>
                <w:kern w:val="0"/>
                <w:szCs w:val="21"/>
              </w:rPr>
              <w:t>2022年环境空气质量状况</w:t>
            </w:r>
            <w:r>
              <w:rPr>
                <w:rFonts w:cs="宋体"/>
                <w:kern w:val="0"/>
                <w:szCs w:val="21"/>
              </w:rPr>
              <w:t>》数据。</w:t>
            </w:r>
          </w:p>
          <w:p>
            <w:pPr>
              <w:autoSpaceDE w:val="0"/>
              <w:autoSpaceDN w:val="0"/>
              <w:adjustRightInd w:val="0"/>
              <w:snapToGrid w:val="0"/>
              <w:spacing w:line="400" w:lineRule="exact"/>
              <w:ind w:firstLine="361" w:firstLineChars="200"/>
              <w:jc w:val="center"/>
              <w:rPr>
                <w:rFonts w:cs="宋体"/>
                <w:b/>
                <w:kern w:val="0"/>
                <w:sz w:val="18"/>
                <w:szCs w:val="21"/>
              </w:rPr>
            </w:pPr>
            <w:r>
              <w:rPr>
                <w:rFonts w:hint="eastAsia" w:cs="宋体"/>
                <w:b/>
                <w:kern w:val="0"/>
                <w:sz w:val="18"/>
                <w:szCs w:val="21"/>
              </w:rPr>
              <w:t>表3-3  2022年宣汉县环境空气质量统计表</w:t>
            </w:r>
          </w:p>
          <w:tbl>
            <w:tblPr>
              <w:tblStyle w:val="17"/>
              <w:tblW w:w="79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14"/>
              <w:gridCol w:w="552"/>
              <w:gridCol w:w="540"/>
              <w:gridCol w:w="583"/>
              <w:gridCol w:w="540"/>
              <w:gridCol w:w="563"/>
              <w:gridCol w:w="541"/>
              <w:gridCol w:w="910"/>
              <w:gridCol w:w="876"/>
              <w:gridCol w:w="610"/>
              <w:gridCol w:w="864"/>
              <w:gridCol w:w="7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 w:hRule="atLeast"/>
                <w:jc w:val="center"/>
              </w:trPr>
              <w:tc>
                <w:tcPr>
                  <w:tcW w:w="628" w:type="dxa"/>
                  <w:vAlign w:val="center"/>
                </w:tcPr>
                <w:p>
                  <w:pPr>
                    <w:pStyle w:val="14"/>
                    <w:autoSpaceDE w:val="0"/>
                    <w:spacing w:before="0" w:beforeAutospacing="0" w:after="0" w:afterAutospacing="0" w:line="280" w:lineRule="exact"/>
                    <w:jc w:val="center"/>
                    <w:rPr>
                      <w:rFonts w:ascii="Times New Roman" w:hAnsi="Times New Roman"/>
                      <w:b/>
                      <w:bCs/>
                      <w:sz w:val="18"/>
                      <w:szCs w:val="18"/>
                    </w:rPr>
                  </w:pPr>
                  <w:r>
                    <w:rPr>
                      <w:b/>
                      <w:bCs/>
                      <w:sz w:val="18"/>
                      <w:szCs w:val="18"/>
                    </w:rPr>
                    <w:t>月份</w:t>
                  </w:r>
                </w:p>
              </w:tc>
              <w:tc>
                <w:tcPr>
                  <w:tcW w:w="552" w:type="dxa"/>
                  <w:vAlign w:val="center"/>
                </w:tcPr>
                <w:p>
                  <w:pPr>
                    <w:pStyle w:val="14"/>
                    <w:autoSpaceDE w:val="0"/>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SO</w:t>
                  </w:r>
                  <w:r>
                    <w:rPr>
                      <w:rFonts w:ascii="Times New Roman" w:hAnsi="Times New Roman"/>
                      <w:b/>
                      <w:bCs/>
                      <w:sz w:val="18"/>
                      <w:szCs w:val="18"/>
                      <w:vertAlign w:val="subscript"/>
                    </w:rPr>
                    <w:t>2</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30" w:type="dxa"/>
                  <w:vAlign w:val="center"/>
                </w:tcPr>
                <w:p>
                  <w:pPr>
                    <w:pStyle w:val="14"/>
                    <w:autoSpaceDE w:val="0"/>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NO</w:t>
                  </w:r>
                  <w:r>
                    <w:rPr>
                      <w:rFonts w:ascii="Times New Roman" w:hAnsi="Times New Roman"/>
                      <w:b/>
                      <w:bCs/>
                      <w:sz w:val="18"/>
                      <w:szCs w:val="18"/>
                      <w:vertAlign w:val="subscript"/>
                    </w:rPr>
                    <w:t>2</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72" w:type="dxa"/>
                  <w:vAlign w:val="center"/>
                </w:tcPr>
                <w:p>
                  <w:pPr>
                    <w:pStyle w:val="14"/>
                    <w:autoSpaceDE w:val="0"/>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CO</w:t>
                  </w:r>
                  <w:r>
                    <w:rPr>
                      <w:b/>
                      <w:bCs/>
                      <w:spacing w:val="-11"/>
                      <w:vertAlign w:val="subscript"/>
                    </w:rPr>
                    <w:t>（</w:t>
                  </w:r>
                  <w:r>
                    <w:rPr>
                      <w:rFonts w:ascii="Times New Roman" w:hAnsi="Times New Roman"/>
                      <w:b/>
                      <w:bCs/>
                      <w:spacing w:val="-11"/>
                      <w:vertAlign w:val="subscript"/>
                    </w:rPr>
                    <w:t>mg/m</w:t>
                  </w:r>
                  <w:r>
                    <w:rPr>
                      <w:rFonts w:ascii="Times New Roman" w:hAnsi="Times New Roman"/>
                      <w:b/>
                      <w:bCs/>
                      <w:spacing w:val="-11"/>
                      <w:sz w:val="16"/>
                      <w:szCs w:val="16"/>
                      <w:vertAlign w:val="superscript"/>
                    </w:rPr>
                    <w:t>3</w:t>
                  </w:r>
                  <w:r>
                    <w:rPr>
                      <w:b/>
                      <w:bCs/>
                      <w:spacing w:val="-11"/>
                      <w:vertAlign w:val="subscript"/>
                    </w:rPr>
                    <w:t>）</w:t>
                  </w:r>
                </w:p>
              </w:tc>
              <w:tc>
                <w:tcPr>
                  <w:tcW w:w="498" w:type="dxa"/>
                  <w:vAlign w:val="center"/>
                </w:tcPr>
                <w:p>
                  <w:pPr>
                    <w:pStyle w:val="14"/>
                    <w:autoSpaceDE w:val="0"/>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O</w:t>
                  </w:r>
                  <w:r>
                    <w:rPr>
                      <w:rFonts w:ascii="Times New Roman" w:hAnsi="Times New Roman"/>
                      <w:b/>
                      <w:bCs/>
                      <w:sz w:val="18"/>
                      <w:szCs w:val="18"/>
                      <w:vertAlign w:val="subscript"/>
                    </w:rPr>
                    <w:t>3</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64" w:type="dxa"/>
                  <w:vAlign w:val="center"/>
                </w:tcPr>
                <w:p>
                  <w:pPr>
                    <w:pStyle w:val="14"/>
                    <w:autoSpaceDE w:val="0"/>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PM</w:t>
                  </w:r>
                  <w:r>
                    <w:rPr>
                      <w:rFonts w:ascii="Times New Roman" w:hAnsi="Times New Roman"/>
                      <w:b/>
                      <w:bCs/>
                      <w:sz w:val="18"/>
                      <w:szCs w:val="18"/>
                      <w:vertAlign w:val="subscript"/>
                    </w:rPr>
                    <w:t>2.5</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41" w:type="dxa"/>
                  <w:vAlign w:val="center"/>
                </w:tcPr>
                <w:p>
                  <w:pPr>
                    <w:pStyle w:val="14"/>
                    <w:autoSpaceDE w:val="0"/>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PM</w:t>
                  </w:r>
                  <w:r>
                    <w:rPr>
                      <w:rFonts w:ascii="Times New Roman" w:hAnsi="Times New Roman"/>
                      <w:b/>
                      <w:bCs/>
                      <w:sz w:val="18"/>
                      <w:szCs w:val="18"/>
                      <w:vertAlign w:val="subscript"/>
                    </w:rPr>
                    <w:t>10</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921" w:type="dxa"/>
                  <w:vAlign w:val="center"/>
                </w:tcPr>
                <w:p>
                  <w:pPr>
                    <w:pStyle w:val="14"/>
                    <w:autoSpaceDE w:val="0"/>
                    <w:spacing w:before="0" w:beforeAutospacing="0" w:after="0" w:afterAutospacing="0" w:line="280" w:lineRule="exact"/>
                    <w:jc w:val="center"/>
                    <w:rPr>
                      <w:rFonts w:ascii="Times New Roman" w:hAnsi="Times New Roman"/>
                      <w:b/>
                      <w:bCs/>
                      <w:sz w:val="18"/>
                      <w:szCs w:val="18"/>
                    </w:rPr>
                  </w:pPr>
                  <w:r>
                    <w:rPr>
                      <w:b/>
                      <w:bCs/>
                      <w:sz w:val="18"/>
                      <w:szCs w:val="18"/>
                    </w:rPr>
                    <w:t>有效监测天数（天）</w:t>
                  </w:r>
                </w:p>
              </w:tc>
              <w:tc>
                <w:tcPr>
                  <w:tcW w:w="886" w:type="dxa"/>
                  <w:vAlign w:val="center"/>
                </w:tcPr>
                <w:p>
                  <w:pPr>
                    <w:pStyle w:val="14"/>
                    <w:autoSpaceDE w:val="0"/>
                    <w:spacing w:before="0" w:beforeAutospacing="0" w:after="0" w:afterAutospacing="0" w:line="280" w:lineRule="exact"/>
                    <w:jc w:val="center"/>
                    <w:rPr>
                      <w:rFonts w:ascii="Times New Roman" w:hAnsi="Times New Roman"/>
                      <w:b/>
                      <w:bCs/>
                      <w:sz w:val="18"/>
                      <w:szCs w:val="18"/>
                    </w:rPr>
                  </w:pPr>
                  <w:r>
                    <w:rPr>
                      <w:b/>
                      <w:bCs/>
                      <w:sz w:val="18"/>
                      <w:szCs w:val="18"/>
                    </w:rPr>
                    <w:t>达标天数（天）</w:t>
                  </w:r>
                </w:p>
              </w:tc>
              <w:tc>
                <w:tcPr>
                  <w:tcW w:w="612" w:type="dxa"/>
                  <w:vAlign w:val="center"/>
                </w:tcPr>
                <w:p>
                  <w:pPr>
                    <w:pStyle w:val="14"/>
                    <w:autoSpaceDE w:val="0"/>
                    <w:spacing w:before="0" w:beforeAutospacing="0" w:after="0" w:afterAutospacing="0" w:line="280" w:lineRule="exact"/>
                    <w:jc w:val="center"/>
                    <w:rPr>
                      <w:rFonts w:ascii="Times New Roman" w:hAnsi="Times New Roman"/>
                      <w:b/>
                      <w:bCs/>
                      <w:sz w:val="18"/>
                      <w:szCs w:val="18"/>
                    </w:rPr>
                  </w:pPr>
                  <w:r>
                    <w:rPr>
                      <w:b/>
                      <w:bCs/>
                      <w:sz w:val="18"/>
                      <w:szCs w:val="18"/>
                    </w:rPr>
                    <w:t>达标率（</w:t>
                  </w:r>
                  <w:r>
                    <w:rPr>
                      <w:rFonts w:ascii="Times New Roman" w:hAnsi="Times New Roman"/>
                      <w:b/>
                      <w:bCs/>
                      <w:sz w:val="18"/>
                      <w:szCs w:val="18"/>
                    </w:rPr>
                    <w:t>%</w:t>
                  </w:r>
                  <w:r>
                    <w:rPr>
                      <w:b/>
                      <w:bCs/>
                      <w:sz w:val="18"/>
                      <w:szCs w:val="18"/>
                    </w:rPr>
                    <w:t>）</w:t>
                  </w:r>
                </w:p>
              </w:tc>
              <w:tc>
                <w:tcPr>
                  <w:tcW w:w="874" w:type="dxa"/>
                  <w:vAlign w:val="center"/>
                </w:tcPr>
                <w:p>
                  <w:pPr>
                    <w:pStyle w:val="14"/>
                    <w:autoSpaceDE w:val="0"/>
                    <w:spacing w:before="0" w:beforeAutospacing="0" w:after="0" w:afterAutospacing="0" w:line="280" w:lineRule="exact"/>
                    <w:jc w:val="center"/>
                    <w:rPr>
                      <w:rFonts w:ascii="Times New Roman" w:hAnsi="Times New Roman"/>
                      <w:b/>
                      <w:bCs/>
                      <w:sz w:val="18"/>
                      <w:szCs w:val="18"/>
                    </w:rPr>
                  </w:pPr>
                  <w:r>
                    <w:rPr>
                      <w:b/>
                      <w:bCs/>
                      <w:sz w:val="18"/>
                      <w:szCs w:val="18"/>
                    </w:rPr>
                    <w:t>达标率同比（</w:t>
                  </w:r>
                  <w:r>
                    <w:rPr>
                      <w:rFonts w:ascii="Times New Roman" w:hAnsi="Times New Roman"/>
                      <w:b/>
                      <w:bCs/>
                      <w:sz w:val="18"/>
                      <w:szCs w:val="18"/>
                    </w:rPr>
                    <w:t>%</w:t>
                  </w:r>
                  <w:r>
                    <w:rPr>
                      <w:b/>
                      <w:bCs/>
                      <w:sz w:val="18"/>
                      <w:szCs w:val="18"/>
                    </w:rPr>
                    <w:t>）</w:t>
                  </w:r>
                </w:p>
              </w:tc>
              <w:tc>
                <w:tcPr>
                  <w:tcW w:w="805" w:type="dxa"/>
                  <w:vAlign w:val="center"/>
                </w:tcPr>
                <w:p>
                  <w:pPr>
                    <w:pStyle w:val="14"/>
                    <w:autoSpaceDE w:val="0"/>
                    <w:spacing w:before="0" w:beforeAutospacing="0" w:after="0" w:afterAutospacing="0" w:line="280" w:lineRule="exact"/>
                    <w:jc w:val="center"/>
                    <w:rPr>
                      <w:rFonts w:ascii="Times New Roman" w:hAnsi="Times New Roman"/>
                      <w:b/>
                      <w:bCs/>
                      <w:sz w:val="18"/>
                      <w:szCs w:val="18"/>
                    </w:rPr>
                  </w:pPr>
                  <w:r>
                    <w:rPr>
                      <w:b/>
                      <w:bCs/>
                      <w:sz w:val="18"/>
                      <w:szCs w:val="18"/>
                    </w:rPr>
                    <w:t>空气质量综合指数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628" w:type="dxa"/>
                  <w:vAlign w:val="center"/>
                </w:tcPr>
                <w:p>
                  <w:pPr>
                    <w:widowControl/>
                    <w:jc w:val="center"/>
                    <w:textAlignment w:val="center"/>
                    <w:rPr>
                      <w:sz w:val="18"/>
                      <w:szCs w:val="18"/>
                    </w:rPr>
                  </w:pPr>
                  <w:r>
                    <w:rPr>
                      <w:sz w:val="18"/>
                      <w:szCs w:val="18"/>
                    </w:rPr>
                    <w:t>1</w:t>
                  </w:r>
                  <w:r>
                    <w:rPr>
                      <w:rFonts w:ascii="宋体" w:hAnsi="宋体"/>
                      <w:sz w:val="18"/>
                      <w:szCs w:val="18"/>
                    </w:rPr>
                    <w:t>月</w:t>
                  </w:r>
                </w:p>
              </w:tc>
              <w:tc>
                <w:tcPr>
                  <w:tcW w:w="552" w:type="dxa"/>
                  <w:vAlign w:val="center"/>
                </w:tcPr>
                <w:p>
                  <w:pPr>
                    <w:widowControl/>
                    <w:jc w:val="center"/>
                    <w:textAlignment w:val="center"/>
                    <w:rPr>
                      <w:sz w:val="18"/>
                      <w:szCs w:val="18"/>
                    </w:rPr>
                  </w:pPr>
                  <w:r>
                    <w:rPr>
                      <w:rFonts w:hint="eastAsia"/>
                      <w:sz w:val="18"/>
                      <w:szCs w:val="18"/>
                    </w:rPr>
                    <w:t>5</w:t>
                  </w:r>
                </w:p>
              </w:tc>
              <w:tc>
                <w:tcPr>
                  <w:tcW w:w="530" w:type="dxa"/>
                  <w:vAlign w:val="center"/>
                </w:tcPr>
                <w:p>
                  <w:pPr>
                    <w:widowControl/>
                    <w:jc w:val="center"/>
                    <w:textAlignment w:val="center"/>
                    <w:rPr>
                      <w:sz w:val="18"/>
                      <w:szCs w:val="18"/>
                    </w:rPr>
                  </w:pPr>
                  <w:r>
                    <w:rPr>
                      <w:rFonts w:hint="eastAsia"/>
                      <w:sz w:val="18"/>
                      <w:szCs w:val="18"/>
                    </w:rPr>
                    <w:t>11</w:t>
                  </w:r>
                </w:p>
              </w:tc>
              <w:tc>
                <w:tcPr>
                  <w:tcW w:w="572" w:type="dxa"/>
                  <w:vAlign w:val="center"/>
                </w:tcPr>
                <w:p>
                  <w:pPr>
                    <w:widowControl/>
                    <w:jc w:val="center"/>
                    <w:textAlignment w:val="center"/>
                    <w:rPr>
                      <w:sz w:val="18"/>
                      <w:szCs w:val="18"/>
                    </w:rPr>
                  </w:pPr>
                  <w:r>
                    <w:rPr>
                      <w:rFonts w:hint="eastAsia"/>
                      <w:sz w:val="18"/>
                      <w:szCs w:val="18"/>
                    </w:rPr>
                    <w:t>1.3</w:t>
                  </w:r>
                </w:p>
              </w:tc>
              <w:tc>
                <w:tcPr>
                  <w:tcW w:w="498" w:type="dxa"/>
                  <w:vAlign w:val="center"/>
                </w:tcPr>
                <w:p>
                  <w:pPr>
                    <w:widowControl/>
                    <w:jc w:val="center"/>
                    <w:textAlignment w:val="center"/>
                    <w:rPr>
                      <w:sz w:val="18"/>
                      <w:szCs w:val="18"/>
                    </w:rPr>
                  </w:pPr>
                  <w:r>
                    <w:rPr>
                      <w:rFonts w:hint="eastAsia"/>
                      <w:sz w:val="18"/>
                      <w:szCs w:val="18"/>
                    </w:rPr>
                    <w:t>30</w:t>
                  </w:r>
                </w:p>
              </w:tc>
              <w:tc>
                <w:tcPr>
                  <w:tcW w:w="564" w:type="dxa"/>
                  <w:vAlign w:val="center"/>
                </w:tcPr>
                <w:p>
                  <w:pPr>
                    <w:widowControl/>
                    <w:jc w:val="center"/>
                    <w:textAlignment w:val="center"/>
                    <w:rPr>
                      <w:sz w:val="18"/>
                      <w:szCs w:val="18"/>
                    </w:rPr>
                  </w:pPr>
                  <w:r>
                    <w:rPr>
                      <w:rFonts w:hint="eastAsia"/>
                      <w:sz w:val="18"/>
                      <w:szCs w:val="18"/>
                    </w:rPr>
                    <w:t>52</w:t>
                  </w:r>
                </w:p>
              </w:tc>
              <w:tc>
                <w:tcPr>
                  <w:tcW w:w="541" w:type="dxa"/>
                  <w:vAlign w:val="center"/>
                </w:tcPr>
                <w:p>
                  <w:pPr>
                    <w:widowControl/>
                    <w:jc w:val="center"/>
                    <w:textAlignment w:val="center"/>
                    <w:rPr>
                      <w:sz w:val="18"/>
                      <w:szCs w:val="18"/>
                    </w:rPr>
                  </w:pPr>
                  <w:r>
                    <w:rPr>
                      <w:rFonts w:hint="eastAsia"/>
                      <w:sz w:val="18"/>
                      <w:szCs w:val="18"/>
                    </w:rPr>
                    <w:t>65</w:t>
                  </w:r>
                </w:p>
              </w:tc>
              <w:tc>
                <w:tcPr>
                  <w:tcW w:w="921" w:type="dxa"/>
                  <w:vAlign w:val="center"/>
                </w:tcPr>
                <w:p>
                  <w:pPr>
                    <w:widowControl/>
                    <w:jc w:val="center"/>
                    <w:textAlignment w:val="center"/>
                    <w:rPr>
                      <w:sz w:val="18"/>
                      <w:szCs w:val="18"/>
                    </w:rPr>
                  </w:pPr>
                  <w:r>
                    <w:rPr>
                      <w:rFonts w:hint="eastAsia"/>
                      <w:sz w:val="18"/>
                      <w:szCs w:val="18"/>
                    </w:rPr>
                    <w:t>31</w:t>
                  </w:r>
                </w:p>
              </w:tc>
              <w:tc>
                <w:tcPr>
                  <w:tcW w:w="886" w:type="dxa"/>
                  <w:vAlign w:val="center"/>
                </w:tcPr>
                <w:p>
                  <w:pPr>
                    <w:widowControl/>
                    <w:jc w:val="center"/>
                    <w:textAlignment w:val="center"/>
                    <w:rPr>
                      <w:sz w:val="18"/>
                      <w:szCs w:val="18"/>
                    </w:rPr>
                  </w:pPr>
                  <w:r>
                    <w:rPr>
                      <w:rFonts w:hint="eastAsia"/>
                      <w:sz w:val="18"/>
                      <w:szCs w:val="18"/>
                    </w:rPr>
                    <w:t>26</w:t>
                  </w:r>
                </w:p>
              </w:tc>
              <w:tc>
                <w:tcPr>
                  <w:tcW w:w="612" w:type="dxa"/>
                  <w:vAlign w:val="center"/>
                </w:tcPr>
                <w:p>
                  <w:pPr>
                    <w:widowControl/>
                    <w:jc w:val="center"/>
                    <w:textAlignment w:val="center"/>
                    <w:rPr>
                      <w:sz w:val="18"/>
                      <w:szCs w:val="18"/>
                    </w:rPr>
                  </w:pPr>
                  <w:r>
                    <w:rPr>
                      <w:rFonts w:hint="eastAsia"/>
                      <w:sz w:val="18"/>
                      <w:szCs w:val="18"/>
                    </w:rPr>
                    <w:t>83.9</w:t>
                  </w:r>
                </w:p>
              </w:tc>
              <w:tc>
                <w:tcPr>
                  <w:tcW w:w="874" w:type="dxa"/>
                  <w:vAlign w:val="center"/>
                </w:tcPr>
                <w:p>
                  <w:pPr>
                    <w:widowControl/>
                    <w:jc w:val="center"/>
                    <w:textAlignment w:val="center"/>
                    <w:rPr>
                      <w:sz w:val="18"/>
                      <w:szCs w:val="18"/>
                    </w:rPr>
                  </w:pPr>
                  <w:r>
                    <w:rPr>
                      <w:rFonts w:hint="eastAsia"/>
                      <w:sz w:val="18"/>
                      <w:szCs w:val="18"/>
                    </w:rPr>
                    <w:t>29.1</w:t>
                  </w:r>
                </w:p>
              </w:tc>
              <w:tc>
                <w:tcPr>
                  <w:tcW w:w="805" w:type="dxa"/>
                  <w:vAlign w:val="center"/>
                </w:tcPr>
                <w:p>
                  <w:pPr>
                    <w:widowControl/>
                    <w:jc w:val="center"/>
                    <w:textAlignment w:val="center"/>
                    <w:rPr>
                      <w:sz w:val="18"/>
                      <w:szCs w:val="18"/>
                    </w:rPr>
                  </w:pPr>
                  <w:r>
                    <w:rPr>
                      <w:rFonts w:hint="eastAsia"/>
                      <w:sz w:val="18"/>
                      <w:szCs w:val="18"/>
                    </w:rPr>
                    <w:t>3.29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628" w:type="dxa"/>
                  <w:vAlign w:val="center"/>
                </w:tcPr>
                <w:p>
                  <w:pPr>
                    <w:widowControl/>
                    <w:jc w:val="center"/>
                    <w:textAlignment w:val="center"/>
                    <w:rPr>
                      <w:sz w:val="18"/>
                      <w:szCs w:val="18"/>
                    </w:rPr>
                  </w:pPr>
                  <w:r>
                    <w:rPr>
                      <w:sz w:val="18"/>
                      <w:szCs w:val="18"/>
                    </w:rPr>
                    <w:t>2</w:t>
                  </w:r>
                  <w:r>
                    <w:rPr>
                      <w:rFonts w:ascii="宋体" w:hAnsi="宋体"/>
                      <w:sz w:val="18"/>
                      <w:szCs w:val="18"/>
                    </w:rPr>
                    <w:t>月</w:t>
                  </w:r>
                </w:p>
              </w:tc>
              <w:tc>
                <w:tcPr>
                  <w:tcW w:w="552" w:type="dxa"/>
                  <w:vAlign w:val="center"/>
                </w:tcPr>
                <w:p>
                  <w:pPr>
                    <w:widowControl/>
                    <w:jc w:val="center"/>
                    <w:textAlignment w:val="center"/>
                    <w:rPr>
                      <w:sz w:val="18"/>
                      <w:szCs w:val="18"/>
                    </w:rPr>
                  </w:pPr>
                  <w:r>
                    <w:rPr>
                      <w:rFonts w:hint="eastAsia"/>
                      <w:sz w:val="18"/>
                      <w:szCs w:val="18"/>
                    </w:rPr>
                    <w:t>3</w:t>
                  </w:r>
                </w:p>
              </w:tc>
              <w:tc>
                <w:tcPr>
                  <w:tcW w:w="530" w:type="dxa"/>
                  <w:vAlign w:val="center"/>
                </w:tcPr>
                <w:p>
                  <w:pPr>
                    <w:widowControl/>
                    <w:jc w:val="center"/>
                    <w:textAlignment w:val="center"/>
                    <w:rPr>
                      <w:sz w:val="18"/>
                      <w:szCs w:val="18"/>
                    </w:rPr>
                  </w:pPr>
                  <w:r>
                    <w:rPr>
                      <w:rFonts w:hint="eastAsia"/>
                      <w:sz w:val="18"/>
                      <w:szCs w:val="18"/>
                    </w:rPr>
                    <w:t>19</w:t>
                  </w:r>
                </w:p>
              </w:tc>
              <w:tc>
                <w:tcPr>
                  <w:tcW w:w="572" w:type="dxa"/>
                  <w:vAlign w:val="center"/>
                </w:tcPr>
                <w:p>
                  <w:pPr>
                    <w:widowControl/>
                    <w:jc w:val="center"/>
                    <w:textAlignment w:val="center"/>
                    <w:rPr>
                      <w:sz w:val="18"/>
                      <w:szCs w:val="18"/>
                    </w:rPr>
                  </w:pPr>
                  <w:r>
                    <w:rPr>
                      <w:rFonts w:hint="eastAsia"/>
                      <w:sz w:val="18"/>
                      <w:szCs w:val="18"/>
                    </w:rPr>
                    <w:t>0.8</w:t>
                  </w:r>
                </w:p>
              </w:tc>
              <w:tc>
                <w:tcPr>
                  <w:tcW w:w="498" w:type="dxa"/>
                  <w:vAlign w:val="center"/>
                </w:tcPr>
                <w:p>
                  <w:pPr>
                    <w:widowControl/>
                    <w:jc w:val="center"/>
                    <w:textAlignment w:val="center"/>
                    <w:rPr>
                      <w:sz w:val="18"/>
                      <w:szCs w:val="18"/>
                    </w:rPr>
                  </w:pPr>
                  <w:r>
                    <w:rPr>
                      <w:rFonts w:hint="eastAsia"/>
                      <w:sz w:val="18"/>
                      <w:szCs w:val="18"/>
                    </w:rPr>
                    <w:t>35</w:t>
                  </w:r>
                </w:p>
              </w:tc>
              <w:tc>
                <w:tcPr>
                  <w:tcW w:w="564" w:type="dxa"/>
                  <w:vAlign w:val="center"/>
                </w:tcPr>
                <w:p>
                  <w:pPr>
                    <w:widowControl/>
                    <w:jc w:val="center"/>
                    <w:textAlignment w:val="center"/>
                    <w:rPr>
                      <w:sz w:val="18"/>
                      <w:szCs w:val="18"/>
                    </w:rPr>
                  </w:pPr>
                  <w:r>
                    <w:rPr>
                      <w:rFonts w:hint="eastAsia"/>
                      <w:sz w:val="18"/>
                      <w:szCs w:val="18"/>
                    </w:rPr>
                    <w:t>37</w:t>
                  </w:r>
                </w:p>
              </w:tc>
              <w:tc>
                <w:tcPr>
                  <w:tcW w:w="541" w:type="dxa"/>
                  <w:vAlign w:val="center"/>
                </w:tcPr>
                <w:p>
                  <w:pPr>
                    <w:widowControl/>
                    <w:jc w:val="center"/>
                    <w:textAlignment w:val="center"/>
                    <w:rPr>
                      <w:sz w:val="18"/>
                      <w:szCs w:val="18"/>
                    </w:rPr>
                  </w:pPr>
                  <w:r>
                    <w:rPr>
                      <w:rFonts w:hint="eastAsia"/>
                      <w:sz w:val="18"/>
                      <w:szCs w:val="18"/>
                    </w:rPr>
                    <w:t>51</w:t>
                  </w:r>
                </w:p>
              </w:tc>
              <w:tc>
                <w:tcPr>
                  <w:tcW w:w="921" w:type="dxa"/>
                  <w:vAlign w:val="center"/>
                </w:tcPr>
                <w:p>
                  <w:pPr>
                    <w:widowControl/>
                    <w:jc w:val="center"/>
                    <w:textAlignment w:val="center"/>
                    <w:rPr>
                      <w:sz w:val="18"/>
                      <w:szCs w:val="18"/>
                    </w:rPr>
                  </w:pPr>
                  <w:r>
                    <w:rPr>
                      <w:rFonts w:hint="eastAsia"/>
                      <w:sz w:val="18"/>
                      <w:szCs w:val="18"/>
                    </w:rPr>
                    <w:t>28</w:t>
                  </w:r>
                </w:p>
              </w:tc>
              <w:tc>
                <w:tcPr>
                  <w:tcW w:w="886" w:type="dxa"/>
                  <w:vAlign w:val="center"/>
                </w:tcPr>
                <w:p>
                  <w:pPr>
                    <w:widowControl/>
                    <w:jc w:val="center"/>
                    <w:textAlignment w:val="center"/>
                    <w:rPr>
                      <w:sz w:val="18"/>
                      <w:szCs w:val="18"/>
                    </w:rPr>
                  </w:pPr>
                  <w:r>
                    <w:rPr>
                      <w:rFonts w:hint="eastAsia"/>
                      <w:sz w:val="18"/>
                      <w:szCs w:val="18"/>
                    </w:rPr>
                    <w:t>28</w:t>
                  </w:r>
                </w:p>
              </w:tc>
              <w:tc>
                <w:tcPr>
                  <w:tcW w:w="612" w:type="dxa"/>
                  <w:vAlign w:val="center"/>
                </w:tcPr>
                <w:p>
                  <w:pPr>
                    <w:widowControl/>
                    <w:jc w:val="center"/>
                    <w:textAlignment w:val="center"/>
                    <w:rPr>
                      <w:sz w:val="18"/>
                      <w:szCs w:val="18"/>
                    </w:rPr>
                  </w:pPr>
                  <w:r>
                    <w:rPr>
                      <w:rFonts w:hint="eastAsia"/>
                      <w:sz w:val="18"/>
                      <w:szCs w:val="18"/>
                    </w:rPr>
                    <w:t>100</w:t>
                  </w:r>
                </w:p>
              </w:tc>
              <w:tc>
                <w:tcPr>
                  <w:tcW w:w="874" w:type="dxa"/>
                  <w:vAlign w:val="center"/>
                </w:tcPr>
                <w:p>
                  <w:pPr>
                    <w:widowControl/>
                    <w:jc w:val="center"/>
                    <w:textAlignment w:val="center"/>
                    <w:rPr>
                      <w:sz w:val="18"/>
                      <w:szCs w:val="18"/>
                    </w:rPr>
                  </w:pPr>
                  <w:r>
                    <w:rPr>
                      <w:rFonts w:hint="eastAsia"/>
                      <w:sz w:val="18"/>
                      <w:szCs w:val="18"/>
                    </w:rPr>
                    <w:t>17.9</w:t>
                  </w:r>
                </w:p>
              </w:tc>
              <w:tc>
                <w:tcPr>
                  <w:tcW w:w="805" w:type="dxa"/>
                  <w:vAlign w:val="center"/>
                </w:tcPr>
                <w:p>
                  <w:pPr>
                    <w:widowControl/>
                    <w:jc w:val="center"/>
                    <w:textAlignment w:val="center"/>
                    <w:rPr>
                      <w:sz w:val="18"/>
                      <w:szCs w:val="18"/>
                    </w:rPr>
                  </w:pPr>
                  <w:r>
                    <w:rPr>
                      <w:rFonts w:hint="eastAsia"/>
                      <w:sz w:val="18"/>
                      <w:szCs w:val="18"/>
                    </w:rPr>
                    <w:t>2.74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628" w:type="dxa"/>
                  <w:vAlign w:val="center"/>
                </w:tcPr>
                <w:p>
                  <w:pPr>
                    <w:widowControl/>
                    <w:jc w:val="center"/>
                    <w:textAlignment w:val="center"/>
                    <w:rPr>
                      <w:sz w:val="18"/>
                      <w:szCs w:val="18"/>
                    </w:rPr>
                  </w:pPr>
                  <w:r>
                    <w:rPr>
                      <w:sz w:val="18"/>
                      <w:szCs w:val="18"/>
                    </w:rPr>
                    <w:t>3</w:t>
                  </w:r>
                  <w:r>
                    <w:rPr>
                      <w:rFonts w:ascii="宋体" w:hAnsi="宋体"/>
                      <w:sz w:val="18"/>
                      <w:szCs w:val="18"/>
                    </w:rPr>
                    <w:t>月</w:t>
                  </w:r>
                </w:p>
              </w:tc>
              <w:tc>
                <w:tcPr>
                  <w:tcW w:w="552" w:type="dxa"/>
                  <w:vAlign w:val="center"/>
                </w:tcPr>
                <w:p>
                  <w:pPr>
                    <w:widowControl/>
                    <w:jc w:val="center"/>
                    <w:textAlignment w:val="center"/>
                    <w:rPr>
                      <w:sz w:val="18"/>
                      <w:szCs w:val="18"/>
                    </w:rPr>
                  </w:pPr>
                  <w:r>
                    <w:rPr>
                      <w:rFonts w:hint="eastAsia"/>
                      <w:sz w:val="18"/>
                      <w:szCs w:val="18"/>
                    </w:rPr>
                    <w:t>3</w:t>
                  </w:r>
                </w:p>
              </w:tc>
              <w:tc>
                <w:tcPr>
                  <w:tcW w:w="530" w:type="dxa"/>
                  <w:vAlign w:val="center"/>
                </w:tcPr>
                <w:p>
                  <w:pPr>
                    <w:widowControl/>
                    <w:jc w:val="center"/>
                    <w:textAlignment w:val="center"/>
                    <w:rPr>
                      <w:sz w:val="18"/>
                      <w:szCs w:val="18"/>
                    </w:rPr>
                  </w:pPr>
                  <w:r>
                    <w:rPr>
                      <w:rFonts w:hint="eastAsia"/>
                      <w:sz w:val="18"/>
                      <w:szCs w:val="18"/>
                    </w:rPr>
                    <w:t>22</w:t>
                  </w:r>
                </w:p>
              </w:tc>
              <w:tc>
                <w:tcPr>
                  <w:tcW w:w="572" w:type="dxa"/>
                  <w:vAlign w:val="center"/>
                </w:tcPr>
                <w:p>
                  <w:pPr>
                    <w:widowControl/>
                    <w:jc w:val="center"/>
                    <w:textAlignment w:val="center"/>
                    <w:rPr>
                      <w:sz w:val="18"/>
                      <w:szCs w:val="18"/>
                    </w:rPr>
                  </w:pPr>
                  <w:r>
                    <w:rPr>
                      <w:rFonts w:hint="eastAsia"/>
                      <w:sz w:val="18"/>
                      <w:szCs w:val="18"/>
                    </w:rPr>
                    <w:t>0.8</w:t>
                  </w:r>
                </w:p>
              </w:tc>
              <w:tc>
                <w:tcPr>
                  <w:tcW w:w="498" w:type="dxa"/>
                  <w:vAlign w:val="center"/>
                </w:tcPr>
                <w:p>
                  <w:pPr>
                    <w:widowControl/>
                    <w:jc w:val="center"/>
                    <w:textAlignment w:val="center"/>
                    <w:rPr>
                      <w:sz w:val="18"/>
                      <w:szCs w:val="18"/>
                    </w:rPr>
                  </w:pPr>
                  <w:r>
                    <w:rPr>
                      <w:rFonts w:hint="eastAsia"/>
                      <w:sz w:val="18"/>
                      <w:szCs w:val="18"/>
                    </w:rPr>
                    <w:t>98</w:t>
                  </w:r>
                </w:p>
              </w:tc>
              <w:tc>
                <w:tcPr>
                  <w:tcW w:w="564" w:type="dxa"/>
                  <w:vAlign w:val="center"/>
                </w:tcPr>
                <w:p>
                  <w:pPr>
                    <w:widowControl/>
                    <w:jc w:val="center"/>
                    <w:textAlignment w:val="center"/>
                    <w:rPr>
                      <w:sz w:val="18"/>
                      <w:szCs w:val="18"/>
                    </w:rPr>
                  </w:pPr>
                  <w:r>
                    <w:rPr>
                      <w:rFonts w:hint="eastAsia"/>
                      <w:sz w:val="18"/>
                      <w:szCs w:val="18"/>
                    </w:rPr>
                    <w:t>28</w:t>
                  </w:r>
                </w:p>
              </w:tc>
              <w:tc>
                <w:tcPr>
                  <w:tcW w:w="541" w:type="dxa"/>
                  <w:vAlign w:val="center"/>
                </w:tcPr>
                <w:p>
                  <w:pPr>
                    <w:widowControl/>
                    <w:jc w:val="center"/>
                    <w:textAlignment w:val="center"/>
                    <w:rPr>
                      <w:sz w:val="18"/>
                      <w:szCs w:val="18"/>
                    </w:rPr>
                  </w:pPr>
                  <w:r>
                    <w:rPr>
                      <w:rFonts w:hint="eastAsia"/>
                      <w:sz w:val="18"/>
                      <w:szCs w:val="18"/>
                    </w:rPr>
                    <w:t>55</w:t>
                  </w:r>
                </w:p>
              </w:tc>
              <w:tc>
                <w:tcPr>
                  <w:tcW w:w="921" w:type="dxa"/>
                  <w:vAlign w:val="center"/>
                </w:tcPr>
                <w:p>
                  <w:pPr>
                    <w:widowControl/>
                    <w:jc w:val="center"/>
                    <w:textAlignment w:val="center"/>
                    <w:rPr>
                      <w:sz w:val="18"/>
                      <w:szCs w:val="18"/>
                    </w:rPr>
                  </w:pPr>
                  <w:r>
                    <w:rPr>
                      <w:rFonts w:hint="eastAsia"/>
                      <w:sz w:val="18"/>
                      <w:szCs w:val="18"/>
                    </w:rPr>
                    <w:t>31</w:t>
                  </w:r>
                </w:p>
              </w:tc>
              <w:tc>
                <w:tcPr>
                  <w:tcW w:w="886" w:type="dxa"/>
                  <w:vAlign w:val="center"/>
                </w:tcPr>
                <w:p>
                  <w:pPr>
                    <w:widowControl/>
                    <w:jc w:val="center"/>
                    <w:textAlignment w:val="center"/>
                    <w:rPr>
                      <w:sz w:val="18"/>
                      <w:szCs w:val="18"/>
                    </w:rPr>
                  </w:pPr>
                  <w:r>
                    <w:rPr>
                      <w:rFonts w:hint="eastAsia"/>
                      <w:sz w:val="18"/>
                      <w:szCs w:val="18"/>
                    </w:rPr>
                    <w:t>31</w:t>
                  </w:r>
                </w:p>
              </w:tc>
              <w:tc>
                <w:tcPr>
                  <w:tcW w:w="612" w:type="dxa"/>
                  <w:vAlign w:val="center"/>
                </w:tcPr>
                <w:p>
                  <w:pPr>
                    <w:widowControl/>
                    <w:jc w:val="center"/>
                    <w:textAlignment w:val="center"/>
                    <w:rPr>
                      <w:sz w:val="18"/>
                      <w:szCs w:val="18"/>
                    </w:rPr>
                  </w:pPr>
                  <w:r>
                    <w:rPr>
                      <w:rFonts w:hint="eastAsia"/>
                      <w:sz w:val="18"/>
                      <w:szCs w:val="18"/>
                    </w:rPr>
                    <w:t>100</w:t>
                  </w:r>
                </w:p>
              </w:tc>
              <w:tc>
                <w:tcPr>
                  <w:tcW w:w="874" w:type="dxa"/>
                  <w:vAlign w:val="center"/>
                </w:tcPr>
                <w:p>
                  <w:pPr>
                    <w:widowControl/>
                    <w:jc w:val="center"/>
                    <w:textAlignment w:val="center"/>
                    <w:rPr>
                      <w:sz w:val="18"/>
                      <w:szCs w:val="18"/>
                    </w:rPr>
                  </w:pPr>
                  <w:r>
                    <w:rPr>
                      <w:rFonts w:hint="eastAsia"/>
                      <w:sz w:val="18"/>
                      <w:szCs w:val="18"/>
                    </w:rPr>
                    <w:t>0</w:t>
                  </w:r>
                </w:p>
              </w:tc>
              <w:tc>
                <w:tcPr>
                  <w:tcW w:w="805" w:type="dxa"/>
                  <w:vAlign w:val="center"/>
                </w:tcPr>
                <w:p>
                  <w:pPr>
                    <w:widowControl/>
                    <w:jc w:val="center"/>
                    <w:textAlignment w:val="center"/>
                    <w:rPr>
                      <w:sz w:val="18"/>
                      <w:szCs w:val="18"/>
                    </w:rPr>
                  </w:pPr>
                  <w:r>
                    <w:rPr>
                      <w:rFonts w:hint="eastAsia"/>
                      <w:sz w:val="18"/>
                      <w:szCs w:val="18"/>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628" w:type="dxa"/>
                  <w:vAlign w:val="center"/>
                </w:tcPr>
                <w:p>
                  <w:pPr>
                    <w:widowControl/>
                    <w:jc w:val="center"/>
                    <w:textAlignment w:val="center"/>
                    <w:rPr>
                      <w:sz w:val="18"/>
                      <w:szCs w:val="18"/>
                    </w:rPr>
                  </w:pPr>
                  <w:r>
                    <w:rPr>
                      <w:sz w:val="18"/>
                      <w:szCs w:val="18"/>
                    </w:rPr>
                    <w:t>4</w:t>
                  </w:r>
                  <w:r>
                    <w:rPr>
                      <w:rFonts w:ascii="宋体" w:hAnsi="宋体"/>
                      <w:sz w:val="18"/>
                      <w:szCs w:val="18"/>
                    </w:rPr>
                    <w:t>月</w:t>
                  </w:r>
                </w:p>
              </w:tc>
              <w:tc>
                <w:tcPr>
                  <w:tcW w:w="552" w:type="dxa"/>
                  <w:vAlign w:val="center"/>
                </w:tcPr>
                <w:p>
                  <w:pPr>
                    <w:widowControl/>
                    <w:jc w:val="center"/>
                    <w:textAlignment w:val="center"/>
                    <w:rPr>
                      <w:sz w:val="18"/>
                      <w:szCs w:val="18"/>
                    </w:rPr>
                  </w:pPr>
                  <w:r>
                    <w:rPr>
                      <w:rFonts w:hint="eastAsia"/>
                      <w:sz w:val="18"/>
                      <w:szCs w:val="18"/>
                    </w:rPr>
                    <w:t>3</w:t>
                  </w:r>
                </w:p>
              </w:tc>
              <w:tc>
                <w:tcPr>
                  <w:tcW w:w="530" w:type="dxa"/>
                  <w:vAlign w:val="center"/>
                </w:tcPr>
                <w:p>
                  <w:pPr>
                    <w:widowControl/>
                    <w:jc w:val="center"/>
                    <w:textAlignment w:val="center"/>
                    <w:rPr>
                      <w:sz w:val="18"/>
                      <w:szCs w:val="18"/>
                    </w:rPr>
                  </w:pPr>
                  <w:r>
                    <w:rPr>
                      <w:rFonts w:hint="eastAsia"/>
                      <w:sz w:val="18"/>
                      <w:szCs w:val="18"/>
                    </w:rPr>
                    <w:t>20</w:t>
                  </w:r>
                </w:p>
              </w:tc>
              <w:tc>
                <w:tcPr>
                  <w:tcW w:w="572" w:type="dxa"/>
                  <w:vAlign w:val="center"/>
                </w:tcPr>
                <w:p>
                  <w:pPr>
                    <w:widowControl/>
                    <w:jc w:val="center"/>
                    <w:textAlignment w:val="center"/>
                    <w:rPr>
                      <w:sz w:val="18"/>
                      <w:szCs w:val="18"/>
                    </w:rPr>
                  </w:pPr>
                  <w:r>
                    <w:rPr>
                      <w:rFonts w:hint="eastAsia"/>
                      <w:sz w:val="18"/>
                      <w:szCs w:val="18"/>
                    </w:rPr>
                    <w:t>0.6</w:t>
                  </w:r>
                </w:p>
              </w:tc>
              <w:tc>
                <w:tcPr>
                  <w:tcW w:w="498" w:type="dxa"/>
                  <w:vAlign w:val="center"/>
                </w:tcPr>
                <w:p>
                  <w:pPr>
                    <w:widowControl/>
                    <w:jc w:val="center"/>
                    <w:textAlignment w:val="center"/>
                    <w:rPr>
                      <w:sz w:val="18"/>
                      <w:szCs w:val="18"/>
                    </w:rPr>
                  </w:pPr>
                  <w:r>
                    <w:rPr>
                      <w:rFonts w:hint="eastAsia"/>
                      <w:sz w:val="18"/>
                      <w:szCs w:val="18"/>
                    </w:rPr>
                    <w:t>110</w:t>
                  </w:r>
                </w:p>
              </w:tc>
              <w:tc>
                <w:tcPr>
                  <w:tcW w:w="564" w:type="dxa"/>
                  <w:vAlign w:val="center"/>
                </w:tcPr>
                <w:p>
                  <w:pPr>
                    <w:widowControl/>
                    <w:jc w:val="center"/>
                    <w:textAlignment w:val="center"/>
                    <w:rPr>
                      <w:sz w:val="18"/>
                      <w:szCs w:val="18"/>
                    </w:rPr>
                  </w:pPr>
                  <w:r>
                    <w:rPr>
                      <w:rFonts w:hint="eastAsia"/>
                      <w:sz w:val="18"/>
                      <w:szCs w:val="18"/>
                    </w:rPr>
                    <w:t>19</w:t>
                  </w:r>
                </w:p>
              </w:tc>
              <w:tc>
                <w:tcPr>
                  <w:tcW w:w="541" w:type="dxa"/>
                  <w:vAlign w:val="center"/>
                </w:tcPr>
                <w:p>
                  <w:pPr>
                    <w:widowControl/>
                    <w:jc w:val="center"/>
                    <w:textAlignment w:val="center"/>
                    <w:rPr>
                      <w:sz w:val="18"/>
                      <w:szCs w:val="18"/>
                    </w:rPr>
                  </w:pPr>
                  <w:r>
                    <w:rPr>
                      <w:rFonts w:hint="eastAsia"/>
                      <w:sz w:val="18"/>
                      <w:szCs w:val="18"/>
                    </w:rPr>
                    <w:t>47</w:t>
                  </w:r>
                </w:p>
              </w:tc>
              <w:tc>
                <w:tcPr>
                  <w:tcW w:w="921" w:type="dxa"/>
                  <w:vAlign w:val="center"/>
                </w:tcPr>
                <w:p>
                  <w:pPr>
                    <w:widowControl/>
                    <w:jc w:val="center"/>
                    <w:textAlignment w:val="center"/>
                    <w:rPr>
                      <w:sz w:val="18"/>
                      <w:szCs w:val="18"/>
                    </w:rPr>
                  </w:pPr>
                  <w:r>
                    <w:rPr>
                      <w:rFonts w:hint="eastAsia"/>
                      <w:sz w:val="18"/>
                      <w:szCs w:val="18"/>
                    </w:rPr>
                    <w:t>30</w:t>
                  </w:r>
                </w:p>
              </w:tc>
              <w:tc>
                <w:tcPr>
                  <w:tcW w:w="886" w:type="dxa"/>
                  <w:vAlign w:val="center"/>
                </w:tcPr>
                <w:p>
                  <w:pPr>
                    <w:widowControl/>
                    <w:jc w:val="center"/>
                    <w:textAlignment w:val="center"/>
                    <w:rPr>
                      <w:sz w:val="18"/>
                      <w:szCs w:val="18"/>
                    </w:rPr>
                  </w:pPr>
                  <w:r>
                    <w:rPr>
                      <w:rFonts w:hint="eastAsia"/>
                      <w:sz w:val="18"/>
                      <w:szCs w:val="18"/>
                    </w:rPr>
                    <w:t>30</w:t>
                  </w:r>
                </w:p>
              </w:tc>
              <w:tc>
                <w:tcPr>
                  <w:tcW w:w="612" w:type="dxa"/>
                  <w:vAlign w:val="center"/>
                </w:tcPr>
                <w:p>
                  <w:pPr>
                    <w:widowControl/>
                    <w:jc w:val="center"/>
                    <w:textAlignment w:val="center"/>
                    <w:rPr>
                      <w:sz w:val="18"/>
                      <w:szCs w:val="18"/>
                    </w:rPr>
                  </w:pPr>
                  <w:r>
                    <w:rPr>
                      <w:rFonts w:hint="eastAsia"/>
                      <w:sz w:val="18"/>
                      <w:szCs w:val="18"/>
                    </w:rPr>
                    <w:t>100</w:t>
                  </w:r>
                </w:p>
              </w:tc>
              <w:tc>
                <w:tcPr>
                  <w:tcW w:w="874" w:type="dxa"/>
                  <w:vAlign w:val="center"/>
                </w:tcPr>
                <w:p>
                  <w:pPr>
                    <w:widowControl/>
                    <w:jc w:val="center"/>
                    <w:textAlignment w:val="center"/>
                    <w:rPr>
                      <w:sz w:val="18"/>
                      <w:szCs w:val="18"/>
                    </w:rPr>
                  </w:pPr>
                  <w:r>
                    <w:rPr>
                      <w:rFonts w:hint="eastAsia"/>
                      <w:sz w:val="18"/>
                      <w:szCs w:val="18"/>
                    </w:rPr>
                    <w:t>0</w:t>
                  </w:r>
                </w:p>
              </w:tc>
              <w:tc>
                <w:tcPr>
                  <w:tcW w:w="805" w:type="dxa"/>
                  <w:vAlign w:val="center"/>
                </w:tcPr>
                <w:p>
                  <w:pPr>
                    <w:widowControl/>
                    <w:jc w:val="center"/>
                    <w:textAlignment w:val="center"/>
                    <w:rPr>
                      <w:sz w:val="18"/>
                      <w:szCs w:val="18"/>
                    </w:rPr>
                  </w:pPr>
                  <w:r>
                    <w:rPr>
                      <w:rFonts w:hint="eastAsia"/>
                      <w:sz w:val="18"/>
                      <w:szCs w:val="18"/>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628" w:type="dxa"/>
                  <w:vAlign w:val="center"/>
                </w:tcPr>
                <w:p>
                  <w:pPr>
                    <w:widowControl/>
                    <w:jc w:val="center"/>
                    <w:textAlignment w:val="center"/>
                    <w:rPr>
                      <w:sz w:val="18"/>
                      <w:szCs w:val="18"/>
                    </w:rPr>
                  </w:pPr>
                  <w:r>
                    <w:rPr>
                      <w:sz w:val="18"/>
                      <w:szCs w:val="18"/>
                    </w:rPr>
                    <w:t>5</w:t>
                  </w:r>
                  <w:r>
                    <w:rPr>
                      <w:rFonts w:ascii="宋体" w:hAnsi="宋体"/>
                      <w:sz w:val="18"/>
                      <w:szCs w:val="18"/>
                    </w:rPr>
                    <w:t>月</w:t>
                  </w:r>
                </w:p>
              </w:tc>
              <w:tc>
                <w:tcPr>
                  <w:tcW w:w="552" w:type="dxa"/>
                  <w:vAlign w:val="center"/>
                </w:tcPr>
                <w:p>
                  <w:pPr>
                    <w:widowControl/>
                    <w:jc w:val="center"/>
                    <w:textAlignment w:val="center"/>
                    <w:rPr>
                      <w:sz w:val="18"/>
                      <w:szCs w:val="18"/>
                    </w:rPr>
                  </w:pPr>
                  <w:r>
                    <w:rPr>
                      <w:rFonts w:hint="eastAsia"/>
                      <w:sz w:val="18"/>
                      <w:szCs w:val="18"/>
                    </w:rPr>
                    <w:t>4</w:t>
                  </w:r>
                </w:p>
              </w:tc>
              <w:tc>
                <w:tcPr>
                  <w:tcW w:w="530" w:type="dxa"/>
                  <w:vAlign w:val="center"/>
                </w:tcPr>
                <w:p>
                  <w:pPr>
                    <w:widowControl/>
                    <w:jc w:val="center"/>
                    <w:textAlignment w:val="center"/>
                    <w:rPr>
                      <w:sz w:val="18"/>
                      <w:szCs w:val="18"/>
                    </w:rPr>
                  </w:pPr>
                  <w:r>
                    <w:rPr>
                      <w:rFonts w:hint="eastAsia"/>
                      <w:sz w:val="18"/>
                      <w:szCs w:val="18"/>
                    </w:rPr>
                    <w:t>22</w:t>
                  </w:r>
                </w:p>
              </w:tc>
              <w:tc>
                <w:tcPr>
                  <w:tcW w:w="572" w:type="dxa"/>
                  <w:vAlign w:val="center"/>
                </w:tcPr>
                <w:p>
                  <w:pPr>
                    <w:widowControl/>
                    <w:jc w:val="center"/>
                    <w:textAlignment w:val="center"/>
                    <w:rPr>
                      <w:sz w:val="18"/>
                      <w:szCs w:val="18"/>
                    </w:rPr>
                  </w:pPr>
                  <w:r>
                    <w:rPr>
                      <w:rFonts w:hint="eastAsia"/>
                      <w:sz w:val="18"/>
                      <w:szCs w:val="18"/>
                    </w:rPr>
                    <w:t>0.7</w:t>
                  </w:r>
                </w:p>
              </w:tc>
              <w:tc>
                <w:tcPr>
                  <w:tcW w:w="498" w:type="dxa"/>
                  <w:vAlign w:val="center"/>
                </w:tcPr>
                <w:p>
                  <w:pPr>
                    <w:widowControl/>
                    <w:jc w:val="center"/>
                    <w:textAlignment w:val="center"/>
                    <w:rPr>
                      <w:sz w:val="18"/>
                      <w:szCs w:val="18"/>
                    </w:rPr>
                  </w:pPr>
                  <w:r>
                    <w:rPr>
                      <w:rFonts w:hint="eastAsia"/>
                      <w:sz w:val="18"/>
                      <w:szCs w:val="18"/>
                    </w:rPr>
                    <w:t>113</w:t>
                  </w:r>
                </w:p>
              </w:tc>
              <w:tc>
                <w:tcPr>
                  <w:tcW w:w="564" w:type="dxa"/>
                  <w:vAlign w:val="center"/>
                </w:tcPr>
                <w:p>
                  <w:pPr>
                    <w:widowControl/>
                    <w:jc w:val="center"/>
                    <w:textAlignment w:val="center"/>
                    <w:rPr>
                      <w:sz w:val="18"/>
                      <w:szCs w:val="18"/>
                    </w:rPr>
                  </w:pPr>
                  <w:r>
                    <w:rPr>
                      <w:rFonts w:hint="eastAsia"/>
                      <w:sz w:val="18"/>
                      <w:szCs w:val="18"/>
                    </w:rPr>
                    <w:t>22</w:t>
                  </w:r>
                </w:p>
              </w:tc>
              <w:tc>
                <w:tcPr>
                  <w:tcW w:w="541" w:type="dxa"/>
                  <w:vAlign w:val="center"/>
                </w:tcPr>
                <w:p>
                  <w:pPr>
                    <w:widowControl/>
                    <w:jc w:val="center"/>
                    <w:textAlignment w:val="center"/>
                    <w:rPr>
                      <w:sz w:val="18"/>
                      <w:szCs w:val="18"/>
                    </w:rPr>
                  </w:pPr>
                  <w:r>
                    <w:rPr>
                      <w:rFonts w:hint="eastAsia"/>
                      <w:sz w:val="18"/>
                      <w:szCs w:val="18"/>
                    </w:rPr>
                    <w:t>46</w:t>
                  </w:r>
                </w:p>
              </w:tc>
              <w:tc>
                <w:tcPr>
                  <w:tcW w:w="921" w:type="dxa"/>
                  <w:vAlign w:val="center"/>
                </w:tcPr>
                <w:p>
                  <w:pPr>
                    <w:widowControl/>
                    <w:jc w:val="center"/>
                    <w:textAlignment w:val="center"/>
                    <w:rPr>
                      <w:sz w:val="18"/>
                      <w:szCs w:val="18"/>
                    </w:rPr>
                  </w:pPr>
                  <w:r>
                    <w:rPr>
                      <w:rFonts w:hint="eastAsia"/>
                      <w:sz w:val="18"/>
                      <w:szCs w:val="18"/>
                    </w:rPr>
                    <w:t>31</w:t>
                  </w:r>
                </w:p>
              </w:tc>
              <w:tc>
                <w:tcPr>
                  <w:tcW w:w="886" w:type="dxa"/>
                  <w:vAlign w:val="center"/>
                </w:tcPr>
                <w:p>
                  <w:pPr>
                    <w:widowControl/>
                    <w:jc w:val="center"/>
                    <w:textAlignment w:val="center"/>
                    <w:rPr>
                      <w:sz w:val="18"/>
                      <w:szCs w:val="18"/>
                    </w:rPr>
                  </w:pPr>
                  <w:r>
                    <w:rPr>
                      <w:rFonts w:hint="eastAsia"/>
                      <w:sz w:val="18"/>
                      <w:szCs w:val="18"/>
                    </w:rPr>
                    <w:t>31</w:t>
                  </w:r>
                </w:p>
              </w:tc>
              <w:tc>
                <w:tcPr>
                  <w:tcW w:w="612" w:type="dxa"/>
                  <w:vAlign w:val="center"/>
                </w:tcPr>
                <w:p>
                  <w:pPr>
                    <w:widowControl/>
                    <w:jc w:val="center"/>
                    <w:textAlignment w:val="center"/>
                    <w:rPr>
                      <w:sz w:val="18"/>
                      <w:szCs w:val="18"/>
                    </w:rPr>
                  </w:pPr>
                  <w:r>
                    <w:rPr>
                      <w:rFonts w:hint="eastAsia"/>
                      <w:sz w:val="18"/>
                      <w:szCs w:val="18"/>
                    </w:rPr>
                    <w:t>100</w:t>
                  </w:r>
                </w:p>
              </w:tc>
              <w:tc>
                <w:tcPr>
                  <w:tcW w:w="874" w:type="dxa"/>
                  <w:vAlign w:val="center"/>
                </w:tcPr>
                <w:p>
                  <w:pPr>
                    <w:widowControl/>
                    <w:jc w:val="center"/>
                    <w:textAlignment w:val="center"/>
                    <w:rPr>
                      <w:sz w:val="18"/>
                      <w:szCs w:val="18"/>
                    </w:rPr>
                  </w:pPr>
                  <w:r>
                    <w:rPr>
                      <w:rFonts w:hint="eastAsia"/>
                      <w:sz w:val="18"/>
                      <w:szCs w:val="18"/>
                    </w:rPr>
                    <w:t>0</w:t>
                  </w:r>
                </w:p>
              </w:tc>
              <w:tc>
                <w:tcPr>
                  <w:tcW w:w="805" w:type="dxa"/>
                  <w:vAlign w:val="center"/>
                </w:tcPr>
                <w:p>
                  <w:pPr>
                    <w:widowControl/>
                    <w:jc w:val="center"/>
                    <w:textAlignment w:val="center"/>
                    <w:rPr>
                      <w:sz w:val="18"/>
                      <w:szCs w:val="18"/>
                    </w:rPr>
                  </w:pPr>
                  <w:r>
                    <w:rPr>
                      <w:rFonts w:hint="eastAsia"/>
                      <w:sz w:val="18"/>
                      <w:szCs w:val="18"/>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628" w:type="dxa"/>
                  <w:vAlign w:val="center"/>
                </w:tcPr>
                <w:p>
                  <w:pPr>
                    <w:widowControl/>
                    <w:jc w:val="center"/>
                    <w:textAlignment w:val="center"/>
                    <w:rPr>
                      <w:sz w:val="18"/>
                      <w:szCs w:val="18"/>
                    </w:rPr>
                  </w:pPr>
                  <w:r>
                    <w:rPr>
                      <w:sz w:val="18"/>
                      <w:szCs w:val="18"/>
                    </w:rPr>
                    <w:t>6</w:t>
                  </w:r>
                  <w:r>
                    <w:rPr>
                      <w:rFonts w:ascii="宋体" w:hAnsi="宋体"/>
                      <w:sz w:val="18"/>
                      <w:szCs w:val="18"/>
                    </w:rPr>
                    <w:t>月</w:t>
                  </w:r>
                </w:p>
              </w:tc>
              <w:tc>
                <w:tcPr>
                  <w:tcW w:w="552" w:type="dxa"/>
                  <w:vAlign w:val="center"/>
                </w:tcPr>
                <w:p>
                  <w:pPr>
                    <w:widowControl/>
                    <w:jc w:val="center"/>
                    <w:textAlignment w:val="center"/>
                    <w:rPr>
                      <w:sz w:val="18"/>
                      <w:szCs w:val="18"/>
                    </w:rPr>
                  </w:pPr>
                  <w:r>
                    <w:rPr>
                      <w:rFonts w:hint="eastAsia"/>
                      <w:sz w:val="18"/>
                      <w:szCs w:val="18"/>
                    </w:rPr>
                    <w:t>6</w:t>
                  </w:r>
                </w:p>
              </w:tc>
              <w:tc>
                <w:tcPr>
                  <w:tcW w:w="530" w:type="dxa"/>
                  <w:vAlign w:val="center"/>
                </w:tcPr>
                <w:p>
                  <w:pPr>
                    <w:widowControl/>
                    <w:jc w:val="center"/>
                    <w:textAlignment w:val="center"/>
                    <w:rPr>
                      <w:sz w:val="18"/>
                      <w:szCs w:val="18"/>
                    </w:rPr>
                  </w:pPr>
                  <w:r>
                    <w:rPr>
                      <w:rFonts w:hint="eastAsia"/>
                      <w:sz w:val="18"/>
                      <w:szCs w:val="18"/>
                    </w:rPr>
                    <w:t>22</w:t>
                  </w:r>
                </w:p>
              </w:tc>
              <w:tc>
                <w:tcPr>
                  <w:tcW w:w="572" w:type="dxa"/>
                  <w:vAlign w:val="center"/>
                </w:tcPr>
                <w:p>
                  <w:pPr>
                    <w:widowControl/>
                    <w:jc w:val="center"/>
                    <w:textAlignment w:val="center"/>
                    <w:rPr>
                      <w:sz w:val="18"/>
                      <w:szCs w:val="18"/>
                    </w:rPr>
                  </w:pPr>
                  <w:r>
                    <w:rPr>
                      <w:rFonts w:hint="eastAsia"/>
                      <w:sz w:val="18"/>
                      <w:szCs w:val="18"/>
                    </w:rPr>
                    <w:t>0.7</w:t>
                  </w:r>
                </w:p>
              </w:tc>
              <w:tc>
                <w:tcPr>
                  <w:tcW w:w="498" w:type="dxa"/>
                  <w:vAlign w:val="center"/>
                </w:tcPr>
                <w:p>
                  <w:pPr>
                    <w:widowControl/>
                    <w:jc w:val="center"/>
                    <w:textAlignment w:val="center"/>
                    <w:rPr>
                      <w:sz w:val="18"/>
                      <w:szCs w:val="18"/>
                    </w:rPr>
                  </w:pPr>
                  <w:r>
                    <w:rPr>
                      <w:rFonts w:hint="eastAsia"/>
                      <w:sz w:val="18"/>
                      <w:szCs w:val="18"/>
                    </w:rPr>
                    <w:t>123</w:t>
                  </w:r>
                </w:p>
              </w:tc>
              <w:tc>
                <w:tcPr>
                  <w:tcW w:w="564" w:type="dxa"/>
                  <w:vAlign w:val="center"/>
                </w:tcPr>
                <w:p>
                  <w:pPr>
                    <w:widowControl/>
                    <w:jc w:val="center"/>
                    <w:textAlignment w:val="center"/>
                    <w:rPr>
                      <w:sz w:val="18"/>
                      <w:szCs w:val="18"/>
                    </w:rPr>
                  </w:pPr>
                  <w:r>
                    <w:rPr>
                      <w:rFonts w:hint="eastAsia"/>
                      <w:sz w:val="18"/>
                      <w:szCs w:val="18"/>
                    </w:rPr>
                    <w:t>16</w:t>
                  </w:r>
                </w:p>
              </w:tc>
              <w:tc>
                <w:tcPr>
                  <w:tcW w:w="541" w:type="dxa"/>
                  <w:vAlign w:val="center"/>
                </w:tcPr>
                <w:p>
                  <w:pPr>
                    <w:widowControl/>
                    <w:jc w:val="center"/>
                    <w:textAlignment w:val="center"/>
                    <w:rPr>
                      <w:sz w:val="18"/>
                      <w:szCs w:val="18"/>
                    </w:rPr>
                  </w:pPr>
                  <w:r>
                    <w:rPr>
                      <w:rFonts w:hint="eastAsia"/>
                      <w:sz w:val="18"/>
                      <w:szCs w:val="18"/>
                    </w:rPr>
                    <w:t>43</w:t>
                  </w:r>
                </w:p>
              </w:tc>
              <w:tc>
                <w:tcPr>
                  <w:tcW w:w="921" w:type="dxa"/>
                  <w:vAlign w:val="center"/>
                </w:tcPr>
                <w:p>
                  <w:pPr>
                    <w:widowControl/>
                    <w:jc w:val="center"/>
                    <w:textAlignment w:val="center"/>
                    <w:rPr>
                      <w:sz w:val="18"/>
                      <w:szCs w:val="18"/>
                    </w:rPr>
                  </w:pPr>
                  <w:r>
                    <w:rPr>
                      <w:rFonts w:hint="eastAsia"/>
                      <w:sz w:val="18"/>
                      <w:szCs w:val="18"/>
                    </w:rPr>
                    <w:t>30</w:t>
                  </w:r>
                </w:p>
              </w:tc>
              <w:tc>
                <w:tcPr>
                  <w:tcW w:w="886" w:type="dxa"/>
                  <w:vAlign w:val="center"/>
                </w:tcPr>
                <w:p>
                  <w:pPr>
                    <w:widowControl/>
                    <w:jc w:val="center"/>
                    <w:textAlignment w:val="center"/>
                    <w:rPr>
                      <w:sz w:val="18"/>
                      <w:szCs w:val="18"/>
                    </w:rPr>
                  </w:pPr>
                  <w:r>
                    <w:rPr>
                      <w:rFonts w:hint="eastAsia"/>
                      <w:sz w:val="18"/>
                      <w:szCs w:val="18"/>
                    </w:rPr>
                    <w:t>30</w:t>
                  </w:r>
                </w:p>
              </w:tc>
              <w:tc>
                <w:tcPr>
                  <w:tcW w:w="612" w:type="dxa"/>
                  <w:vAlign w:val="center"/>
                </w:tcPr>
                <w:p>
                  <w:pPr>
                    <w:widowControl/>
                    <w:jc w:val="center"/>
                    <w:textAlignment w:val="center"/>
                    <w:rPr>
                      <w:sz w:val="18"/>
                      <w:szCs w:val="18"/>
                    </w:rPr>
                  </w:pPr>
                  <w:r>
                    <w:rPr>
                      <w:rFonts w:hint="eastAsia"/>
                      <w:sz w:val="18"/>
                      <w:szCs w:val="18"/>
                    </w:rPr>
                    <w:t>100</w:t>
                  </w:r>
                </w:p>
              </w:tc>
              <w:tc>
                <w:tcPr>
                  <w:tcW w:w="874" w:type="dxa"/>
                  <w:vAlign w:val="center"/>
                </w:tcPr>
                <w:p>
                  <w:pPr>
                    <w:widowControl/>
                    <w:jc w:val="center"/>
                    <w:textAlignment w:val="center"/>
                    <w:rPr>
                      <w:sz w:val="18"/>
                      <w:szCs w:val="18"/>
                    </w:rPr>
                  </w:pPr>
                  <w:r>
                    <w:rPr>
                      <w:rFonts w:hint="eastAsia"/>
                      <w:sz w:val="18"/>
                      <w:szCs w:val="18"/>
                    </w:rPr>
                    <w:t>0</w:t>
                  </w:r>
                </w:p>
              </w:tc>
              <w:tc>
                <w:tcPr>
                  <w:tcW w:w="805" w:type="dxa"/>
                  <w:vAlign w:val="center"/>
                </w:tcPr>
                <w:p>
                  <w:pPr>
                    <w:widowControl/>
                    <w:jc w:val="center"/>
                    <w:textAlignment w:val="center"/>
                    <w:rPr>
                      <w:sz w:val="18"/>
                      <w:szCs w:val="18"/>
                    </w:rPr>
                  </w:pPr>
                  <w:r>
                    <w:rPr>
                      <w:rFonts w:hint="eastAsia"/>
                      <w:sz w:val="18"/>
                      <w:szCs w:val="18"/>
                    </w:rPr>
                    <w:t>2.67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628" w:type="dxa"/>
                  <w:vAlign w:val="center"/>
                </w:tcPr>
                <w:p>
                  <w:pPr>
                    <w:widowControl/>
                    <w:jc w:val="center"/>
                    <w:textAlignment w:val="center"/>
                    <w:rPr>
                      <w:sz w:val="18"/>
                      <w:szCs w:val="18"/>
                    </w:rPr>
                  </w:pPr>
                  <w:r>
                    <w:rPr>
                      <w:sz w:val="18"/>
                      <w:szCs w:val="18"/>
                    </w:rPr>
                    <w:t>7</w:t>
                  </w:r>
                  <w:r>
                    <w:rPr>
                      <w:rFonts w:ascii="宋体" w:hAnsi="宋体"/>
                      <w:sz w:val="18"/>
                      <w:szCs w:val="18"/>
                    </w:rPr>
                    <w:t>月</w:t>
                  </w:r>
                </w:p>
              </w:tc>
              <w:tc>
                <w:tcPr>
                  <w:tcW w:w="552" w:type="dxa"/>
                  <w:vAlign w:val="center"/>
                </w:tcPr>
                <w:p>
                  <w:pPr>
                    <w:widowControl/>
                    <w:jc w:val="center"/>
                    <w:textAlignment w:val="center"/>
                    <w:rPr>
                      <w:sz w:val="18"/>
                      <w:szCs w:val="18"/>
                    </w:rPr>
                  </w:pPr>
                  <w:r>
                    <w:rPr>
                      <w:rFonts w:hint="eastAsia"/>
                      <w:sz w:val="18"/>
                      <w:szCs w:val="18"/>
                    </w:rPr>
                    <w:t>4</w:t>
                  </w:r>
                </w:p>
              </w:tc>
              <w:tc>
                <w:tcPr>
                  <w:tcW w:w="530" w:type="dxa"/>
                  <w:vAlign w:val="center"/>
                </w:tcPr>
                <w:p>
                  <w:pPr>
                    <w:widowControl/>
                    <w:jc w:val="center"/>
                    <w:textAlignment w:val="center"/>
                    <w:rPr>
                      <w:sz w:val="18"/>
                      <w:szCs w:val="18"/>
                    </w:rPr>
                  </w:pPr>
                  <w:r>
                    <w:rPr>
                      <w:rFonts w:hint="eastAsia"/>
                      <w:sz w:val="18"/>
                      <w:szCs w:val="18"/>
                    </w:rPr>
                    <w:t>16</w:t>
                  </w:r>
                </w:p>
              </w:tc>
              <w:tc>
                <w:tcPr>
                  <w:tcW w:w="572" w:type="dxa"/>
                  <w:vAlign w:val="center"/>
                </w:tcPr>
                <w:p>
                  <w:pPr>
                    <w:widowControl/>
                    <w:jc w:val="center"/>
                    <w:textAlignment w:val="center"/>
                    <w:rPr>
                      <w:sz w:val="18"/>
                      <w:szCs w:val="18"/>
                    </w:rPr>
                  </w:pPr>
                  <w:r>
                    <w:rPr>
                      <w:rFonts w:hint="eastAsia"/>
                      <w:sz w:val="18"/>
                      <w:szCs w:val="18"/>
                    </w:rPr>
                    <w:t>0.4</w:t>
                  </w:r>
                </w:p>
              </w:tc>
              <w:tc>
                <w:tcPr>
                  <w:tcW w:w="498" w:type="dxa"/>
                  <w:vAlign w:val="center"/>
                </w:tcPr>
                <w:p>
                  <w:pPr>
                    <w:widowControl/>
                    <w:jc w:val="center"/>
                    <w:textAlignment w:val="center"/>
                    <w:rPr>
                      <w:sz w:val="18"/>
                      <w:szCs w:val="18"/>
                    </w:rPr>
                  </w:pPr>
                  <w:r>
                    <w:rPr>
                      <w:rFonts w:hint="eastAsia"/>
                      <w:sz w:val="18"/>
                      <w:szCs w:val="18"/>
                    </w:rPr>
                    <w:t>84</w:t>
                  </w:r>
                </w:p>
              </w:tc>
              <w:tc>
                <w:tcPr>
                  <w:tcW w:w="564" w:type="dxa"/>
                  <w:vAlign w:val="center"/>
                </w:tcPr>
                <w:p>
                  <w:pPr>
                    <w:widowControl/>
                    <w:jc w:val="center"/>
                    <w:textAlignment w:val="center"/>
                    <w:rPr>
                      <w:sz w:val="18"/>
                      <w:szCs w:val="18"/>
                    </w:rPr>
                  </w:pPr>
                  <w:r>
                    <w:rPr>
                      <w:rFonts w:hint="eastAsia"/>
                      <w:sz w:val="18"/>
                      <w:szCs w:val="18"/>
                    </w:rPr>
                    <w:t>12</w:t>
                  </w:r>
                </w:p>
              </w:tc>
              <w:tc>
                <w:tcPr>
                  <w:tcW w:w="541" w:type="dxa"/>
                  <w:vAlign w:val="center"/>
                </w:tcPr>
                <w:p>
                  <w:pPr>
                    <w:widowControl/>
                    <w:jc w:val="center"/>
                    <w:textAlignment w:val="center"/>
                    <w:rPr>
                      <w:sz w:val="18"/>
                      <w:szCs w:val="18"/>
                    </w:rPr>
                  </w:pPr>
                  <w:r>
                    <w:rPr>
                      <w:rFonts w:hint="eastAsia"/>
                      <w:sz w:val="18"/>
                      <w:szCs w:val="18"/>
                    </w:rPr>
                    <w:t>28</w:t>
                  </w:r>
                </w:p>
              </w:tc>
              <w:tc>
                <w:tcPr>
                  <w:tcW w:w="921" w:type="dxa"/>
                  <w:vAlign w:val="center"/>
                </w:tcPr>
                <w:p>
                  <w:pPr>
                    <w:widowControl/>
                    <w:jc w:val="center"/>
                    <w:textAlignment w:val="center"/>
                    <w:rPr>
                      <w:sz w:val="18"/>
                      <w:szCs w:val="18"/>
                    </w:rPr>
                  </w:pPr>
                  <w:r>
                    <w:rPr>
                      <w:rFonts w:hint="eastAsia"/>
                      <w:sz w:val="18"/>
                      <w:szCs w:val="18"/>
                    </w:rPr>
                    <w:t>31</w:t>
                  </w:r>
                </w:p>
              </w:tc>
              <w:tc>
                <w:tcPr>
                  <w:tcW w:w="886" w:type="dxa"/>
                  <w:vAlign w:val="center"/>
                </w:tcPr>
                <w:p>
                  <w:pPr>
                    <w:widowControl/>
                    <w:jc w:val="center"/>
                    <w:textAlignment w:val="center"/>
                    <w:rPr>
                      <w:sz w:val="18"/>
                      <w:szCs w:val="18"/>
                    </w:rPr>
                  </w:pPr>
                  <w:r>
                    <w:rPr>
                      <w:rFonts w:hint="eastAsia"/>
                      <w:sz w:val="18"/>
                      <w:szCs w:val="18"/>
                    </w:rPr>
                    <w:t>31</w:t>
                  </w:r>
                </w:p>
              </w:tc>
              <w:tc>
                <w:tcPr>
                  <w:tcW w:w="612" w:type="dxa"/>
                  <w:vAlign w:val="center"/>
                </w:tcPr>
                <w:p>
                  <w:pPr>
                    <w:widowControl/>
                    <w:jc w:val="center"/>
                    <w:textAlignment w:val="center"/>
                    <w:rPr>
                      <w:sz w:val="18"/>
                      <w:szCs w:val="18"/>
                    </w:rPr>
                  </w:pPr>
                  <w:r>
                    <w:rPr>
                      <w:rFonts w:hint="eastAsia"/>
                      <w:sz w:val="18"/>
                      <w:szCs w:val="18"/>
                    </w:rPr>
                    <w:t>100</w:t>
                  </w:r>
                </w:p>
              </w:tc>
              <w:tc>
                <w:tcPr>
                  <w:tcW w:w="874" w:type="dxa"/>
                  <w:vAlign w:val="center"/>
                </w:tcPr>
                <w:p>
                  <w:pPr>
                    <w:widowControl/>
                    <w:jc w:val="center"/>
                    <w:textAlignment w:val="center"/>
                    <w:rPr>
                      <w:sz w:val="18"/>
                      <w:szCs w:val="18"/>
                    </w:rPr>
                  </w:pPr>
                  <w:r>
                    <w:rPr>
                      <w:rFonts w:hint="eastAsia"/>
                      <w:sz w:val="18"/>
                      <w:szCs w:val="18"/>
                    </w:rPr>
                    <w:t>0</w:t>
                  </w:r>
                </w:p>
              </w:tc>
              <w:tc>
                <w:tcPr>
                  <w:tcW w:w="805" w:type="dxa"/>
                  <w:vAlign w:val="center"/>
                </w:tcPr>
                <w:p>
                  <w:pPr>
                    <w:widowControl/>
                    <w:jc w:val="center"/>
                    <w:textAlignment w:val="center"/>
                    <w:rPr>
                      <w:sz w:val="18"/>
                      <w:szCs w:val="18"/>
                    </w:rPr>
                  </w:pPr>
                  <w:r>
                    <w:rPr>
                      <w:rFonts w:hint="eastAsia"/>
                      <w:sz w:val="18"/>
                      <w:szCs w:val="18"/>
                    </w:rPr>
                    <w:t>1.83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628" w:type="dxa"/>
                  <w:vAlign w:val="center"/>
                </w:tcPr>
                <w:p>
                  <w:pPr>
                    <w:widowControl/>
                    <w:jc w:val="center"/>
                    <w:textAlignment w:val="center"/>
                    <w:rPr>
                      <w:sz w:val="18"/>
                      <w:szCs w:val="18"/>
                    </w:rPr>
                  </w:pPr>
                  <w:r>
                    <w:rPr>
                      <w:sz w:val="18"/>
                      <w:szCs w:val="18"/>
                    </w:rPr>
                    <w:t>8</w:t>
                  </w:r>
                  <w:r>
                    <w:rPr>
                      <w:rFonts w:ascii="宋体" w:hAnsi="宋体"/>
                      <w:sz w:val="18"/>
                      <w:szCs w:val="18"/>
                    </w:rPr>
                    <w:t>月</w:t>
                  </w:r>
                </w:p>
              </w:tc>
              <w:tc>
                <w:tcPr>
                  <w:tcW w:w="552" w:type="dxa"/>
                  <w:vAlign w:val="center"/>
                </w:tcPr>
                <w:p>
                  <w:pPr>
                    <w:widowControl/>
                    <w:jc w:val="center"/>
                    <w:textAlignment w:val="center"/>
                    <w:rPr>
                      <w:sz w:val="18"/>
                      <w:szCs w:val="18"/>
                    </w:rPr>
                  </w:pPr>
                  <w:r>
                    <w:rPr>
                      <w:rFonts w:hint="eastAsia"/>
                      <w:sz w:val="18"/>
                      <w:szCs w:val="18"/>
                    </w:rPr>
                    <w:t>6</w:t>
                  </w:r>
                </w:p>
              </w:tc>
              <w:tc>
                <w:tcPr>
                  <w:tcW w:w="530" w:type="dxa"/>
                  <w:vAlign w:val="center"/>
                </w:tcPr>
                <w:p>
                  <w:pPr>
                    <w:widowControl/>
                    <w:jc w:val="center"/>
                    <w:textAlignment w:val="center"/>
                    <w:rPr>
                      <w:sz w:val="18"/>
                      <w:szCs w:val="18"/>
                    </w:rPr>
                  </w:pPr>
                  <w:r>
                    <w:rPr>
                      <w:rFonts w:hint="eastAsia"/>
                      <w:sz w:val="18"/>
                      <w:szCs w:val="18"/>
                    </w:rPr>
                    <w:t>13</w:t>
                  </w:r>
                </w:p>
              </w:tc>
              <w:tc>
                <w:tcPr>
                  <w:tcW w:w="572" w:type="dxa"/>
                  <w:vAlign w:val="center"/>
                </w:tcPr>
                <w:p>
                  <w:pPr>
                    <w:widowControl/>
                    <w:jc w:val="center"/>
                    <w:textAlignment w:val="center"/>
                    <w:rPr>
                      <w:sz w:val="18"/>
                      <w:szCs w:val="18"/>
                    </w:rPr>
                  </w:pPr>
                  <w:r>
                    <w:rPr>
                      <w:rFonts w:hint="eastAsia"/>
                      <w:sz w:val="18"/>
                      <w:szCs w:val="18"/>
                    </w:rPr>
                    <w:t>1.0</w:t>
                  </w:r>
                </w:p>
              </w:tc>
              <w:tc>
                <w:tcPr>
                  <w:tcW w:w="498" w:type="dxa"/>
                  <w:vAlign w:val="center"/>
                </w:tcPr>
                <w:p>
                  <w:pPr>
                    <w:widowControl/>
                    <w:jc w:val="center"/>
                    <w:textAlignment w:val="center"/>
                    <w:rPr>
                      <w:sz w:val="18"/>
                      <w:szCs w:val="18"/>
                    </w:rPr>
                  </w:pPr>
                  <w:r>
                    <w:rPr>
                      <w:rFonts w:hint="eastAsia"/>
                      <w:sz w:val="18"/>
                      <w:szCs w:val="18"/>
                    </w:rPr>
                    <w:t>88</w:t>
                  </w:r>
                </w:p>
              </w:tc>
              <w:tc>
                <w:tcPr>
                  <w:tcW w:w="564" w:type="dxa"/>
                  <w:vAlign w:val="center"/>
                </w:tcPr>
                <w:p>
                  <w:pPr>
                    <w:widowControl/>
                    <w:jc w:val="center"/>
                    <w:textAlignment w:val="center"/>
                    <w:rPr>
                      <w:sz w:val="18"/>
                      <w:szCs w:val="18"/>
                    </w:rPr>
                  </w:pPr>
                  <w:r>
                    <w:rPr>
                      <w:rFonts w:hint="eastAsia"/>
                      <w:sz w:val="18"/>
                      <w:szCs w:val="18"/>
                    </w:rPr>
                    <w:t>14</w:t>
                  </w:r>
                </w:p>
              </w:tc>
              <w:tc>
                <w:tcPr>
                  <w:tcW w:w="541" w:type="dxa"/>
                  <w:vAlign w:val="center"/>
                </w:tcPr>
                <w:p>
                  <w:pPr>
                    <w:widowControl/>
                    <w:jc w:val="center"/>
                    <w:textAlignment w:val="center"/>
                    <w:rPr>
                      <w:sz w:val="18"/>
                      <w:szCs w:val="18"/>
                    </w:rPr>
                  </w:pPr>
                  <w:r>
                    <w:rPr>
                      <w:rFonts w:hint="eastAsia"/>
                      <w:sz w:val="18"/>
                      <w:szCs w:val="18"/>
                    </w:rPr>
                    <w:t>29</w:t>
                  </w:r>
                </w:p>
              </w:tc>
              <w:tc>
                <w:tcPr>
                  <w:tcW w:w="921" w:type="dxa"/>
                  <w:vAlign w:val="center"/>
                </w:tcPr>
                <w:p>
                  <w:pPr>
                    <w:widowControl/>
                    <w:jc w:val="center"/>
                    <w:textAlignment w:val="center"/>
                    <w:rPr>
                      <w:sz w:val="18"/>
                      <w:szCs w:val="18"/>
                    </w:rPr>
                  </w:pPr>
                  <w:r>
                    <w:rPr>
                      <w:rFonts w:hint="eastAsia"/>
                      <w:sz w:val="18"/>
                      <w:szCs w:val="18"/>
                    </w:rPr>
                    <w:t>31</w:t>
                  </w:r>
                </w:p>
              </w:tc>
              <w:tc>
                <w:tcPr>
                  <w:tcW w:w="886" w:type="dxa"/>
                  <w:vAlign w:val="center"/>
                </w:tcPr>
                <w:p>
                  <w:pPr>
                    <w:widowControl/>
                    <w:jc w:val="center"/>
                    <w:textAlignment w:val="center"/>
                    <w:rPr>
                      <w:sz w:val="18"/>
                      <w:szCs w:val="18"/>
                    </w:rPr>
                  </w:pPr>
                  <w:r>
                    <w:rPr>
                      <w:rFonts w:hint="eastAsia"/>
                      <w:sz w:val="18"/>
                      <w:szCs w:val="18"/>
                    </w:rPr>
                    <w:t>31</w:t>
                  </w:r>
                </w:p>
              </w:tc>
              <w:tc>
                <w:tcPr>
                  <w:tcW w:w="612" w:type="dxa"/>
                  <w:vAlign w:val="center"/>
                </w:tcPr>
                <w:p>
                  <w:pPr>
                    <w:widowControl/>
                    <w:jc w:val="center"/>
                    <w:textAlignment w:val="center"/>
                    <w:rPr>
                      <w:sz w:val="18"/>
                      <w:szCs w:val="18"/>
                    </w:rPr>
                  </w:pPr>
                  <w:r>
                    <w:rPr>
                      <w:rFonts w:hint="eastAsia"/>
                      <w:sz w:val="18"/>
                      <w:szCs w:val="18"/>
                    </w:rPr>
                    <w:t>100</w:t>
                  </w:r>
                </w:p>
              </w:tc>
              <w:tc>
                <w:tcPr>
                  <w:tcW w:w="874" w:type="dxa"/>
                  <w:vAlign w:val="center"/>
                </w:tcPr>
                <w:p>
                  <w:pPr>
                    <w:widowControl/>
                    <w:jc w:val="center"/>
                    <w:textAlignment w:val="center"/>
                    <w:rPr>
                      <w:sz w:val="18"/>
                      <w:szCs w:val="18"/>
                    </w:rPr>
                  </w:pPr>
                  <w:r>
                    <w:rPr>
                      <w:rFonts w:hint="eastAsia"/>
                      <w:sz w:val="18"/>
                      <w:szCs w:val="18"/>
                    </w:rPr>
                    <w:t>0</w:t>
                  </w:r>
                </w:p>
              </w:tc>
              <w:tc>
                <w:tcPr>
                  <w:tcW w:w="805" w:type="dxa"/>
                  <w:vAlign w:val="center"/>
                </w:tcPr>
                <w:p>
                  <w:pPr>
                    <w:widowControl/>
                    <w:jc w:val="center"/>
                    <w:textAlignment w:val="center"/>
                    <w:rPr>
                      <w:sz w:val="18"/>
                      <w:szCs w:val="18"/>
                    </w:rPr>
                  </w:pPr>
                  <w:r>
                    <w:rPr>
                      <w:rFonts w:hint="eastAsia"/>
                      <w:sz w:val="18"/>
                      <w:szCs w:val="18"/>
                    </w:rPr>
                    <w:t>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628" w:type="dxa"/>
                  <w:vAlign w:val="center"/>
                </w:tcPr>
                <w:p>
                  <w:pPr>
                    <w:widowControl/>
                    <w:jc w:val="center"/>
                    <w:textAlignment w:val="center"/>
                    <w:rPr>
                      <w:sz w:val="18"/>
                      <w:szCs w:val="18"/>
                    </w:rPr>
                  </w:pPr>
                  <w:r>
                    <w:rPr>
                      <w:sz w:val="18"/>
                      <w:szCs w:val="18"/>
                    </w:rPr>
                    <w:t>9</w:t>
                  </w:r>
                  <w:r>
                    <w:rPr>
                      <w:rFonts w:ascii="宋体" w:hAnsi="宋体"/>
                      <w:sz w:val="18"/>
                      <w:szCs w:val="18"/>
                    </w:rPr>
                    <w:t>月</w:t>
                  </w:r>
                </w:p>
              </w:tc>
              <w:tc>
                <w:tcPr>
                  <w:tcW w:w="552" w:type="dxa"/>
                  <w:vAlign w:val="center"/>
                </w:tcPr>
                <w:p>
                  <w:pPr>
                    <w:widowControl/>
                    <w:jc w:val="center"/>
                    <w:textAlignment w:val="center"/>
                    <w:rPr>
                      <w:sz w:val="18"/>
                      <w:szCs w:val="18"/>
                    </w:rPr>
                  </w:pPr>
                  <w:r>
                    <w:rPr>
                      <w:rFonts w:hint="eastAsia"/>
                      <w:sz w:val="18"/>
                      <w:szCs w:val="18"/>
                    </w:rPr>
                    <w:t>6</w:t>
                  </w:r>
                </w:p>
              </w:tc>
              <w:tc>
                <w:tcPr>
                  <w:tcW w:w="530" w:type="dxa"/>
                  <w:vAlign w:val="center"/>
                </w:tcPr>
                <w:p>
                  <w:pPr>
                    <w:widowControl/>
                    <w:jc w:val="center"/>
                    <w:textAlignment w:val="center"/>
                    <w:rPr>
                      <w:sz w:val="18"/>
                      <w:szCs w:val="18"/>
                    </w:rPr>
                  </w:pPr>
                  <w:r>
                    <w:rPr>
                      <w:rFonts w:hint="eastAsia"/>
                      <w:sz w:val="18"/>
                      <w:szCs w:val="18"/>
                    </w:rPr>
                    <w:t>15</w:t>
                  </w:r>
                </w:p>
              </w:tc>
              <w:tc>
                <w:tcPr>
                  <w:tcW w:w="572" w:type="dxa"/>
                  <w:vAlign w:val="center"/>
                </w:tcPr>
                <w:p>
                  <w:pPr>
                    <w:widowControl/>
                    <w:jc w:val="center"/>
                    <w:textAlignment w:val="center"/>
                    <w:rPr>
                      <w:sz w:val="18"/>
                      <w:szCs w:val="18"/>
                    </w:rPr>
                  </w:pPr>
                  <w:r>
                    <w:rPr>
                      <w:rFonts w:hint="eastAsia"/>
                      <w:sz w:val="18"/>
                      <w:szCs w:val="18"/>
                    </w:rPr>
                    <w:t>1.1</w:t>
                  </w:r>
                </w:p>
              </w:tc>
              <w:tc>
                <w:tcPr>
                  <w:tcW w:w="498" w:type="dxa"/>
                  <w:vAlign w:val="center"/>
                </w:tcPr>
                <w:p>
                  <w:pPr>
                    <w:widowControl/>
                    <w:jc w:val="center"/>
                    <w:textAlignment w:val="center"/>
                    <w:rPr>
                      <w:sz w:val="18"/>
                      <w:szCs w:val="18"/>
                    </w:rPr>
                  </w:pPr>
                  <w:r>
                    <w:rPr>
                      <w:rFonts w:hint="eastAsia"/>
                      <w:sz w:val="18"/>
                      <w:szCs w:val="18"/>
                    </w:rPr>
                    <w:t>91</w:t>
                  </w:r>
                </w:p>
              </w:tc>
              <w:tc>
                <w:tcPr>
                  <w:tcW w:w="564" w:type="dxa"/>
                  <w:vAlign w:val="center"/>
                </w:tcPr>
                <w:p>
                  <w:pPr>
                    <w:widowControl/>
                    <w:jc w:val="center"/>
                    <w:textAlignment w:val="center"/>
                    <w:rPr>
                      <w:sz w:val="18"/>
                      <w:szCs w:val="18"/>
                    </w:rPr>
                  </w:pPr>
                  <w:r>
                    <w:rPr>
                      <w:rFonts w:hint="eastAsia"/>
                      <w:sz w:val="18"/>
                      <w:szCs w:val="18"/>
                    </w:rPr>
                    <w:t>24</w:t>
                  </w:r>
                </w:p>
              </w:tc>
              <w:tc>
                <w:tcPr>
                  <w:tcW w:w="541" w:type="dxa"/>
                  <w:vAlign w:val="center"/>
                </w:tcPr>
                <w:p>
                  <w:pPr>
                    <w:widowControl/>
                    <w:jc w:val="center"/>
                    <w:textAlignment w:val="center"/>
                    <w:rPr>
                      <w:sz w:val="18"/>
                      <w:szCs w:val="18"/>
                    </w:rPr>
                  </w:pPr>
                  <w:r>
                    <w:rPr>
                      <w:rFonts w:hint="eastAsia"/>
                      <w:sz w:val="18"/>
                      <w:szCs w:val="18"/>
                    </w:rPr>
                    <w:t>51</w:t>
                  </w:r>
                </w:p>
              </w:tc>
              <w:tc>
                <w:tcPr>
                  <w:tcW w:w="921" w:type="dxa"/>
                  <w:vAlign w:val="center"/>
                </w:tcPr>
                <w:p>
                  <w:pPr>
                    <w:widowControl/>
                    <w:jc w:val="center"/>
                    <w:textAlignment w:val="center"/>
                    <w:rPr>
                      <w:sz w:val="18"/>
                      <w:szCs w:val="18"/>
                    </w:rPr>
                  </w:pPr>
                  <w:r>
                    <w:rPr>
                      <w:rFonts w:hint="eastAsia"/>
                      <w:sz w:val="18"/>
                      <w:szCs w:val="18"/>
                    </w:rPr>
                    <w:t>30</w:t>
                  </w:r>
                </w:p>
              </w:tc>
              <w:tc>
                <w:tcPr>
                  <w:tcW w:w="886" w:type="dxa"/>
                  <w:vAlign w:val="center"/>
                </w:tcPr>
                <w:p>
                  <w:pPr>
                    <w:widowControl/>
                    <w:jc w:val="center"/>
                    <w:textAlignment w:val="center"/>
                    <w:rPr>
                      <w:sz w:val="18"/>
                      <w:szCs w:val="18"/>
                    </w:rPr>
                  </w:pPr>
                  <w:r>
                    <w:rPr>
                      <w:rFonts w:hint="eastAsia"/>
                      <w:sz w:val="18"/>
                      <w:szCs w:val="18"/>
                    </w:rPr>
                    <w:t>30</w:t>
                  </w:r>
                </w:p>
              </w:tc>
              <w:tc>
                <w:tcPr>
                  <w:tcW w:w="612" w:type="dxa"/>
                  <w:vAlign w:val="center"/>
                </w:tcPr>
                <w:p>
                  <w:pPr>
                    <w:widowControl/>
                    <w:jc w:val="center"/>
                    <w:textAlignment w:val="center"/>
                    <w:rPr>
                      <w:sz w:val="18"/>
                      <w:szCs w:val="18"/>
                    </w:rPr>
                  </w:pPr>
                  <w:r>
                    <w:rPr>
                      <w:rFonts w:hint="eastAsia"/>
                      <w:sz w:val="18"/>
                      <w:szCs w:val="18"/>
                    </w:rPr>
                    <w:t>100</w:t>
                  </w:r>
                </w:p>
              </w:tc>
              <w:tc>
                <w:tcPr>
                  <w:tcW w:w="874" w:type="dxa"/>
                  <w:vAlign w:val="center"/>
                </w:tcPr>
                <w:p>
                  <w:pPr>
                    <w:widowControl/>
                    <w:jc w:val="center"/>
                    <w:textAlignment w:val="center"/>
                    <w:rPr>
                      <w:sz w:val="18"/>
                      <w:szCs w:val="18"/>
                    </w:rPr>
                  </w:pPr>
                  <w:r>
                    <w:rPr>
                      <w:rFonts w:hint="eastAsia"/>
                      <w:sz w:val="18"/>
                      <w:szCs w:val="18"/>
                    </w:rPr>
                    <w:t>0</w:t>
                  </w:r>
                </w:p>
              </w:tc>
              <w:tc>
                <w:tcPr>
                  <w:tcW w:w="805" w:type="dxa"/>
                  <w:vAlign w:val="center"/>
                </w:tcPr>
                <w:p>
                  <w:pPr>
                    <w:widowControl/>
                    <w:jc w:val="center"/>
                    <w:textAlignment w:val="center"/>
                    <w:rPr>
                      <w:sz w:val="18"/>
                      <w:szCs w:val="18"/>
                    </w:rPr>
                  </w:pPr>
                  <w:r>
                    <w:rPr>
                      <w:rFonts w:hint="eastAsia"/>
                      <w:sz w:val="18"/>
                      <w:szCs w:val="18"/>
                    </w:rPr>
                    <w:t>2.75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628" w:type="dxa"/>
                  <w:vAlign w:val="center"/>
                </w:tcPr>
                <w:p>
                  <w:pPr>
                    <w:widowControl/>
                    <w:jc w:val="center"/>
                    <w:textAlignment w:val="center"/>
                    <w:rPr>
                      <w:sz w:val="18"/>
                      <w:szCs w:val="18"/>
                    </w:rPr>
                  </w:pPr>
                  <w:r>
                    <w:rPr>
                      <w:sz w:val="18"/>
                      <w:szCs w:val="18"/>
                    </w:rPr>
                    <w:t>10</w:t>
                  </w:r>
                  <w:r>
                    <w:rPr>
                      <w:rFonts w:ascii="宋体" w:hAnsi="宋体"/>
                      <w:sz w:val="18"/>
                      <w:szCs w:val="18"/>
                    </w:rPr>
                    <w:t>月</w:t>
                  </w:r>
                </w:p>
              </w:tc>
              <w:tc>
                <w:tcPr>
                  <w:tcW w:w="552" w:type="dxa"/>
                  <w:vAlign w:val="center"/>
                </w:tcPr>
                <w:p>
                  <w:pPr>
                    <w:widowControl/>
                    <w:jc w:val="center"/>
                    <w:textAlignment w:val="center"/>
                    <w:rPr>
                      <w:sz w:val="18"/>
                      <w:szCs w:val="18"/>
                    </w:rPr>
                  </w:pPr>
                  <w:r>
                    <w:rPr>
                      <w:rFonts w:hint="eastAsia"/>
                      <w:sz w:val="18"/>
                      <w:szCs w:val="18"/>
                    </w:rPr>
                    <w:t>6</w:t>
                  </w:r>
                </w:p>
              </w:tc>
              <w:tc>
                <w:tcPr>
                  <w:tcW w:w="530" w:type="dxa"/>
                  <w:vAlign w:val="center"/>
                </w:tcPr>
                <w:p>
                  <w:pPr>
                    <w:widowControl/>
                    <w:jc w:val="center"/>
                    <w:textAlignment w:val="center"/>
                    <w:rPr>
                      <w:sz w:val="18"/>
                      <w:szCs w:val="18"/>
                    </w:rPr>
                  </w:pPr>
                  <w:r>
                    <w:rPr>
                      <w:rFonts w:hint="eastAsia"/>
                      <w:sz w:val="18"/>
                      <w:szCs w:val="18"/>
                    </w:rPr>
                    <w:t>22</w:t>
                  </w:r>
                </w:p>
              </w:tc>
              <w:tc>
                <w:tcPr>
                  <w:tcW w:w="572" w:type="dxa"/>
                  <w:vAlign w:val="center"/>
                </w:tcPr>
                <w:p>
                  <w:pPr>
                    <w:widowControl/>
                    <w:jc w:val="center"/>
                    <w:textAlignment w:val="center"/>
                    <w:rPr>
                      <w:sz w:val="18"/>
                      <w:szCs w:val="18"/>
                    </w:rPr>
                  </w:pPr>
                  <w:r>
                    <w:rPr>
                      <w:rFonts w:hint="eastAsia"/>
                      <w:sz w:val="18"/>
                      <w:szCs w:val="18"/>
                    </w:rPr>
                    <w:t>1.1</w:t>
                  </w:r>
                </w:p>
              </w:tc>
              <w:tc>
                <w:tcPr>
                  <w:tcW w:w="498" w:type="dxa"/>
                  <w:vAlign w:val="center"/>
                </w:tcPr>
                <w:p>
                  <w:pPr>
                    <w:widowControl/>
                    <w:jc w:val="center"/>
                    <w:textAlignment w:val="center"/>
                    <w:rPr>
                      <w:sz w:val="18"/>
                      <w:szCs w:val="18"/>
                    </w:rPr>
                  </w:pPr>
                  <w:r>
                    <w:rPr>
                      <w:rFonts w:hint="eastAsia"/>
                      <w:sz w:val="18"/>
                      <w:szCs w:val="18"/>
                    </w:rPr>
                    <w:t>86</w:t>
                  </w:r>
                </w:p>
              </w:tc>
              <w:tc>
                <w:tcPr>
                  <w:tcW w:w="564" w:type="dxa"/>
                  <w:vAlign w:val="center"/>
                </w:tcPr>
                <w:p>
                  <w:pPr>
                    <w:widowControl/>
                    <w:jc w:val="center"/>
                    <w:textAlignment w:val="center"/>
                    <w:rPr>
                      <w:sz w:val="18"/>
                      <w:szCs w:val="18"/>
                    </w:rPr>
                  </w:pPr>
                  <w:r>
                    <w:rPr>
                      <w:rFonts w:hint="eastAsia"/>
                      <w:sz w:val="18"/>
                      <w:szCs w:val="18"/>
                    </w:rPr>
                    <w:t>26</w:t>
                  </w:r>
                </w:p>
              </w:tc>
              <w:tc>
                <w:tcPr>
                  <w:tcW w:w="541" w:type="dxa"/>
                  <w:vAlign w:val="center"/>
                </w:tcPr>
                <w:p>
                  <w:pPr>
                    <w:widowControl/>
                    <w:jc w:val="center"/>
                    <w:textAlignment w:val="center"/>
                    <w:rPr>
                      <w:sz w:val="18"/>
                      <w:szCs w:val="18"/>
                    </w:rPr>
                  </w:pPr>
                  <w:r>
                    <w:rPr>
                      <w:rFonts w:hint="eastAsia"/>
                      <w:sz w:val="18"/>
                      <w:szCs w:val="18"/>
                    </w:rPr>
                    <w:t>51</w:t>
                  </w:r>
                </w:p>
              </w:tc>
              <w:tc>
                <w:tcPr>
                  <w:tcW w:w="921" w:type="dxa"/>
                  <w:vAlign w:val="center"/>
                </w:tcPr>
                <w:p>
                  <w:pPr>
                    <w:widowControl/>
                    <w:jc w:val="center"/>
                    <w:textAlignment w:val="center"/>
                    <w:rPr>
                      <w:sz w:val="18"/>
                      <w:szCs w:val="18"/>
                    </w:rPr>
                  </w:pPr>
                  <w:r>
                    <w:rPr>
                      <w:rFonts w:hint="eastAsia"/>
                      <w:sz w:val="18"/>
                      <w:szCs w:val="18"/>
                    </w:rPr>
                    <w:t>31</w:t>
                  </w:r>
                </w:p>
              </w:tc>
              <w:tc>
                <w:tcPr>
                  <w:tcW w:w="886" w:type="dxa"/>
                  <w:vAlign w:val="center"/>
                </w:tcPr>
                <w:p>
                  <w:pPr>
                    <w:widowControl/>
                    <w:jc w:val="center"/>
                    <w:textAlignment w:val="center"/>
                    <w:rPr>
                      <w:sz w:val="18"/>
                      <w:szCs w:val="18"/>
                    </w:rPr>
                  </w:pPr>
                  <w:r>
                    <w:rPr>
                      <w:rFonts w:hint="eastAsia"/>
                      <w:sz w:val="18"/>
                      <w:szCs w:val="18"/>
                    </w:rPr>
                    <w:t>31</w:t>
                  </w:r>
                </w:p>
              </w:tc>
              <w:tc>
                <w:tcPr>
                  <w:tcW w:w="612" w:type="dxa"/>
                  <w:vAlign w:val="center"/>
                </w:tcPr>
                <w:p>
                  <w:pPr>
                    <w:widowControl/>
                    <w:jc w:val="center"/>
                    <w:textAlignment w:val="center"/>
                    <w:rPr>
                      <w:sz w:val="18"/>
                      <w:szCs w:val="18"/>
                    </w:rPr>
                  </w:pPr>
                  <w:r>
                    <w:rPr>
                      <w:rFonts w:hint="eastAsia"/>
                      <w:sz w:val="18"/>
                      <w:szCs w:val="18"/>
                    </w:rPr>
                    <w:t>100</w:t>
                  </w:r>
                </w:p>
              </w:tc>
              <w:tc>
                <w:tcPr>
                  <w:tcW w:w="874" w:type="dxa"/>
                  <w:vAlign w:val="center"/>
                </w:tcPr>
                <w:p>
                  <w:pPr>
                    <w:widowControl/>
                    <w:jc w:val="center"/>
                    <w:textAlignment w:val="center"/>
                    <w:rPr>
                      <w:sz w:val="18"/>
                      <w:szCs w:val="18"/>
                    </w:rPr>
                  </w:pPr>
                  <w:r>
                    <w:rPr>
                      <w:rFonts w:hint="eastAsia"/>
                      <w:sz w:val="18"/>
                      <w:szCs w:val="18"/>
                    </w:rPr>
                    <w:t>0</w:t>
                  </w:r>
                </w:p>
              </w:tc>
              <w:tc>
                <w:tcPr>
                  <w:tcW w:w="805" w:type="dxa"/>
                  <w:vAlign w:val="center"/>
                </w:tcPr>
                <w:p>
                  <w:pPr>
                    <w:widowControl/>
                    <w:jc w:val="center"/>
                    <w:textAlignment w:val="center"/>
                    <w:rPr>
                      <w:sz w:val="18"/>
                      <w:szCs w:val="18"/>
                    </w:rPr>
                  </w:pPr>
                  <w:r>
                    <w:rPr>
                      <w:rFonts w:hint="eastAsia"/>
                      <w:sz w:val="18"/>
                      <w:szCs w:val="18"/>
                    </w:rPr>
                    <w:t>2.94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628" w:type="dxa"/>
                  <w:vAlign w:val="center"/>
                </w:tcPr>
                <w:p>
                  <w:pPr>
                    <w:widowControl/>
                    <w:jc w:val="center"/>
                    <w:textAlignment w:val="center"/>
                    <w:rPr>
                      <w:sz w:val="18"/>
                      <w:szCs w:val="18"/>
                    </w:rPr>
                  </w:pPr>
                  <w:r>
                    <w:rPr>
                      <w:sz w:val="18"/>
                      <w:szCs w:val="18"/>
                    </w:rPr>
                    <w:t>11</w:t>
                  </w:r>
                  <w:r>
                    <w:rPr>
                      <w:rFonts w:ascii="宋体" w:hAnsi="宋体"/>
                      <w:sz w:val="18"/>
                      <w:szCs w:val="18"/>
                    </w:rPr>
                    <w:t>月</w:t>
                  </w:r>
                </w:p>
              </w:tc>
              <w:tc>
                <w:tcPr>
                  <w:tcW w:w="552" w:type="dxa"/>
                  <w:vAlign w:val="center"/>
                </w:tcPr>
                <w:p>
                  <w:pPr>
                    <w:widowControl/>
                    <w:jc w:val="center"/>
                    <w:textAlignment w:val="center"/>
                    <w:rPr>
                      <w:sz w:val="18"/>
                      <w:szCs w:val="18"/>
                    </w:rPr>
                  </w:pPr>
                  <w:r>
                    <w:rPr>
                      <w:rFonts w:hint="eastAsia"/>
                      <w:sz w:val="18"/>
                      <w:szCs w:val="18"/>
                    </w:rPr>
                    <w:t>6</w:t>
                  </w:r>
                </w:p>
              </w:tc>
              <w:tc>
                <w:tcPr>
                  <w:tcW w:w="530" w:type="dxa"/>
                  <w:vAlign w:val="center"/>
                </w:tcPr>
                <w:p>
                  <w:pPr>
                    <w:widowControl/>
                    <w:jc w:val="center"/>
                    <w:textAlignment w:val="center"/>
                    <w:rPr>
                      <w:sz w:val="18"/>
                      <w:szCs w:val="18"/>
                    </w:rPr>
                  </w:pPr>
                  <w:r>
                    <w:rPr>
                      <w:rFonts w:hint="eastAsia"/>
                      <w:sz w:val="18"/>
                      <w:szCs w:val="18"/>
                    </w:rPr>
                    <w:t>22</w:t>
                  </w:r>
                </w:p>
              </w:tc>
              <w:tc>
                <w:tcPr>
                  <w:tcW w:w="572" w:type="dxa"/>
                  <w:vAlign w:val="center"/>
                </w:tcPr>
                <w:p>
                  <w:pPr>
                    <w:widowControl/>
                    <w:jc w:val="center"/>
                    <w:textAlignment w:val="center"/>
                    <w:rPr>
                      <w:sz w:val="18"/>
                      <w:szCs w:val="18"/>
                    </w:rPr>
                  </w:pPr>
                  <w:r>
                    <w:rPr>
                      <w:rFonts w:hint="eastAsia"/>
                      <w:sz w:val="18"/>
                      <w:szCs w:val="18"/>
                    </w:rPr>
                    <w:t>0.9</w:t>
                  </w:r>
                </w:p>
              </w:tc>
              <w:tc>
                <w:tcPr>
                  <w:tcW w:w="498" w:type="dxa"/>
                  <w:vAlign w:val="center"/>
                </w:tcPr>
                <w:p>
                  <w:pPr>
                    <w:widowControl/>
                    <w:jc w:val="center"/>
                    <w:textAlignment w:val="center"/>
                    <w:rPr>
                      <w:sz w:val="18"/>
                      <w:szCs w:val="18"/>
                    </w:rPr>
                  </w:pPr>
                  <w:r>
                    <w:rPr>
                      <w:rFonts w:hint="eastAsia"/>
                      <w:sz w:val="18"/>
                      <w:szCs w:val="18"/>
                    </w:rPr>
                    <w:t>61</w:t>
                  </w:r>
                </w:p>
              </w:tc>
              <w:tc>
                <w:tcPr>
                  <w:tcW w:w="564" w:type="dxa"/>
                  <w:vAlign w:val="center"/>
                </w:tcPr>
                <w:p>
                  <w:pPr>
                    <w:widowControl/>
                    <w:jc w:val="center"/>
                    <w:textAlignment w:val="center"/>
                    <w:rPr>
                      <w:sz w:val="18"/>
                      <w:szCs w:val="18"/>
                    </w:rPr>
                  </w:pPr>
                  <w:r>
                    <w:rPr>
                      <w:rFonts w:hint="eastAsia"/>
                      <w:sz w:val="18"/>
                      <w:szCs w:val="18"/>
                    </w:rPr>
                    <w:t>23</w:t>
                  </w:r>
                </w:p>
              </w:tc>
              <w:tc>
                <w:tcPr>
                  <w:tcW w:w="541" w:type="dxa"/>
                  <w:vAlign w:val="center"/>
                </w:tcPr>
                <w:p>
                  <w:pPr>
                    <w:widowControl/>
                    <w:jc w:val="center"/>
                    <w:textAlignment w:val="center"/>
                    <w:rPr>
                      <w:sz w:val="18"/>
                      <w:szCs w:val="18"/>
                    </w:rPr>
                  </w:pPr>
                  <w:r>
                    <w:rPr>
                      <w:rFonts w:hint="eastAsia"/>
                      <w:sz w:val="18"/>
                      <w:szCs w:val="18"/>
                    </w:rPr>
                    <w:t>47</w:t>
                  </w:r>
                </w:p>
              </w:tc>
              <w:tc>
                <w:tcPr>
                  <w:tcW w:w="921" w:type="dxa"/>
                  <w:vAlign w:val="center"/>
                </w:tcPr>
                <w:p>
                  <w:pPr>
                    <w:widowControl/>
                    <w:jc w:val="center"/>
                    <w:textAlignment w:val="center"/>
                    <w:rPr>
                      <w:sz w:val="18"/>
                      <w:szCs w:val="18"/>
                    </w:rPr>
                  </w:pPr>
                  <w:r>
                    <w:rPr>
                      <w:rFonts w:hint="eastAsia"/>
                      <w:sz w:val="18"/>
                      <w:szCs w:val="18"/>
                    </w:rPr>
                    <w:t>30</w:t>
                  </w:r>
                </w:p>
              </w:tc>
              <w:tc>
                <w:tcPr>
                  <w:tcW w:w="886" w:type="dxa"/>
                  <w:vAlign w:val="center"/>
                </w:tcPr>
                <w:p>
                  <w:pPr>
                    <w:widowControl/>
                    <w:jc w:val="center"/>
                    <w:textAlignment w:val="center"/>
                    <w:rPr>
                      <w:sz w:val="18"/>
                      <w:szCs w:val="18"/>
                    </w:rPr>
                  </w:pPr>
                  <w:r>
                    <w:rPr>
                      <w:rFonts w:hint="eastAsia"/>
                      <w:sz w:val="18"/>
                      <w:szCs w:val="18"/>
                    </w:rPr>
                    <w:t>30</w:t>
                  </w:r>
                </w:p>
              </w:tc>
              <w:tc>
                <w:tcPr>
                  <w:tcW w:w="612" w:type="dxa"/>
                  <w:vAlign w:val="center"/>
                </w:tcPr>
                <w:p>
                  <w:pPr>
                    <w:widowControl/>
                    <w:jc w:val="center"/>
                    <w:textAlignment w:val="center"/>
                    <w:rPr>
                      <w:sz w:val="18"/>
                      <w:szCs w:val="18"/>
                    </w:rPr>
                  </w:pPr>
                  <w:r>
                    <w:rPr>
                      <w:rFonts w:hint="eastAsia"/>
                      <w:sz w:val="18"/>
                      <w:szCs w:val="18"/>
                    </w:rPr>
                    <w:t>100</w:t>
                  </w:r>
                </w:p>
              </w:tc>
              <w:tc>
                <w:tcPr>
                  <w:tcW w:w="874" w:type="dxa"/>
                  <w:vAlign w:val="center"/>
                </w:tcPr>
                <w:p>
                  <w:pPr>
                    <w:widowControl/>
                    <w:jc w:val="center"/>
                    <w:textAlignment w:val="center"/>
                    <w:rPr>
                      <w:sz w:val="18"/>
                      <w:szCs w:val="18"/>
                    </w:rPr>
                  </w:pPr>
                  <w:r>
                    <w:rPr>
                      <w:rFonts w:hint="eastAsia"/>
                      <w:sz w:val="18"/>
                      <w:szCs w:val="18"/>
                    </w:rPr>
                    <w:t>3.3</w:t>
                  </w:r>
                </w:p>
              </w:tc>
              <w:tc>
                <w:tcPr>
                  <w:tcW w:w="805" w:type="dxa"/>
                  <w:vAlign w:val="center"/>
                </w:tcPr>
                <w:p>
                  <w:pPr>
                    <w:widowControl/>
                    <w:jc w:val="center"/>
                    <w:textAlignment w:val="center"/>
                    <w:rPr>
                      <w:sz w:val="18"/>
                      <w:szCs w:val="18"/>
                    </w:rPr>
                  </w:pPr>
                  <w:r>
                    <w:rPr>
                      <w:rFonts w:hint="eastAsia"/>
                      <w:sz w:val="18"/>
                      <w:szCs w:val="18"/>
                    </w:rPr>
                    <w:t>2.58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 w:hRule="atLeast"/>
                <w:jc w:val="center"/>
              </w:trPr>
              <w:tc>
                <w:tcPr>
                  <w:tcW w:w="628" w:type="dxa"/>
                  <w:vAlign w:val="center"/>
                </w:tcPr>
                <w:p>
                  <w:pPr>
                    <w:widowControl/>
                    <w:jc w:val="center"/>
                    <w:textAlignment w:val="center"/>
                    <w:rPr>
                      <w:sz w:val="18"/>
                      <w:szCs w:val="18"/>
                    </w:rPr>
                  </w:pPr>
                  <w:r>
                    <w:rPr>
                      <w:sz w:val="18"/>
                      <w:szCs w:val="18"/>
                    </w:rPr>
                    <w:t>12</w:t>
                  </w:r>
                  <w:r>
                    <w:rPr>
                      <w:rFonts w:ascii="宋体" w:hAnsi="宋体"/>
                      <w:sz w:val="18"/>
                      <w:szCs w:val="18"/>
                    </w:rPr>
                    <w:t>月</w:t>
                  </w:r>
                </w:p>
              </w:tc>
              <w:tc>
                <w:tcPr>
                  <w:tcW w:w="552" w:type="dxa"/>
                </w:tcPr>
                <w:p>
                  <w:pPr>
                    <w:widowControl/>
                    <w:jc w:val="center"/>
                    <w:textAlignment w:val="center"/>
                    <w:rPr>
                      <w:sz w:val="18"/>
                      <w:szCs w:val="18"/>
                    </w:rPr>
                  </w:pPr>
                  <w:r>
                    <w:rPr>
                      <w:rFonts w:hint="eastAsia"/>
                      <w:sz w:val="18"/>
                      <w:szCs w:val="18"/>
                    </w:rPr>
                    <w:t>5</w:t>
                  </w:r>
                </w:p>
              </w:tc>
              <w:tc>
                <w:tcPr>
                  <w:tcW w:w="530" w:type="dxa"/>
                </w:tcPr>
                <w:p>
                  <w:pPr>
                    <w:widowControl/>
                    <w:jc w:val="center"/>
                    <w:textAlignment w:val="center"/>
                    <w:rPr>
                      <w:sz w:val="18"/>
                      <w:szCs w:val="18"/>
                    </w:rPr>
                  </w:pPr>
                  <w:r>
                    <w:rPr>
                      <w:rFonts w:hint="eastAsia"/>
                      <w:sz w:val="18"/>
                      <w:szCs w:val="18"/>
                    </w:rPr>
                    <w:t>23</w:t>
                  </w:r>
                </w:p>
              </w:tc>
              <w:tc>
                <w:tcPr>
                  <w:tcW w:w="572" w:type="dxa"/>
                </w:tcPr>
                <w:p>
                  <w:pPr>
                    <w:widowControl/>
                    <w:jc w:val="center"/>
                    <w:textAlignment w:val="center"/>
                    <w:rPr>
                      <w:sz w:val="18"/>
                      <w:szCs w:val="18"/>
                    </w:rPr>
                  </w:pPr>
                  <w:r>
                    <w:rPr>
                      <w:rFonts w:hint="eastAsia"/>
                      <w:sz w:val="18"/>
                      <w:szCs w:val="18"/>
                    </w:rPr>
                    <w:t>1.2</w:t>
                  </w:r>
                </w:p>
              </w:tc>
              <w:tc>
                <w:tcPr>
                  <w:tcW w:w="498" w:type="dxa"/>
                </w:tcPr>
                <w:p>
                  <w:pPr>
                    <w:widowControl/>
                    <w:jc w:val="center"/>
                    <w:textAlignment w:val="center"/>
                    <w:rPr>
                      <w:sz w:val="18"/>
                      <w:szCs w:val="18"/>
                    </w:rPr>
                  </w:pPr>
                  <w:r>
                    <w:rPr>
                      <w:rFonts w:hint="eastAsia"/>
                      <w:sz w:val="18"/>
                      <w:szCs w:val="18"/>
                    </w:rPr>
                    <w:t>47</w:t>
                  </w:r>
                </w:p>
              </w:tc>
              <w:tc>
                <w:tcPr>
                  <w:tcW w:w="564" w:type="dxa"/>
                </w:tcPr>
                <w:p>
                  <w:pPr>
                    <w:widowControl/>
                    <w:jc w:val="center"/>
                    <w:textAlignment w:val="center"/>
                    <w:rPr>
                      <w:sz w:val="18"/>
                      <w:szCs w:val="18"/>
                    </w:rPr>
                  </w:pPr>
                  <w:r>
                    <w:rPr>
                      <w:rFonts w:hint="eastAsia"/>
                      <w:sz w:val="18"/>
                      <w:szCs w:val="18"/>
                    </w:rPr>
                    <w:t>53</w:t>
                  </w:r>
                </w:p>
              </w:tc>
              <w:tc>
                <w:tcPr>
                  <w:tcW w:w="541" w:type="dxa"/>
                </w:tcPr>
                <w:p>
                  <w:pPr>
                    <w:widowControl/>
                    <w:jc w:val="center"/>
                    <w:textAlignment w:val="center"/>
                    <w:rPr>
                      <w:sz w:val="18"/>
                      <w:szCs w:val="18"/>
                    </w:rPr>
                  </w:pPr>
                  <w:r>
                    <w:rPr>
                      <w:rFonts w:hint="eastAsia"/>
                      <w:sz w:val="18"/>
                      <w:szCs w:val="18"/>
                    </w:rPr>
                    <w:t>84</w:t>
                  </w:r>
                </w:p>
              </w:tc>
              <w:tc>
                <w:tcPr>
                  <w:tcW w:w="921" w:type="dxa"/>
                  <w:vAlign w:val="center"/>
                </w:tcPr>
                <w:p>
                  <w:pPr>
                    <w:widowControl/>
                    <w:jc w:val="center"/>
                    <w:textAlignment w:val="center"/>
                    <w:rPr>
                      <w:sz w:val="18"/>
                      <w:szCs w:val="18"/>
                    </w:rPr>
                  </w:pPr>
                  <w:r>
                    <w:rPr>
                      <w:rFonts w:hint="eastAsia"/>
                      <w:sz w:val="18"/>
                      <w:szCs w:val="18"/>
                    </w:rPr>
                    <w:t>31</w:t>
                  </w:r>
                </w:p>
              </w:tc>
              <w:tc>
                <w:tcPr>
                  <w:tcW w:w="886" w:type="dxa"/>
                </w:tcPr>
                <w:p>
                  <w:pPr>
                    <w:widowControl/>
                    <w:jc w:val="center"/>
                    <w:textAlignment w:val="center"/>
                    <w:rPr>
                      <w:sz w:val="18"/>
                      <w:szCs w:val="18"/>
                    </w:rPr>
                  </w:pPr>
                  <w:r>
                    <w:rPr>
                      <w:rFonts w:hint="eastAsia"/>
                      <w:sz w:val="18"/>
                      <w:szCs w:val="18"/>
                    </w:rPr>
                    <w:t>26</w:t>
                  </w:r>
                </w:p>
              </w:tc>
              <w:tc>
                <w:tcPr>
                  <w:tcW w:w="612" w:type="dxa"/>
                </w:tcPr>
                <w:p>
                  <w:pPr>
                    <w:widowControl/>
                    <w:jc w:val="center"/>
                    <w:textAlignment w:val="center"/>
                    <w:rPr>
                      <w:sz w:val="18"/>
                      <w:szCs w:val="18"/>
                    </w:rPr>
                  </w:pPr>
                  <w:r>
                    <w:rPr>
                      <w:rFonts w:hint="eastAsia"/>
                      <w:sz w:val="18"/>
                      <w:szCs w:val="18"/>
                    </w:rPr>
                    <w:t>83.9</w:t>
                  </w:r>
                </w:p>
              </w:tc>
              <w:tc>
                <w:tcPr>
                  <w:tcW w:w="874" w:type="dxa"/>
                </w:tcPr>
                <w:p>
                  <w:pPr>
                    <w:widowControl/>
                    <w:jc w:val="center"/>
                    <w:textAlignment w:val="center"/>
                    <w:rPr>
                      <w:sz w:val="18"/>
                      <w:szCs w:val="18"/>
                    </w:rPr>
                  </w:pPr>
                  <w:r>
                    <w:rPr>
                      <w:rFonts w:hint="eastAsia"/>
                      <w:sz w:val="18"/>
                      <w:szCs w:val="18"/>
                    </w:rPr>
                    <w:t>-3.2</w:t>
                  </w:r>
                </w:p>
              </w:tc>
              <w:tc>
                <w:tcPr>
                  <w:tcW w:w="805" w:type="dxa"/>
                  <w:vAlign w:val="center"/>
                </w:tcPr>
                <w:p>
                  <w:pPr>
                    <w:widowControl/>
                    <w:jc w:val="center"/>
                    <w:textAlignment w:val="center"/>
                    <w:rPr>
                      <w:sz w:val="18"/>
                      <w:szCs w:val="18"/>
                    </w:rPr>
                  </w:pPr>
                  <w:r>
                    <w:rPr>
                      <w:rFonts w:hint="eastAsia"/>
                      <w:sz w:val="18"/>
                      <w:szCs w:val="18"/>
                    </w:rPr>
                    <w:t>3.96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 w:hRule="atLeast"/>
                <w:jc w:val="center"/>
              </w:trPr>
              <w:tc>
                <w:tcPr>
                  <w:tcW w:w="628" w:type="dxa"/>
                  <w:vAlign w:val="center"/>
                </w:tcPr>
                <w:p>
                  <w:pPr>
                    <w:pStyle w:val="14"/>
                    <w:autoSpaceDE w:val="0"/>
                    <w:spacing w:before="0" w:beforeAutospacing="0" w:after="0" w:afterAutospacing="0" w:line="280" w:lineRule="exact"/>
                    <w:jc w:val="center"/>
                    <w:rPr>
                      <w:rFonts w:ascii="Times New Roman" w:hAnsi="Times New Roman"/>
                      <w:sz w:val="18"/>
                      <w:szCs w:val="18"/>
                    </w:rPr>
                  </w:pPr>
                  <w:r>
                    <w:rPr>
                      <w:sz w:val="18"/>
                      <w:szCs w:val="18"/>
                    </w:rPr>
                    <w:t>平均值</w:t>
                  </w:r>
                </w:p>
              </w:tc>
              <w:tc>
                <w:tcPr>
                  <w:tcW w:w="552" w:type="dxa"/>
                  <w:vAlign w:val="center"/>
                </w:tcPr>
                <w:p>
                  <w:pPr>
                    <w:widowControl/>
                    <w:jc w:val="center"/>
                    <w:textAlignment w:val="center"/>
                    <w:rPr>
                      <w:sz w:val="18"/>
                      <w:szCs w:val="18"/>
                    </w:rPr>
                  </w:pPr>
                  <w:r>
                    <w:rPr>
                      <w:rFonts w:hint="eastAsia"/>
                      <w:sz w:val="18"/>
                      <w:szCs w:val="18"/>
                    </w:rPr>
                    <w:t>5</w:t>
                  </w:r>
                </w:p>
              </w:tc>
              <w:tc>
                <w:tcPr>
                  <w:tcW w:w="530" w:type="dxa"/>
                  <w:vAlign w:val="center"/>
                </w:tcPr>
                <w:p>
                  <w:pPr>
                    <w:widowControl/>
                    <w:jc w:val="center"/>
                    <w:textAlignment w:val="center"/>
                    <w:rPr>
                      <w:sz w:val="18"/>
                      <w:szCs w:val="18"/>
                    </w:rPr>
                  </w:pPr>
                  <w:r>
                    <w:rPr>
                      <w:rFonts w:hint="eastAsia"/>
                      <w:sz w:val="18"/>
                      <w:szCs w:val="18"/>
                    </w:rPr>
                    <w:t>19</w:t>
                  </w:r>
                </w:p>
              </w:tc>
              <w:tc>
                <w:tcPr>
                  <w:tcW w:w="572" w:type="dxa"/>
                  <w:vAlign w:val="center"/>
                </w:tcPr>
                <w:p>
                  <w:pPr>
                    <w:widowControl/>
                    <w:jc w:val="center"/>
                    <w:textAlignment w:val="center"/>
                    <w:rPr>
                      <w:sz w:val="18"/>
                      <w:szCs w:val="18"/>
                    </w:rPr>
                  </w:pPr>
                  <w:r>
                    <w:rPr>
                      <w:rFonts w:hint="eastAsia"/>
                      <w:sz w:val="18"/>
                      <w:szCs w:val="18"/>
                    </w:rPr>
                    <w:t>0.9</w:t>
                  </w:r>
                </w:p>
              </w:tc>
              <w:tc>
                <w:tcPr>
                  <w:tcW w:w="498" w:type="dxa"/>
                  <w:vAlign w:val="center"/>
                </w:tcPr>
                <w:p>
                  <w:pPr>
                    <w:widowControl/>
                    <w:jc w:val="center"/>
                    <w:textAlignment w:val="center"/>
                    <w:rPr>
                      <w:sz w:val="18"/>
                      <w:szCs w:val="18"/>
                    </w:rPr>
                  </w:pPr>
                  <w:r>
                    <w:rPr>
                      <w:rFonts w:hint="eastAsia"/>
                      <w:sz w:val="18"/>
                      <w:szCs w:val="18"/>
                    </w:rPr>
                    <w:t>81</w:t>
                  </w:r>
                </w:p>
              </w:tc>
              <w:tc>
                <w:tcPr>
                  <w:tcW w:w="564" w:type="dxa"/>
                  <w:vAlign w:val="center"/>
                </w:tcPr>
                <w:p>
                  <w:pPr>
                    <w:widowControl/>
                    <w:jc w:val="center"/>
                    <w:textAlignment w:val="center"/>
                    <w:rPr>
                      <w:sz w:val="18"/>
                      <w:szCs w:val="18"/>
                    </w:rPr>
                  </w:pPr>
                  <w:r>
                    <w:rPr>
                      <w:rFonts w:hint="eastAsia"/>
                      <w:sz w:val="18"/>
                      <w:szCs w:val="18"/>
                    </w:rPr>
                    <w:t>27</w:t>
                  </w:r>
                </w:p>
              </w:tc>
              <w:tc>
                <w:tcPr>
                  <w:tcW w:w="541" w:type="dxa"/>
                  <w:vAlign w:val="center"/>
                </w:tcPr>
                <w:p>
                  <w:pPr>
                    <w:widowControl/>
                    <w:jc w:val="center"/>
                    <w:textAlignment w:val="center"/>
                    <w:rPr>
                      <w:sz w:val="18"/>
                      <w:szCs w:val="18"/>
                    </w:rPr>
                  </w:pPr>
                  <w:r>
                    <w:rPr>
                      <w:rFonts w:hint="eastAsia"/>
                      <w:sz w:val="18"/>
                      <w:szCs w:val="18"/>
                    </w:rPr>
                    <w:t>50</w:t>
                  </w:r>
                </w:p>
              </w:tc>
              <w:tc>
                <w:tcPr>
                  <w:tcW w:w="921" w:type="dxa"/>
                  <w:vAlign w:val="center"/>
                </w:tcPr>
                <w:p>
                  <w:pPr>
                    <w:widowControl/>
                    <w:jc w:val="center"/>
                    <w:textAlignment w:val="center"/>
                    <w:rPr>
                      <w:sz w:val="18"/>
                      <w:szCs w:val="18"/>
                    </w:rPr>
                  </w:pPr>
                  <w:r>
                    <w:rPr>
                      <w:sz w:val="18"/>
                      <w:szCs w:val="18"/>
                    </w:rPr>
                    <w:t>3</w:t>
                  </w:r>
                  <w:r>
                    <w:rPr>
                      <w:rFonts w:hint="eastAsia"/>
                      <w:sz w:val="18"/>
                      <w:szCs w:val="18"/>
                    </w:rPr>
                    <w:t>65</w:t>
                  </w:r>
                </w:p>
                <w:p>
                  <w:pPr>
                    <w:widowControl/>
                    <w:jc w:val="center"/>
                    <w:textAlignment w:val="center"/>
                    <w:rPr>
                      <w:sz w:val="18"/>
                      <w:szCs w:val="18"/>
                    </w:rPr>
                  </w:pPr>
                  <w:r>
                    <w:rPr>
                      <w:rFonts w:ascii="宋体" w:hAnsi="宋体"/>
                      <w:sz w:val="18"/>
                      <w:szCs w:val="18"/>
                    </w:rPr>
                    <w:t>（总天数）</w:t>
                  </w:r>
                </w:p>
              </w:tc>
              <w:tc>
                <w:tcPr>
                  <w:tcW w:w="886" w:type="dxa"/>
                  <w:vAlign w:val="center"/>
                </w:tcPr>
                <w:p>
                  <w:pPr>
                    <w:widowControl/>
                    <w:jc w:val="center"/>
                    <w:textAlignment w:val="center"/>
                    <w:rPr>
                      <w:sz w:val="18"/>
                      <w:szCs w:val="18"/>
                    </w:rPr>
                  </w:pPr>
                  <w:r>
                    <w:rPr>
                      <w:sz w:val="18"/>
                      <w:szCs w:val="18"/>
                    </w:rPr>
                    <w:t>3</w:t>
                  </w:r>
                  <w:r>
                    <w:rPr>
                      <w:rFonts w:hint="eastAsia"/>
                      <w:sz w:val="18"/>
                      <w:szCs w:val="18"/>
                    </w:rPr>
                    <w:t>55</w:t>
                  </w:r>
                </w:p>
                <w:p>
                  <w:pPr>
                    <w:widowControl/>
                    <w:jc w:val="center"/>
                    <w:textAlignment w:val="center"/>
                    <w:rPr>
                      <w:sz w:val="18"/>
                      <w:szCs w:val="18"/>
                    </w:rPr>
                  </w:pPr>
                  <w:r>
                    <w:rPr>
                      <w:rFonts w:ascii="宋体" w:hAnsi="宋体"/>
                      <w:sz w:val="18"/>
                      <w:szCs w:val="18"/>
                    </w:rPr>
                    <w:t>（总天数）</w:t>
                  </w:r>
                </w:p>
              </w:tc>
              <w:tc>
                <w:tcPr>
                  <w:tcW w:w="612" w:type="dxa"/>
                  <w:vAlign w:val="center"/>
                </w:tcPr>
                <w:p>
                  <w:pPr>
                    <w:widowControl/>
                    <w:jc w:val="center"/>
                    <w:textAlignment w:val="center"/>
                    <w:rPr>
                      <w:sz w:val="18"/>
                      <w:szCs w:val="18"/>
                    </w:rPr>
                  </w:pPr>
                  <w:r>
                    <w:rPr>
                      <w:sz w:val="18"/>
                      <w:szCs w:val="18"/>
                    </w:rPr>
                    <w:t>9</w:t>
                  </w:r>
                  <w:r>
                    <w:rPr>
                      <w:rFonts w:hint="eastAsia"/>
                      <w:sz w:val="18"/>
                      <w:szCs w:val="18"/>
                    </w:rPr>
                    <w:t>7.3</w:t>
                  </w:r>
                </w:p>
              </w:tc>
              <w:tc>
                <w:tcPr>
                  <w:tcW w:w="874" w:type="dxa"/>
                  <w:vAlign w:val="center"/>
                </w:tcPr>
                <w:p>
                  <w:pPr>
                    <w:widowControl/>
                    <w:jc w:val="center"/>
                    <w:textAlignment w:val="center"/>
                    <w:rPr>
                      <w:sz w:val="18"/>
                      <w:szCs w:val="18"/>
                    </w:rPr>
                  </w:pPr>
                  <w:r>
                    <w:rPr>
                      <w:rFonts w:hint="eastAsia"/>
                      <w:sz w:val="18"/>
                      <w:szCs w:val="18"/>
                    </w:rPr>
                    <w:t>3.9</w:t>
                  </w:r>
                </w:p>
              </w:tc>
              <w:tc>
                <w:tcPr>
                  <w:tcW w:w="805" w:type="dxa"/>
                  <w:vAlign w:val="center"/>
                </w:tcPr>
                <w:p>
                  <w:pPr>
                    <w:widowControl/>
                    <w:jc w:val="center"/>
                    <w:textAlignment w:val="center"/>
                    <w:rPr>
                      <w:sz w:val="18"/>
                      <w:szCs w:val="18"/>
                    </w:rPr>
                  </w:pPr>
                  <w:r>
                    <w:rPr>
                      <w:rFonts w:hint="eastAsia"/>
                      <w:sz w:val="18"/>
                      <w:szCs w:val="18"/>
                    </w:rPr>
                    <w:t>2.77</w:t>
                  </w:r>
                </w:p>
              </w:tc>
            </w:tr>
          </w:tbl>
          <w:p>
            <w:pPr>
              <w:autoSpaceDE w:val="0"/>
              <w:autoSpaceDN w:val="0"/>
              <w:adjustRightInd w:val="0"/>
              <w:spacing w:line="400" w:lineRule="exact"/>
              <w:ind w:firstLine="420" w:firstLineChars="200"/>
              <w:jc w:val="left"/>
              <w:rPr>
                <w:rFonts w:cs="宋体"/>
                <w:kern w:val="0"/>
                <w:szCs w:val="21"/>
              </w:rPr>
            </w:pPr>
            <w:r>
              <w:rPr>
                <w:rFonts w:cs="宋体"/>
                <w:kern w:val="0"/>
                <w:szCs w:val="21"/>
              </w:rPr>
              <w:t>根据《达州市</w:t>
            </w:r>
            <w:r>
              <w:rPr>
                <w:rFonts w:hint="eastAsia" w:cs="宋体"/>
                <w:kern w:val="0"/>
                <w:szCs w:val="21"/>
              </w:rPr>
              <w:t>2022年环境空气质量状况</w:t>
            </w:r>
            <w:r>
              <w:rPr>
                <w:rFonts w:cs="宋体"/>
                <w:kern w:val="0"/>
                <w:szCs w:val="21"/>
              </w:rPr>
              <w:t>》及上表数据可知，宣汉县</w:t>
            </w:r>
            <w:r>
              <w:rPr>
                <w:rFonts w:hint="eastAsia" w:cs="宋体"/>
                <w:kern w:val="0"/>
                <w:szCs w:val="21"/>
              </w:rPr>
              <w:t>2022年环境空气质量达标率为97.3%。项目所在区域为环境空气质量达标区。</w:t>
            </w:r>
          </w:p>
          <w:p>
            <w:pPr>
              <w:autoSpaceDE w:val="0"/>
              <w:autoSpaceDN w:val="0"/>
              <w:adjustRightInd w:val="0"/>
              <w:spacing w:line="408" w:lineRule="exact"/>
              <w:rPr>
                <w:rFonts w:eastAsia="黑体"/>
                <w:bCs/>
                <w:kern w:val="0"/>
                <w:szCs w:val="28"/>
                <w:lang w:val="zh-CN"/>
              </w:rPr>
            </w:pPr>
            <w:r>
              <w:rPr>
                <w:rFonts w:hint="eastAsia" w:eastAsia="黑体"/>
                <w:bCs/>
                <w:kern w:val="0"/>
                <w:szCs w:val="28"/>
                <w:lang w:val="zh-CN"/>
              </w:rPr>
              <w:t>4.2 环境空气质量现状评价</w:t>
            </w:r>
          </w:p>
          <w:p>
            <w:pPr>
              <w:overflowPunct w:val="0"/>
              <w:autoSpaceDE w:val="0"/>
              <w:autoSpaceDN w:val="0"/>
              <w:spacing w:line="400" w:lineRule="exact"/>
              <w:ind w:firstLine="420" w:firstLineChars="200"/>
              <w:rPr>
                <w:rFonts w:eastAsia="新宋体"/>
                <w:kern w:val="0"/>
                <w:lang w:val="zh-CN"/>
              </w:rPr>
            </w:pPr>
            <w:r>
              <w:rPr>
                <w:rFonts w:hint="eastAsia" w:eastAsia="新宋体"/>
                <w:kern w:val="0"/>
                <w:lang w:val="zh-CN"/>
              </w:rPr>
              <w:t>根据四川融华环境检测有限公司于2023年6月12日~14日，对项目区环境空气质量进行了环境本底值监测。监测因子：非甲烷总烃；监测点位：项目区西南界下风向；监测频次：连续检测3天，每天采样4次、测一次值。评价标准：《大气污染物综合排放标准详解》（非甲烷总烃环境质量标准值≤</w:t>
            </w:r>
            <w:r>
              <w:rPr>
                <w:rFonts w:hint="eastAsia"/>
                <w:szCs w:val="18"/>
              </w:rPr>
              <w:t>2.0m</w:t>
            </w:r>
            <w:r>
              <w:rPr>
                <w:szCs w:val="18"/>
              </w:rPr>
              <w:t>g/m</w:t>
            </w:r>
            <w:r>
              <w:rPr>
                <w:szCs w:val="18"/>
                <w:vertAlign w:val="superscript"/>
              </w:rPr>
              <w:t>3</w:t>
            </w:r>
            <w:r>
              <w:rPr>
                <w:rFonts w:hint="eastAsia" w:eastAsia="新宋体"/>
                <w:kern w:val="0"/>
                <w:lang w:val="zh-CN"/>
              </w:rPr>
              <w:t>）。</w:t>
            </w:r>
          </w:p>
          <w:p>
            <w:pPr>
              <w:overflowPunct w:val="0"/>
              <w:autoSpaceDE w:val="0"/>
              <w:autoSpaceDN w:val="0"/>
              <w:spacing w:line="400" w:lineRule="exact"/>
              <w:ind w:firstLine="420" w:firstLineChars="200"/>
              <w:rPr>
                <w:rFonts w:eastAsia="新宋体"/>
                <w:kern w:val="0"/>
                <w:lang w:val="zh-CN"/>
              </w:rPr>
            </w:pPr>
            <w:r>
              <w:rPr>
                <w:rFonts w:hint="eastAsia" w:eastAsia="新宋体"/>
                <w:kern w:val="0"/>
                <w:lang w:val="zh-CN"/>
              </w:rPr>
              <w:t>具体监测结果统计如下表：</w:t>
            </w:r>
          </w:p>
          <w:p>
            <w:pPr>
              <w:spacing w:line="400" w:lineRule="exact"/>
              <w:ind w:firstLine="51"/>
              <w:jc w:val="center"/>
              <w:rPr>
                <w:rFonts w:eastAsia="黑体"/>
                <w:bCs/>
                <w:kern w:val="0"/>
                <w:sz w:val="18"/>
                <w:szCs w:val="18"/>
              </w:rPr>
            </w:pPr>
          </w:p>
          <w:p>
            <w:pPr>
              <w:spacing w:line="400" w:lineRule="exact"/>
              <w:ind w:firstLine="51"/>
              <w:jc w:val="center"/>
              <w:rPr>
                <w:rFonts w:eastAsia="黑体"/>
                <w:bCs/>
                <w:kern w:val="0"/>
                <w:sz w:val="18"/>
                <w:szCs w:val="18"/>
              </w:rPr>
            </w:pPr>
            <w:r>
              <w:rPr>
                <w:rFonts w:eastAsia="黑体"/>
                <w:bCs/>
                <w:kern w:val="0"/>
                <w:sz w:val="18"/>
                <w:szCs w:val="18"/>
              </w:rPr>
              <w:t>表</w:t>
            </w:r>
            <w:r>
              <w:rPr>
                <w:rFonts w:hint="eastAsia" w:eastAsia="黑体"/>
                <w:bCs/>
                <w:kern w:val="0"/>
                <w:sz w:val="18"/>
                <w:szCs w:val="18"/>
              </w:rPr>
              <w:t>3-4</w:t>
            </w:r>
            <w:r>
              <w:rPr>
                <w:rFonts w:eastAsia="黑体"/>
                <w:bCs/>
                <w:kern w:val="0"/>
                <w:sz w:val="18"/>
                <w:szCs w:val="18"/>
              </w:rPr>
              <w:t xml:space="preserve">    环境空气特征因子现状评价结果表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26"/>
              <w:gridCol w:w="1146"/>
              <w:gridCol w:w="588"/>
              <w:gridCol w:w="568"/>
              <w:gridCol w:w="563"/>
              <w:gridCol w:w="568"/>
              <w:gridCol w:w="710"/>
              <w:gridCol w:w="994"/>
              <w:gridCol w:w="849"/>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 w:hRule="atLeast"/>
                <w:jc w:val="center"/>
              </w:trPr>
              <w:tc>
                <w:tcPr>
                  <w:tcW w:w="577" w:type="pct"/>
                  <w:vMerge w:val="restart"/>
                  <w:tcBorders>
                    <w:top w:val="single" w:color="auto" w:sz="4" w:space="0"/>
                    <w:left w:val="single" w:color="auto" w:sz="4" w:space="0"/>
                    <w:right w:val="single" w:color="auto" w:sz="4" w:space="0"/>
                  </w:tcBorders>
                  <w:vAlign w:val="center"/>
                </w:tcPr>
                <w:p>
                  <w:pPr>
                    <w:adjustRightInd w:val="0"/>
                    <w:snapToGrid w:val="0"/>
                    <w:spacing w:line="320" w:lineRule="exact"/>
                    <w:jc w:val="center"/>
                    <w:rPr>
                      <w:b/>
                      <w:bCs/>
                      <w:sz w:val="18"/>
                      <w:szCs w:val="18"/>
                    </w:rPr>
                  </w:pPr>
                  <w:r>
                    <w:rPr>
                      <w:rFonts w:hAnsi="宋体"/>
                      <w:b/>
                      <w:bCs/>
                      <w:sz w:val="18"/>
                      <w:szCs w:val="18"/>
                    </w:rPr>
                    <w:t>监测点位</w:t>
                  </w:r>
                </w:p>
              </w:tc>
              <w:tc>
                <w:tcPr>
                  <w:tcW w:w="714" w:type="pct"/>
                  <w:vMerge w:val="restart"/>
                  <w:tcBorders>
                    <w:top w:val="single" w:color="auto" w:sz="4" w:space="0"/>
                    <w:left w:val="single" w:color="auto" w:sz="4" w:space="0"/>
                    <w:right w:val="single" w:color="auto" w:sz="4" w:space="0"/>
                  </w:tcBorders>
                  <w:vAlign w:val="center"/>
                </w:tcPr>
                <w:p>
                  <w:pPr>
                    <w:adjustRightInd w:val="0"/>
                    <w:snapToGrid w:val="0"/>
                    <w:spacing w:line="320" w:lineRule="exact"/>
                    <w:jc w:val="center"/>
                    <w:rPr>
                      <w:b/>
                      <w:bCs/>
                      <w:sz w:val="18"/>
                      <w:szCs w:val="18"/>
                    </w:rPr>
                  </w:pPr>
                  <w:r>
                    <w:rPr>
                      <w:rFonts w:hAnsi="宋体"/>
                      <w:b/>
                      <w:bCs/>
                      <w:sz w:val="18"/>
                      <w:szCs w:val="18"/>
                    </w:rPr>
                    <w:t>监测日期</w:t>
                  </w:r>
                </w:p>
              </w:tc>
              <w:tc>
                <w:tcPr>
                  <w:tcW w:w="1866"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b/>
                      <w:bCs/>
                      <w:sz w:val="18"/>
                      <w:szCs w:val="18"/>
                    </w:rPr>
                  </w:pPr>
                  <w:r>
                    <w:rPr>
                      <w:rFonts w:hAnsi="宋体"/>
                      <w:b/>
                      <w:bCs/>
                      <w:sz w:val="18"/>
                      <w:szCs w:val="18"/>
                    </w:rPr>
                    <w:t>监测结果（</w:t>
                  </w:r>
                  <w:r>
                    <w:rPr>
                      <w:rFonts w:hint="eastAsia"/>
                      <w:sz w:val="18"/>
                      <w:szCs w:val="18"/>
                    </w:rPr>
                    <w:t>m</w:t>
                  </w:r>
                  <w:r>
                    <w:rPr>
                      <w:sz w:val="18"/>
                      <w:szCs w:val="18"/>
                    </w:rPr>
                    <w:t>g/m</w:t>
                  </w:r>
                  <w:r>
                    <w:rPr>
                      <w:sz w:val="18"/>
                      <w:szCs w:val="18"/>
                      <w:vertAlign w:val="superscript"/>
                    </w:rPr>
                    <w:t>3</w:t>
                  </w:r>
                  <w:r>
                    <w:rPr>
                      <w:rFonts w:hAnsi="宋体"/>
                      <w:b/>
                      <w:bCs/>
                      <w:sz w:val="18"/>
                      <w:szCs w:val="18"/>
                    </w:rPr>
                    <w:t>）</w:t>
                  </w:r>
                </w:p>
              </w:tc>
              <w:tc>
                <w:tcPr>
                  <w:tcW w:w="619" w:type="pct"/>
                  <w:vMerge w:val="restart"/>
                  <w:tcBorders>
                    <w:top w:val="single" w:color="auto" w:sz="4" w:space="0"/>
                    <w:left w:val="single" w:color="auto" w:sz="4" w:space="0"/>
                    <w:right w:val="single" w:color="auto" w:sz="4" w:space="0"/>
                  </w:tcBorders>
                  <w:vAlign w:val="center"/>
                </w:tcPr>
                <w:p>
                  <w:pPr>
                    <w:adjustRightInd w:val="0"/>
                    <w:snapToGrid w:val="0"/>
                    <w:spacing w:line="320" w:lineRule="exact"/>
                    <w:jc w:val="center"/>
                    <w:rPr>
                      <w:b/>
                      <w:bCs/>
                      <w:sz w:val="18"/>
                      <w:szCs w:val="18"/>
                    </w:rPr>
                  </w:pPr>
                  <w:r>
                    <w:rPr>
                      <w:rFonts w:hAnsi="宋体"/>
                      <w:b/>
                      <w:bCs/>
                      <w:sz w:val="18"/>
                      <w:szCs w:val="18"/>
                    </w:rPr>
                    <w:t>标准值</w:t>
                  </w:r>
                </w:p>
              </w:tc>
              <w:tc>
                <w:tcPr>
                  <w:tcW w:w="529" w:type="pct"/>
                  <w:vMerge w:val="restart"/>
                  <w:tcBorders>
                    <w:top w:val="single" w:color="auto" w:sz="4" w:space="0"/>
                    <w:left w:val="single" w:color="auto" w:sz="4" w:space="0"/>
                    <w:right w:val="single" w:color="auto" w:sz="4" w:space="0"/>
                  </w:tcBorders>
                  <w:vAlign w:val="center"/>
                </w:tcPr>
                <w:p>
                  <w:pPr>
                    <w:adjustRightInd w:val="0"/>
                    <w:snapToGrid w:val="0"/>
                    <w:spacing w:line="320" w:lineRule="exact"/>
                    <w:jc w:val="center"/>
                    <w:rPr>
                      <w:b/>
                      <w:bCs/>
                      <w:sz w:val="18"/>
                      <w:szCs w:val="18"/>
                    </w:rPr>
                  </w:pPr>
                  <w:r>
                    <w:rPr>
                      <w:rFonts w:hAnsi="宋体"/>
                      <w:b/>
                      <w:bCs/>
                      <w:sz w:val="18"/>
                      <w:szCs w:val="18"/>
                    </w:rPr>
                    <w:t>占标率</w:t>
                  </w:r>
                </w:p>
              </w:tc>
              <w:tc>
                <w:tcPr>
                  <w:tcW w:w="695" w:type="pct"/>
                  <w:vMerge w:val="restart"/>
                  <w:tcBorders>
                    <w:top w:val="single" w:color="auto" w:sz="4" w:space="0"/>
                    <w:left w:val="single" w:color="auto" w:sz="4" w:space="0"/>
                    <w:right w:val="single" w:color="auto" w:sz="4" w:space="0"/>
                  </w:tcBorders>
                  <w:vAlign w:val="center"/>
                </w:tcPr>
                <w:p>
                  <w:pPr>
                    <w:adjustRightInd w:val="0"/>
                    <w:snapToGrid w:val="0"/>
                    <w:spacing w:line="320" w:lineRule="exact"/>
                    <w:jc w:val="center"/>
                    <w:rPr>
                      <w:b/>
                      <w:bCs/>
                      <w:sz w:val="18"/>
                      <w:szCs w:val="18"/>
                    </w:rPr>
                  </w:pPr>
                  <w:r>
                    <w:rPr>
                      <w:rFonts w:hAnsi="宋体"/>
                      <w:b/>
                      <w:bCs/>
                      <w:sz w:val="18"/>
                      <w:szCs w:val="18"/>
                    </w:rPr>
                    <w:t>超标率（</w:t>
                  </w:r>
                  <w:r>
                    <w:rPr>
                      <w:b/>
                      <w:bCs/>
                      <w:sz w:val="18"/>
                      <w:szCs w:val="18"/>
                    </w:rPr>
                    <w:t>%</w:t>
                  </w:r>
                  <w:r>
                    <w:rPr>
                      <w:rFonts w:hAnsi="宋体"/>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 w:hRule="atLeast"/>
                <w:jc w:val="center"/>
              </w:trPr>
              <w:tc>
                <w:tcPr>
                  <w:tcW w:w="577" w:type="pct"/>
                  <w:vMerge w:val="continue"/>
                  <w:tcBorders>
                    <w:left w:val="single" w:color="auto" w:sz="4" w:space="0"/>
                    <w:bottom w:val="single" w:color="auto" w:sz="4" w:space="0"/>
                    <w:right w:val="single" w:color="auto" w:sz="4" w:space="0"/>
                  </w:tcBorders>
                  <w:vAlign w:val="center"/>
                </w:tcPr>
                <w:p>
                  <w:pPr>
                    <w:adjustRightInd w:val="0"/>
                    <w:snapToGrid w:val="0"/>
                    <w:spacing w:line="320" w:lineRule="exact"/>
                    <w:jc w:val="center"/>
                    <w:rPr>
                      <w:rFonts w:hAnsi="宋体"/>
                      <w:b/>
                      <w:bCs/>
                      <w:sz w:val="18"/>
                      <w:szCs w:val="18"/>
                    </w:rPr>
                  </w:pPr>
                </w:p>
              </w:tc>
              <w:tc>
                <w:tcPr>
                  <w:tcW w:w="714" w:type="pct"/>
                  <w:vMerge w:val="continue"/>
                  <w:tcBorders>
                    <w:left w:val="single" w:color="auto" w:sz="4" w:space="0"/>
                    <w:bottom w:val="single" w:color="auto" w:sz="4" w:space="0"/>
                    <w:right w:val="single" w:color="auto" w:sz="4" w:space="0"/>
                  </w:tcBorders>
                  <w:vAlign w:val="center"/>
                </w:tcPr>
                <w:p>
                  <w:pPr>
                    <w:adjustRightInd w:val="0"/>
                    <w:snapToGrid w:val="0"/>
                    <w:spacing w:line="320" w:lineRule="exact"/>
                    <w:jc w:val="center"/>
                    <w:rPr>
                      <w:rFonts w:hAnsi="宋体"/>
                      <w:b/>
                      <w:bCs/>
                      <w:sz w:val="18"/>
                      <w:szCs w:val="18"/>
                    </w:rPr>
                  </w:pPr>
                </w:p>
              </w:tc>
              <w:tc>
                <w:tcPr>
                  <w:tcW w:w="3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Ansi="宋体"/>
                      <w:b/>
                      <w:bCs/>
                      <w:sz w:val="18"/>
                      <w:szCs w:val="18"/>
                    </w:rPr>
                  </w:pPr>
                  <w:r>
                    <w:rPr>
                      <w:rFonts w:hAnsi="宋体"/>
                      <w:b/>
                      <w:bCs/>
                      <w:sz w:val="18"/>
                      <w:szCs w:val="18"/>
                    </w:rPr>
                    <w:t>第</w:t>
                  </w:r>
                  <w:r>
                    <w:rPr>
                      <w:rFonts w:hint="eastAsia" w:hAnsi="宋体"/>
                      <w:b/>
                      <w:bCs/>
                      <w:sz w:val="18"/>
                      <w:szCs w:val="18"/>
                    </w:rPr>
                    <w:t>1次</w:t>
                  </w:r>
                </w:p>
              </w:tc>
              <w:tc>
                <w:tcPr>
                  <w:tcW w:w="3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Ansi="宋体"/>
                      <w:b/>
                      <w:bCs/>
                      <w:sz w:val="18"/>
                      <w:szCs w:val="18"/>
                    </w:rPr>
                  </w:pPr>
                  <w:r>
                    <w:rPr>
                      <w:rFonts w:hAnsi="宋体"/>
                      <w:b/>
                      <w:bCs/>
                      <w:sz w:val="18"/>
                      <w:szCs w:val="18"/>
                    </w:rPr>
                    <w:t>第</w:t>
                  </w:r>
                  <w:r>
                    <w:rPr>
                      <w:rFonts w:hint="eastAsia" w:hAnsi="宋体"/>
                      <w:b/>
                      <w:bCs/>
                      <w:sz w:val="18"/>
                      <w:szCs w:val="18"/>
                    </w:rPr>
                    <w:t>2次</w:t>
                  </w:r>
                </w:p>
              </w:tc>
              <w:tc>
                <w:tcPr>
                  <w:tcW w:w="35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Ansi="宋体"/>
                      <w:b/>
                      <w:bCs/>
                      <w:sz w:val="18"/>
                      <w:szCs w:val="18"/>
                    </w:rPr>
                  </w:pPr>
                  <w:r>
                    <w:rPr>
                      <w:rFonts w:hAnsi="宋体"/>
                      <w:b/>
                      <w:bCs/>
                      <w:sz w:val="18"/>
                      <w:szCs w:val="18"/>
                    </w:rPr>
                    <w:t>第</w:t>
                  </w:r>
                  <w:r>
                    <w:rPr>
                      <w:rFonts w:hint="eastAsia" w:hAnsi="宋体"/>
                      <w:b/>
                      <w:bCs/>
                      <w:sz w:val="18"/>
                      <w:szCs w:val="18"/>
                    </w:rPr>
                    <w:t>3次</w:t>
                  </w:r>
                </w:p>
              </w:tc>
              <w:tc>
                <w:tcPr>
                  <w:tcW w:w="35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Ansi="宋体"/>
                      <w:b/>
                      <w:bCs/>
                      <w:sz w:val="18"/>
                      <w:szCs w:val="18"/>
                    </w:rPr>
                  </w:pPr>
                  <w:r>
                    <w:rPr>
                      <w:rFonts w:hAnsi="宋体"/>
                      <w:b/>
                      <w:bCs/>
                      <w:sz w:val="18"/>
                      <w:szCs w:val="18"/>
                    </w:rPr>
                    <w:t>第</w:t>
                  </w:r>
                  <w:r>
                    <w:rPr>
                      <w:rFonts w:hint="eastAsia" w:hAnsi="宋体"/>
                      <w:b/>
                      <w:bCs/>
                      <w:sz w:val="18"/>
                      <w:szCs w:val="18"/>
                    </w:rPr>
                    <w:t>4次</w:t>
                  </w:r>
                </w:p>
              </w:tc>
              <w:tc>
                <w:tcPr>
                  <w:tcW w:w="442" w:type="pct"/>
                  <w:tcBorders>
                    <w:left w:val="single" w:color="auto" w:sz="4" w:space="0"/>
                    <w:bottom w:val="single" w:color="auto" w:sz="4" w:space="0"/>
                    <w:right w:val="single" w:color="auto" w:sz="4" w:space="0"/>
                  </w:tcBorders>
                  <w:vAlign w:val="center"/>
                </w:tcPr>
                <w:p>
                  <w:pPr>
                    <w:adjustRightInd w:val="0"/>
                    <w:snapToGrid w:val="0"/>
                    <w:spacing w:line="320" w:lineRule="exact"/>
                    <w:jc w:val="center"/>
                    <w:rPr>
                      <w:rFonts w:hAnsi="宋体"/>
                      <w:b/>
                      <w:bCs/>
                      <w:sz w:val="18"/>
                      <w:szCs w:val="18"/>
                    </w:rPr>
                  </w:pPr>
                  <w:r>
                    <w:rPr>
                      <w:b/>
                      <w:bCs/>
                      <w:sz w:val="18"/>
                      <w:szCs w:val="18"/>
                    </w:rPr>
                    <w:t>平均值</w:t>
                  </w:r>
                </w:p>
              </w:tc>
              <w:tc>
                <w:tcPr>
                  <w:tcW w:w="619" w:type="pct"/>
                  <w:vMerge w:val="continue"/>
                  <w:tcBorders>
                    <w:left w:val="single" w:color="auto" w:sz="4" w:space="0"/>
                    <w:bottom w:val="single" w:color="auto" w:sz="4" w:space="0"/>
                    <w:right w:val="single" w:color="auto" w:sz="4" w:space="0"/>
                  </w:tcBorders>
                  <w:vAlign w:val="center"/>
                </w:tcPr>
                <w:p>
                  <w:pPr>
                    <w:adjustRightInd w:val="0"/>
                    <w:snapToGrid w:val="0"/>
                    <w:spacing w:line="320" w:lineRule="exact"/>
                    <w:jc w:val="center"/>
                    <w:rPr>
                      <w:rFonts w:hAnsi="宋体"/>
                      <w:b/>
                      <w:bCs/>
                      <w:sz w:val="18"/>
                      <w:szCs w:val="18"/>
                    </w:rPr>
                  </w:pPr>
                </w:p>
              </w:tc>
              <w:tc>
                <w:tcPr>
                  <w:tcW w:w="529" w:type="pct"/>
                  <w:vMerge w:val="continue"/>
                  <w:tcBorders>
                    <w:left w:val="single" w:color="auto" w:sz="4" w:space="0"/>
                    <w:right w:val="single" w:color="auto" w:sz="4" w:space="0"/>
                  </w:tcBorders>
                  <w:vAlign w:val="center"/>
                </w:tcPr>
                <w:p>
                  <w:pPr>
                    <w:adjustRightInd w:val="0"/>
                    <w:snapToGrid w:val="0"/>
                    <w:spacing w:line="320" w:lineRule="exact"/>
                    <w:jc w:val="center"/>
                    <w:rPr>
                      <w:rFonts w:hAnsi="宋体"/>
                      <w:b/>
                      <w:bCs/>
                      <w:sz w:val="18"/>
                      <w:szCs w:val="18"/>
                    </w:rPr>
                  </w:pPr>
                </w:p>
              </w:tc>
              <w:tc>
                <w:tcPr>
                  <w:tcW w:w="695" w:type="pct"/>
                  <w:vMerge w:val="continue"/>
                  <w:tcBorders>
                    <w:left w:val="single" w:color="auto" w:sz="4" w:space="0"/>
                    <w:right w:val="single" w:color="auto" w:sz="4" w:space="0"/>
                  </w:tcBorders>
                  <w:vAlign w:val="center"/>
                </w:tcPr>
                <w:p>
                  <w:pPr>
                    <w:adjustRightInd w:val="0"/>
                    <w:snapToGrid w:val="0"/>
                    <w:spacing w:line="320" w:lineRule="exact"/>
                    <w:jc w:val="center"/>
                    <w:rPr>
                      <w:rFonts w:hAnsi="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 w:hRule="atLeast"/>
                <w:jc w:val="center"/>
              </w:trPr>
              <w:tc>
                <w:tcPr>
                  <w:tcW w:w="577" w:type="pct"/>
                  <w:vMerge w:val="restart"/>
                  <w:tcBorders>
                    <w:top w:val="single" w:color="auto" w:sz="4" w:space="0"/>
                    <w:left w:val="single" w:color="auto" w:sz="4" w:space="0"/>
                    <w:right w:val="single" w:color="auto" w:sz="4" w:space="0"/>
                  </w:tcBorders>
                  <w:vAlign w:val="center"/>
                </w:tcPr>
                <w:p>
                  <w:pPr>
                    <w:spacing w:line="320" w:lineRule="exact"/>
                    <w:jc w:val="center"/>
                    <w:rPr>
                      <w:sz w:val="18"/>
                      <w:szCs w:val="18"/>
                    </w:rPr>
                  </w:pPr>
                  <w:r>
                    <w:rPr>
                      <w:sz w:val="18"/>
                      <w:szCs w:val="18"/>
                    </w:rPr>
                    <w:t>项目区内</w:t>
                  </w:r>
                </w:p>
              </w:tc>
              <w:tc>
                <w:tcPr>
                  <w:tcW w:w="7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left="-105" w:leftChars="-50" w:right="-105" w:rightChars="-50"/>
                    <w:jc w:val="center"/>
                    <w:rPr>
                      <w:sz w:val="18"/>
                      <w:szCs w:val="18"/>
                    </w:rPr>
                  </w:pPr>
                  <w:r>
                    <w:rPr>
                      <w:rFonts w:hint="eastAsia"/>
                      <w:sz w:val="18"/>
                      <w:szCs w:val="18"/>
                    </w:rPr>
                    <w:t>2023.6.12</w:t>
                  </w:r>
                </w:p>
              </w:tc>
              <w:tc>
                <w:tcPr>
                  <w:tcW w:w="366" w:type="pct"/>
                  <w:tcBorders>
                    <w:top w:val="single" w:color="auto" w:sz="4" w:space="0"/>
                    <w:left w:val="single" w:color="auto" w:sz="4" w:space="0"/>
                    <w:bottom w:val="single" w:color="auto" w:sz="4" w:space="0"/>
                    <w:right w:val="single" w:color="auto" w:sz="4" w:space="0"/>
                  </w:tcBorders>
                  <w:vAlign w:val="center"/>
                </w:tcPr>
                <w:p>
                  <w:pPr>
                    <w:spacing w:line="320" w:lineRule="exact"/>
                    <w:ind w:left="-105" w:leftChars="-50" w:right="-105" w:rightChars="-50"/>
                    <w:jc w:val="center"/>
                    <w:rPr>
                      <w:sz w:val="18"/>
                      <w:szCs w:val="18"/>
                    </w:rPr>
                  </w:pPr>
                  <w:r>
                    <w:rPr>
                      <w:rFonts w:hint="eastAsia"/>
                      <w:sz w:val="18"/>
                      <w:szCs w:val="18"/>
                    </w:rPr>
                    <w:t>0.48</w:t>
                  </w:r>
                </w:p>
              </w:tc>
              <w:tc>
                <w:tcPr>
                  <w:tcW w:w="354" w:type="pct"/>
                  <w:tcBorders>
                    <w:top w:val="single" w:color="auto" w:sz="4" w:space="0"/>
                    <w:left w:val="single" w:color="auto" w:sz="4" w:space="0"/>
                    <w:bottom w:val="single" w:color="auto" w:sz="4" w:space="0"/>
                    <w:right w:val="single" w:color="auto" w:sz="4" w:space="0"/>
                  </w:tcBorders>
                  <w:vAlign w:val="center"/>
                </w:tcPr>
                <w:p>
                  <w:pPr>
                    <w:spacing w:line="320" w:lineRule="exact"/>
                    <w:ind w:left="-105" w:leftChars="-50" w:right="-105" w:rightChars="-50"/>
                    <w:jc w:val="center"/>
                    <w:rPr>
                      <w:sz w:val="18"/>
                      <w:szCs w:val="18"/>
                    </w:rPr>
                  </w:pPr>
                  <w:r>
                    <w:rPr>
                      <w:rFonts w:hint="eastAsia"/>
                      <w:sz w:val="18"/>
                      <w:szCs w:val="18"/>
                    </w:rPr>
                    <w:t>0.51</w:t>
                  </w:r>
                </w:p>
              </w:tc>
              <w:tc>
                <w:tcPr>
                  <w:tcW w:w="351" w:type="pct"/>
                  <w:tcBorders>
                    <w:top w:val="single" w:color="auto" w:sz="4" w:space="0"/>
                    <w:left w:val="single" w:color="auto" w:sz="4" w:space="0"/>
                    <w:bottom w:val="single" w:color="auto" w:sz="4" w:space="0"/>
                    <w:right w:val="single" w:color="auto" w:sz="4" w:space="0"/>
                  </w:tcBorders>
                  <w:vAlign w:val="center"/>
                </w:tcPr>
                <w:p>
                  <w:pPr>
                    <w:spacing w:line="320" w:lineRule="exact"/>
                    <w:ind w:left="-105" w:leftChars="-50" w:right="-105" w:rightChars="-50"/>
                    <w:jc w:val="center"/>
                    <w:rPr>
                      <w:sz w:val="18"/>
                      <w:szCs w:val="18"/>
                    </w:rPr>
                  </w:pPr>
                  <w:r>
                    <w:rPr>
                      <w:rFonts w:hint="eastAsia"/>
                      <w:sz w:val="18"/>
                      <w:szCs w:val="18"/>
                    </w:rPr>
                    <w:t>0.50</w:t>
                  </w:r>
                </w:p>
              </w:tc>
              <w:tc>
                <w:tcPr>
                  <w:tcW w:w="354" w:type="pct"/>
                  <w:tcBorders>
                    <w:top w:val="single" w:color="auto" w:sz="4" w:space="0"/>
                    <w:left w:val="single" w:color="auto" w:sz="4" w:space="0"/>
                    <w:bottom w:val="single" w:color="auto" w:sz="4" w:space="0"/>
                    <w:right w:val="single" w:color="auto" w:sz="4" w:space="0"/>
                  </w:tcBorders>
                  <w:vAlign w:val="center"/>
                </w:tcPr>
                <w:p>
                  <w:pPr>
                    <w:spacing w:line="320" w:lineRule="exact"/>
                    <w:ind w:left="-105" w:leftChars="-50" w:right="-105" w:rightChars="-50"/>
                    <w:jc w:val="center"/>
                    <w:rPr>
                      <w:sz w:val="18"/>
                      <w:szCs w:val="18"/>
                    </w:rPr>
                  </w:pPr>
                  <w:r>
                    <w:rPr>
                      <w:rFonts w:hint="eastAsia"/>
                      <w:sz w:val="18"/>
                      <w:szCs w:val="18"/>
                    </w:rPr>
                    <w:t>0.43</w:t>
                  </w:r>
                </w:p>
              </w:tc>
              <w:tc>
                <w:tcPr>
                  <w:tcW w:w="442" w:type="pct"/>
                  <w:tcBorders>
                    <w:top w:val="single" w:color="auto" w:sz="4" w:space="0"/>
                    <w:left w:val="single" w:color="auto" w:sz="4" w:space="0"/>
                    <w:right w:val="single" w:color="auto" w:sz="4" w:space="0"/>
                  </w:tcBorders>
                  <w:vAlign w:val="center"/>
                </w:tcPr>
                <w:p>
                  <w:pPr>
                    <w:adjustRightInd w:val="0"/>
                    <w:snapToGrid w:val="0"/>
                    <w:spacing w:line="320" w:lineRule="exact"/>
                    <w:jc w:val="center"/>
                    <w:rPr>
                      <w:sz w:val="18"/>
                      <w:szCs w:val="18"/>
                    </w:rPr>
                  </w:pPr>
                  <w:r>
                    <w:rPr>
                      <w:rFonts w:hint="eastAsia"/>
                      <w:sz w:val="18"/>
                      <w:szCs w:val="18"/>
                    </w:rPr>
                    <w:t>0.48</w:t>
                  </w:r>
                </w:p>
              </w:tc>
              <w:tc>
                <w:tcPr>
                  <w:tcW w:w="619" w:type="pct"/>
                  <w:vMerge w:val="restart"/>
                  <w:tcBorders>
                    <w:top w:val="single" w:color="auto" w:sz="4" w:space="0"/>
                    <w:left w:val="single" w:color="auto" w:sz="4" w:space="0"/>
                    <w:right w:val="single" w:color="auto" w:sz="4" w:space="0"/>
                  </w:tcBorders>
                  <w:vAlign w:val="center"/>
                </w:tcPr>
                <w:p>
                  <w:pPr>
                    <w:adjustRightInd w:val="0"/>
                    <w:snapToGrid w:val="0"/>
                    <w:spacing w:line="320" w:lineRule="exact"/>
                    <w:jc w:val="center"/>
                    <w:rPr>
                      <w:sz w:val="18"/>
                      <w:szCs w:val="18"/>
                    </w:rPr>
                  </w:pPr>
                  <w:r>
                    <w:rPr>
                      <w:rFonts w:hint="eastAsia"/>
                      <w:sz w:val="18"/>
                      <w:szCs w:val="18"/>
                    </w:rPr>
                    <w:t>2.0m</w:t>
                  </w:r>
                  <w:r>
                    <w:rPr>
                      <w:sz w:val="18"/>
                      <w:szCs w:val="18"/>
                    </w:rPr>
                    <w:t>g/m</w:t>
                  </w:r>
                  <w:r>
                    <w:rPr>
                      <w:sz w:val="18"/>
                      <w:szCs w:val="18"/>
                      <w:vertAlign w:val="superscript"/>
                    </w:rPr>
                    <w:t>3</w:t>
                  </w:r>
                </w:p>
              </w:tc>
              <w:tc>
                <w:tcPr>
                  <w:tcW w:w="5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sz w:val="18"/>
                      <w:szCs w:val="18"/>
                    </w:rPr>
                  </w:pPr>
                  <w:r>
                    <w:rPr>
                      <w:rFonts w:hint="eastAsia"/>
                      <w:sz w:val="18"/>
                      <w:szCs w:val="18"/>
                    </w:rPr>
                    <w:t>240.%</w:t>
                  </w:r>
                </w:p>
              </w:tc>
              <w:tc>
                <w:tcPr>
                  <w:tcW w:w="69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sz w:val="18"/>
                      <w:szCs w:val="18"/>
                    </w:rPr>
                  </w:pP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 w:hRule="atLeast"/>
                <w:jc w:val="center"/>
              </w:trPr>
              <w:tc>
                <w:tcPr>
                  <w:tcW w:w="577" w:type="pct"/>
                  <w:vMerge w:val="continue"/>
                  <w:tcBorders>
                    <w:left w:val="single" w:color="auto" w:sz="4" w:space="0"/>
                    <w:right w:val="single" w:color="auto" w:sz="4" w:space="0"/>
                  </w:tcBorders>
                  <w:vAlign w:val="center"/>
                </w:tcPr>
                <w:p>
                  <w:pPr>
                    <w:spacing w:line="320" w:lineRule="exact"/>
                    <w:jc w:val="center"/>
                    <w:rPr>
                      <w:sz w:val="18"/>
                      <w:szCs w:val="18"/>
                    </w:rPr>
                  </w:pPr>
                </w:p>
              </w:tc>
              <w:tc>
                <w:tcPr>
                  <w:tcW w:w="7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left="-105" w:leftChars="-50" w:right="-105" w:rightChars="-50"/>
                    <w:jc w:val="center"/>
                    <w:rPr>
                      <w:sz w:val="18"/>
                      <w:szCs w:val="18"/>
                    </w:rPr>
                  </w:pPr>
                  <w:r>
                    <w:rPr>
                      <w:rFonts w:hint="eastAsia"/>
                      <w:sz w:val="18"/>
                      <w:szCs w:val="18"/>
                    </w:rPr>
                    <w:t>2023.6.13</w:t>
                  </w:r>
                </w:p>
              </w:tc>
              <w:tc>
                <w:tcPr>
                  <w:tcW w:w="366" w:type="pct"/>
                  <w:tcBorders>
                    <w:top w:val="single" w:color="auto" w:sz="4" w:space="0"/>
                    <w:left w:val="single" w:color="auto" w:sz="4" w:space="0"/>
                    <w:bottom w:val="single" w:color="auto" w:sz="4" w:space="0"/>
                    <w:right w:val="single" w:color="auto" w:sz="4" w:space="0"/>
                  </w:tcBorders>
                  <w:vAlign w:val="center"/>
                </w:tcPr>
                <w:p>
                  <w:pPr>
                    <w:spacing w:line="320" w:lineRule="exact"/>
                    <w:ind w:left="-105" w:leftChars="-50" w:right="-105" w:rightChars="-50"/>
                    <w:jc w:val="center"/>
                    <w:rPr>
                      <w:sz w:val="18"/>
                      <w:szCs w:val="18"/>
                    </w:rPr>
                  </w:pPr>
                  <w:r>
                    <w:rPr>
                      <w:rFonts w:hint="eastAsia"/>
                      <w:sz w:val="18"/>
                      <w:szCs w:val="18"/>
                    </w:rPr>
                    <w:t>0.32</w:t>
                  </w:r>
                </w:p>
              </w:tc>
              <w:tc>
                <w:tcPr>
                  <w:tcW w:w="354" w:type="pct"/>
                  <w:tcBorders>
                    <w:top w:val="single" w:color="auto" w:sz="4" w:space="0"/>
                    <w:left w:val="single" w:color="auto" w:sz="4" w:space="0"/>
                    <w:bottom w:val="single" w:color="auto" w:sz="4" w:space="0"/>
                    <w:right w:val="single" w:color="auto" w:sz="4" w:space="0"/>
                  </w:tcBorders>
                  <w:vAlign w:val="center"/>
                </w:tcPr>
                <w:p>
                  <w:pPr>
                    <w:spacing w:line="320" w:lineRule="exact"/>
                    <w:ind w:left="-105" w:leftChars="-50" w:right="-105" w:rightChars="-50"/>
                    <w:jc w:val="center"/>
                    <w:rPr>
                      <w:sz w:val="18"/>
                      <w:szCs w:val="18"/>
                    </w:rPr>
                  </w:pPr>
                  <w:r>
                    <w:rPr>
                      <w:rFonts w:hint="eastAsia"/>
                      <w:sz w:val="18"/>
                      <w:szCs w:val="18"/>
                    </w:rPr>
                    <w:t>0.41</w:t>
                  </w:r>
                </w:p>
              </w:tc>
              <w:tc>
                <w:tcPr>
                  <w:tcW w:w="351" w:type="pct"/>
                  <w:tcBorders>
                    <w:top w:val="single" w:color="auto" w:sz="4" w:space="0"/>
                    <w:left w:val="single" w:color="auto" w:sz="4" w:space="0"/>
                    <w:bottom w:val="single" w:color="auto" w:sz="4" w:space="0"/>
                    <w:right w:val="single" w:color="auto" w:sz="4" w:space="0"/>
                  </w:tcBorders>
                  <w:vAlign w:val="center"/>
                </w:tcPr>
                <w:p>
                  <w:pPr>
                    <w:spacing w:line="320" w:lineRule="exact"/>
                    <w:ind w:left="-105" w:leftChars="-50" w:right="-105" w:rightChars="-50"/>
                    <w:jc w:val="center"/>
                    <w:rPr>
                      <w:sz w:val="18"/>
                      <w:szCs w:val="18"/>
                    </w:rPr>
                  </w:pPr>
                  <w:r>
                    <w:rPr>
                      <w:rFonts w:hint="eastAsia"/>
                      <w:sz w:val="18"/>
                      <w:szCs w:val="18"/>
                    </w:rPr>
                    <w:t>0.43</w:t>
                  </w:r>
                </w:p>
              </w:tc>
              <w:tc>
                <w:tcPr>
                  <w:tcW w:w="354" w:type="pct"/>
                  <w:tcBorders>
                    <w:top w:val="single" w:color="auto" w:sz="4" w:space="0"/>
                    <w:left w:val="single" w:color="auto" w:sz="4" w:space="0"/>
                    <w:bottom w:val="single" w:color="auto" w:sz="4" w:space="0"/>
                    <w:right w:val="single" w:color="auto" w:sz="4" w:space="0"/>
                  </w:tcBorders>
                  <w:vAlign w:val="center"/>
                </w:tcPr>
                <w:p>
                  <w:pPr>
                    <w:spacing w:line="320" w:lineRule="exact"/>
                    <w:ind w:left="-105" w:leftChars="-50" w:right="-105" w:rightChars="-50"/>
                    <w:jc w:val="center"/>
                    <w:rPr>
                      <w:sz w:val="18"/>
                      <w:szCs w:val="18"/>
                    </w:rPr>
                  </w:pPr>
                  <w:r>
                    <w:rPr>
                      <w:rFonts w:hint="eastAsia"/>
                      <w:sz w:val="18"/>
                      <w:szCs w:val="18"/>
                    </w:rPr>
                    <w:t>0.34</w:t>
                  </w:r>
                </w:p>
              </w:tc>
              <w:tc>
                <w:tcPr>
                  <w:tcW w:w="442" w:type="pct"/>
                  <w:tcBorders>
                    <w:left w:val="single" w:color="auto" w:sz="4" w:space="0"/>
                    <w:right w:val="single" w:color="auto" w:sz="4" w:space="0"/>
                  </w:tcBorders>
                  <w:vAlign w:val="center"/>
                </w:tcPr>
                <w:p>
                  <w:pPr>
                    <w:adjustRightInd w:val="0"/>
                    <w:snapToGrid w:val="0"/>
                    <w:spacing w:line="320" w:lineRule="exact"/>
                    <w:jc w:val="center"/>
                    <w:rPr>
                      <w:sz w:val="18"/>
                      <w:szCs w:val="18"/>
                    </w:rPr>
                  </w:pPr>
                  <w:r>
                    <w:rPr>
                      <w:rFonts w:hint="eastAsia"/>
                      <w:sz w:val="18"/>
                      <w:szCs w:val="18"/>
                    </w:rPr>
                    <w:t>0.38</w:t>
                  </w:r>
                </w:p>
              </w:tc>
              <w:tc>
                <w:tcPr>
                  <w:tcW w:w="619" w:type="pct"/>
                  <w:vMerge w:val="continue"/>
                  <w:tcBorders>
                    <w:left w:val="single" w:color="auto" w:sz="4" w:space="0"/>
                    <w:right w:val="single" w:color="auto" w:sz="4" w:space="0"/>
                  </w:tcBorders>
                  <w:vAlign w:val="center"/>
                </w:tcPr>
                <w:p>
                  <w:pPr>
                    <w:adjustRightInd w:val="0"/>
                    <w:snapToGrid w:val="0"/>
                    <w:spacing w:line="320" w:lineRule="exact"/>
                    <w:jc w:val="center"/>
                    <w:rPr>
                      <w:sz w:val="18"/>
                      <w:szCs w:val="18"/>
                    </w:rPr>
                  </w:pPr>
                </w:p>
              </w:tc>
              <w:tc>
                <w:tcPr>
                  <w:tcW w:w="5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sz w:val="18"/>
                      <w:szCs w:val="18"/>
                    </w:rPr>
                  </w:pPr>
                  <w:r>
                    <w:rPr>
                      <w:rFonts w:hint="eastAsia"/>
                      <w:sz w:val="18"/>
                      <w:szCs w:val="18"/>
                    </w:rPr>
                    <w:t>190.%</w:t>
                  </w:r>
                </w:p>
              </w:tc>
              <w:tc>
                <w:tcPr>
                  <w:tcW w:w="69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sz w:val="18"/>
                      <w:szCs w:val="18"/>
                    </w:rPr>
                  </w:pP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 w:hRule="atLeast"/>
                <w:jc w:val="center"/>
              </w:trPr>
              <w:tc>
                <w:tcPr>
                  <w:tcW w:w="577" w:type="pct"/>
                  <w:vMerge w:val="continue"/>
                  <w:tcBorders>
                    <w:left w:val="single" w:color="auto" w:sz="4" w:space="0"/>
                    <w:right w:val="single" w:color="auto" w:sz="4" w:space="0"/>
                  </w:tcBorders>
                  <w:vAlign w:val="center"/>
                </w:tcPr>
                <w:p>
                  <w:pPr>
                    <w:spacing w:line="320" w:lineRule="exact"/>
                    <w:jc w:val="center"/>
                    <w:rPr>
                      <w:sz w:val="18"/>
                      <w:szCs w:val="18"/>
                    </w:rPr>
                  </w:pPr>
                </w:p>
              </w:tc>
              <w:tc>
                <w:tcPr>
                  <w:tcW w:w="7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left="-105" w:leftChars="-50" w:right="-105" w:rightChars="-50"/>
                    <w:jc w:val="center"/>
                    <w:rPr>
                      <w:sz w:val="18"/>
                      <w:szCs w:val="18"/>
                    </w:rPr>
                  </w:pPr>
                  <w:r>
                    <w:rPr>
                      <w:rFonts w:hint="eastAsia"/>
                      <w:sz w:val="18"/>
                      <w:szCs w:val="18"/>
                    </w:rPr>
                    <w:t>2023.6.14</w:t>
                  </w:r>
                </w:p>
              </w:tc>
              <w:tc>
                <w:tcPr>
                  <w:tcW w:w="366" w:type="pct"/>
                  <w:tcBorders>
                    <w:top w:val="single" w:color="auto" w:sz="4" w:space="0"/>
                    <w:left w:val="single" w:color="auto" w:sz="4" w:space="0"/>
                    <w:bottom w:val="single" w:color="auto" w:sz="4" w:space="0"/>
                    <w:right w:val="single" w:color="auto" w:sz="4" w:space="0"/>
                  </w:tcBorders>
                  <w:vAlign w:val="center"/>
                </w:tcPr>
                <w:p>
                  <w:pPr>
                    <w:spacing w:line="320" w:lineRule="exact"/>
                    <w:ind w:left="-105" w:leftChars="-50" w:right="-105" w:rightChars="-50"/>
                    <w:jc w:val="center"/>
                    <w:rPr>
                      <w:sz w:val="18"/>
                      <w:szCs w:val="18"/>
                    </w:rPr>
                  </w:pPr>
                  <w:r>
                    <w:rPr>
                      <w:rFonts w:hint="eastAsia"/>
                      <w:sz w:val="18"/>
                      <w:szCs w:val="18"/>
                    </w:rPr>
                    <w:t>0.37</w:t>
                  </w:r>
                </w:p>
              </w:tc>
              <w:tc>
                <w:tcPr>
                  <w:tcW w:w="354" w:type="pct"/>
                  <w:tcBorders>
                    <w:top w:val="single" w:color="auto" w:sz="4" w:space="0"/>
                    <w:left w:val="single" w:color="auto" w:sz="4" w:space="0"/>
                    <w:bottom w:val="single" w:color="auto" w:sz="4" w:space="0"/>
                    <w:right w:val="single" w:color="auto" w:sz="4" w:space="0"/>
                  </w:tcBorders>
                  <w:vAlign w:val="center"/>
                </w:tcPr>
                <w:p>
                  <w:pPr>
                    <w:spacing w:line="320" w:lineRule="exact"/>
                    <w:ind w:left="-105" w:leftChars="-50" w:right="-105" w:rightChars="-50"/>
                    <w:jc w:val="center"/>
                    <w:rPr>
                      <w:sz w:val="18"/>
                      <w:szCs w:val="18"/>
                    </w:rPr>
                  </w:pPr>
                  <w:r>
                    <w:rPr>
                      <w:rFonts w:hint="eastAsia"/>
                      <w:sz w:val="18"/>
                      <w:szCs w:val="18"/>
                    </w:rPr>
                    <w:t>0.42</w:t>
                  </w:r>
                </w:p>
              </w:tc>
              <w:tc>
                <w:tcPr>
                  <w:tcW w:w="351" w:type="pct"/>
                  <w:tcBorders>
                    <w:top w:val="single" w:color="auto" w:sz="4" w:space="0"/>
                    <w:left w:val="single" w:color="auto" w:sz="4" w:space="0"/>
                    <w:bottom w:val="single" w:color="auto" w:sz="4" w:space="0"/>
                    <w:right w:val="single" w:color="auto" w:sz="4" w:space="0"/>
                  </w:tcBorders>
                  <w:vAlign w:val="center"/>
                </w:tcPr>
                <w:p>
                  <w:pPr>
                    <w:spacing w:line="320" w:lineRule="exact"/>
                    <w:ind w:left="-105" w:leftChars="-50" w:right="-105" w:rightChars="-50"/>
                    <w:jc w:val="center"/>
                    <w:rPr>
                      <w:sz w:val="18"/>
                      <w:szCs w:val="18"/>
                    </w:rPr>
                  </w:pPr>
                  <w:r>
                    <w:rPr>
                      <w:rFonts w:hint="eastAsia"/>
                      <w:sz w:val="18"/>
                      <w:szCs w:val="18"/>
                    </w:rPr>
                    <w:t>0.40</w:t>
                  </w:r>
                </w:p>
              </w:tc>
              <w:tc>
                <w:tcPr>
                  <w:tcW w:w="354" w:type="pct"/>
                  <w:tcBorders>
                    <w:top w:val="single" w:color="auto" w:sz="4" w:space="0"/>
                    <w:left w:val="single" w:color="auto" w:sz="4" w:space="0"/>
                    <w:bottom w:val="single" w:color="auto" w:sz="4" w:space="0"/>
                    <w:right w:val="single" w:color="auto" w:sz="4" w:space="0"/>
                  </w:tcBorders>
                  <w:vAlign w:val="center"/>
                </w:tcPr>
                <w:p>
                  <w:pPr>
                    <w:spacing w:line="320" w:lineRule="exact"/>
                    <w:ind w:left="-105" w:leftChars="-50" w:right="-105" w:rightChars="-50"/>
                    <w:jc w:val="center"/>
                    <w:rPr>
                      <w:sz w:val="18"/>
                      <w:szCs w:val="18"/>
                    </w:rPr>
                  </w:pPr>
                  <w:r>
                    <w:rPr>
                      <w:rFonts w:hint="eastAsia"/>
                      <w:sz w:val="18"/>
                      <w:szCs w:val="18"/>
                    </w:rPr>
                    <w:t>0.36</w:t>
                  </w:r>
                </w:p>
              </w:tc>
              <w:tc>
                <w:tcPr>
                  <w:tcW w:w="442" w:type="pct"/>
                  <w:tcBorders>
                    <w:left w:val="single" w:color="auto" w:sz="4" w:space="0"/>
                    <w:right w:val="single" w:color="auto" w:sz="4" w:space="0"/>
                  </w:tcBorders>
                  <w:vAlign w:val="center"/>
                </w:tcPr>
                <w:p>
                  <w:pPr>
                    <w:adjustRightInd w:val="0"/>
                    <w:snapToGrid w:val="0"/>
                    <w:spacing w:line="320" w:lineRule="exact"/>
                    <w:jc w:val="center"/>
                    <w:rPr>
                      <w:sz w:val="18"/>
                      <w:szCs w:val="18"/>
                    </w:rPr>
                  </w:pPr>
                  <w:r>
                    <w:rPr>
                      <w:rFonts w:hint="eastAsia"/>
                      <w:sz w:val="18"/>
                      <w:szCs w:val="18"/>
                    </w:rPr>
                    <w:t>0.39</w:t>
                  </w:r>
                </w:p>
              </w:tc>
              <w:tc>
                <w:tcPr>
                  <w:tcW w:w="619" w:type="pct"/>
                  <w:vMerge w:val="continue"/>
                  <w:tcBorders>
                    <w:left w:val="single" w:color="auto" w:sz="4" w:space="0"/>
                    <w:right w:val="single" w:color="auto" w:sz="4" w:space="0"/>
                  </w:tcBorders>
                  <w:vAlign w:val="center"/>
                </w:tcPr>
                <w:p>
                  <w:pPr>
                    <w:adjustRightInd w:val="0"/>
                    <w:snapToGrid w:val="0"/>
                    <w:spacing w:line="320" w:lineRule="exact"/>
                    <w:jc w:val="center"/>
                    <w:rPr>
                      <w:sz w:val="18"/>
                      <w:szCs w:val="18"/>
                    </w:rPr>
                  </w:pPr>
                </w:p>
              </w:tc>
              <w:tc>
                <w:tcPr>
                  <w:tcW w:w="5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sz w:val="18"/>
                      <w:szCs w:val="18"/>
                    </w:rPr>
                  </w:pPr>
                  <w:r>
                    <w:rPr>
                      <w:rFonts w:hint="eastAsia"/>
                      <w:sz w:val="18"/>
                      <w:szCs w:val="18"/>
                    </w:rPr>
                    <w:t>19.5%</w:t>
                  </w:r>
                </w:p>
              </w:tc>
              <w:tc>
                <w:tcPr>
                  <w:tcW w:w="69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sz w:val="18"/>
                      <w:szCs w:val="18"/>
                    </w:rPr>
                  </w:pPr>
                  <w:r>
                    <w:rPr>
                      <w:sz w:val="18"/>
                      <w:szCs w:val="18"/>
                    </w:rPr>
                    <w:t>0</w:t>
                  </w:r>
                </w:p>
              </w:tc>
            </w:tr>
          </w:tbl>
          <w:p>
            <w:pPr>
              <w:autoSpaceDE w:val="0"/>
              <w:autoSpaceDN w:val="0"/>
              <w:adjustRightInd w:val="0"/>
              <w:spacing w:line="400" w:lineRule="exact"/>
              <w:ind w:firstLine="420" w:firstLineChars="200"/>
              <w:rPr>
                <w:kern w:val="0"/>
                <w:lang w:val="zh-CN"/>
              </w:rPr>
            </w:pPr>
            <w:r>
              <w:rPr>
                <w:kern w:val="0"/>
                <w:lang w:val="zh-CN"/>
              </w:rPr>
              <w:t>由上表可见，项目区环境空气中项目特征因子</w:t>
            </w:r>
            <w:r>
              <w:rPr>
                <w:rFonts w:hint="eastAsia"/>
                <w:kern w:val="0"/>
                <w:lang w:val="zh-CN"/>
              </w:rPr>
              <w:t>TSP</w:t>
            </w:r>
            <w:r>
              <w:rPr>
                <w:kern w:val="0"/>
                <w:lang w:val="zh-CN"/>
              </w:rPr>
              <w:t>评价指标的占标率均小于100%。评价结果表明，项目所在地环境空气质量（</w:t>
            </w:r>
            <w:r>
              <w:rPr>
                <w:rFonts w:hint="eastAsia"/>
                <w:kern w:val="0"/>
                <w:lang w:val="zh-CN"/>
              </w:rPr>
              <w:t>TSP</w:t>
            </w:r>
            <w:r>
              <w:rPr>
                <w:kern w:val="0"/>
                <w:lang w:val="zh-CN"/>
              </w:rPr>
              <w:t>）能够满足相关要求，区域环境空气质量良好。</w:t>
            </w:r>
          </w:p>
          <w:p>
            <w:pPr>
              <w:spacing w:line="400" w:lineRule="exact"/>
              <w:rPr>
                <w:rFonts w:eastAsia="黑体"/>
              </w:rPr>
            </w:pPr>
            <w:r>
              <w:rPr>
                <w:rFonts w:hint="eastAsia" w:eastAsia="黑体"/>
              </w:rPr>
              <w:t>5</w:t>
            </w:r>
            <w:r>
              <w:rPr>
                <w:rFonts w:hint="eastAsia" w:eastAsia="黑体"/>
                <w:lang w:val="zh-CN"/>
              </w:rPr>
              <w:t>、地表水环境质量现状及评价</w:t>
            </w:r>
          </w:p>
          <w:p>
            <w:pPr>
              <w:autoSpaceDE w:val="0"/>
              <w:autoSpaceDN w:val="0"/>
              <w:adjustRightInd w:val="0"/>
              <w:spacing w:line="400" w:lineRule="exact"/>
              <w:ind w:firstLine="420" w:firstLineChars="200"/>
              <w:rPr>
                <w:kern w:val="0"/>
              </w:rPr>
            </w:pPr>
            <w:r>
              <w:rPr>
                <w:rFonts w:hint="eastAsia"/>
                <w:kern w:val="0"/>
                <w:lang w:val="zh-CN"/>
              </w:rPr>
              <w:t>2023年3月全市35个河流断面中，优（Ⅰ~Ⅱ类）良（Ⅲ类）水质断面32个，占比91.4%；轻度污染（Ⅳ类）水质断面3个，占比8.6%。全市河流断面超标情况为：任市河联盟桥断面受到轻度污染，主要污染指标为五日生化需氧量；袁驿河速建桥、平滩河碧山中学断面受到轻度污染，主要污染指标均为化学需氧量。</w:t>
            </w:r>
          </w:p>
          <w:p>
            <w:pPr>
              <w:overflowPunct w:val="0"/>
              <w:autoSpaceDE w:val="0"/>
              <w:autoSpaceDN w:val="0"/>
              <w:spacing w:line="400" w:lineRule="exact"/>
              <w:ind w:left="57" w:right="57" w:firstLine="360" w:firstLineChars="200"/>
              <w:jc w:val="center"/>
              <w:rPr>
                <w:rFonts w:eastAsia="黑体"/>
                <w:sz w:val="18"/>
                <w:szCs w:val="18"/>
              </w:rPr>
            </w:pPr>
            <w:r>
              <w:rPr>
                <w:rFonts w:hint="eastAsia" w:ascii="黑体" w:hAnsi="黑体" w:eastAsia="黑体"/>
                <w:sz w:val="18"/>
                <w:szCs w:val="18"/>
              </w:rPr>
              <w:t xml:space="preserve">表3-5  </w:t>
            </w:r>
            <w:r>
              <w:rPr>
                <w:rFonts w:eastAsia="黑体"/>
                <w:sz w:val="18"/>
                <w:szCs w:val="18"/>
              </w:rPr>
              <w:t>20</w:t>
            </w:r>
            <w:r>
              <w:rPr>
                <w:rFonts w:hint="eastAsia" w:ascii="黑体" w:hAnsi="黑体" w:eastAsia="黑体"/>
                <w:sz w:val="18"/>
                <w:szCs w:val="18"/>
              </w:rPr>
              <w:t>23</w:t>
            </w:r>
            <w:r>
              <w:rPr>
                <w:rFonts w:ascii="黑体" w:hAnsi="黑体" w:eastAsia="黑体"/>
                <w:sz w:val="18"/>
                <w:szCs w:val="18"/>
              </w:rPr>
              <w:t>年</w:t>
            </w:r>
            <w:r>
              <w:rPr>
                <w:rFonts w:hint="eastAsia" w:ascii="黑体" w:hAnsi="黑体" w:eastAsia="黑体"/>
                <w:sz w:val="18"/>
                <w:szCs w:val="18"/>
              </w:rPr>
              <w:t>3</w:t>
            </w:r>
            <w:r>
              <w:rPr>
                <w:rFonts w:ascii="黑体" w:hAnsi="黑体" w:eastAsia="黑体"/>
                <w:sz w:val="18"/>
                <w:szCs w:val="18"/>
              </w:rPr>
              <w:t>月达州市河流水质评价结果表</w:t>
            </w:r>
          </w:p>
          <w:tbl>
            <w:tblPr>
              <w:tblStyle w:val="17"/>
              <w:tblW w:w="7776" w:type="dxa"/>
              <w:jc w:val="center"/>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autofit"/>
              <w:tblCellMar>
                <w:top w:w="0" w:type="dxa"/>
                <w:left w:w="0" w:type="dxa"/>
                <w:bottom w:w="0" w:type="dxa"/>
                <w:right w:w="0" w:type="dxa"/>
              </w:tblCellMar>
            </w:tblPr>
            <w:tblGrid>
              <w:gridCol w:w="501"/>
              <w:gridCol w:w="474"/>
              <w:gridCol w:w="567"/>
              <w:gridCol w:w="851"/>
              <w:gridCol w:w="1701"/>
              <w:gridCol w:w="765"/>
              <w:gridCol w:w="505"/>
              <w:gridCol w:w="597"/>
              <w:gridCol w:w="604"/>
              <w:gridCol w:w="1211"/>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501" w:type="dxa"/>
                  <w:tcBorders>
                    <w:top w:val="single" w:color="000000" w:sz="2" w:space="0"/>
                    <w:left w:val="single" w:color="000000" w:sz="2" w:space="0"/>
                    <w:bottom w:val="single" w:color="000000" w:sz="6" w:space="0"/>
                    <w:right w:val="single" w:color="auto" w:sz="4" w:space="0"/>
                  </w:tcBorders>
                  <w:vAlign w:val="center"/>
                </w:tcPr>
                <w:p>
                  <w:pPr>
                    <w:widowControl/>
                    <w:spacing w:line="260" w:lineRule="exact"/>
                    <w:jc w:val="center"/>
                    <w:rPr>
                      <w:rFonts w:ascii="宋体" w:hAnsi="宋体"/>
                      <w:sz w:val="18"/>
                      <w:szCs w:val="18"/>
                    </w:rPr>
                  </w:pPr>
                  <w:r>
                    <w:rPr>
                      <w:sz w:val="18"/>
                      <w:szCs w:val="18"/>
                    </w:rPr>
                    <w:t>序号</w:t>
                  </w:r>
                </w:p>
              </w:tc>
              <w:tc>
                <w:tcPr>
                  <w:tcW w:w="1041" w:type="dxa"/>
                  <w:gridSpan w:val="2"/>
                  <w:tcBorders>
                    <w:top w:val="single" w:color="000000" w:sz="2" w:space="0"/>
                    <w:left w:val="single" w:color="auto" w:sz="4" w:space="0"/>
                    <w:bottom w:val="single" w:color="000000" w:sz="6" w:space="0"/>
                    <w:right w:val="single" w:color="000000" w:sz="6" w:space="0"/>
                  </w:tcBorders>
                  <w:vAlign w:val="center"/>
                </w:tcPr>
                <w:p>
                  <w:pPr>
                    <w:widowControl/>
                    <w:spacing w:line="260" w:lineRule="exact"/>
                    <w:jc w:val="center"/>
                    <w:rPr>
                      <w:rFonts w:ascii="宋体" w:hAnsi="宋体"/>
                      <w:sz w:val="18"/>
                      <w:szCs w:val="18"/>
                    </w:rPr>
                  </w:pPr>
                  <w:r>
                    <w:rPr>
                      <w:sz w:val="18"/>
                      <w:szCs w:val="18"/>
                    </w:rPr>
                    <w:t>河流</w:t>
                  </w:r>
                </w:p>
              </w:tc>
              <w:tc>
                <w:tcPr>
                  <w:tcW w:w="851" w:type="dxa"/>
                  <w:tcBorders>
                    <w:top w:val="single" w:color="000000" w:sz="2" w:space="0"/>
                    <w:left w:val="single" w:color="000000" w:sz="6" w:space="0"/>
                    <w:bottom w:val="single" w:color="000000" w:sz="6" w:space="0"/>
                    <w:right w:val="single" w:color="000000" w:sz="6" w:space="0"/>
                  </w:tcBorders>
                  <w:vAlign w:val="center"/>
                </w:tcPr>
                <w:p>
                  <w:pPr>
                    <w:widowControl/>
                    <w:spacing w:line="260" w:lineRule="exact"/>
                    <w:jc w:val="center"/>
                    <w:rPr>
                      <w:rFonts w:ascii="宋体" w:hAnsi="宋体"/>
                      <w:sz w:val="18"/>
                      <w:szCs w:val="18"/>
                    </w:rPr>
                  </w:pPr>
                  <w:r>
                    <w:rPr>
                      <w:sz w:val="18"/>
                      <w:szCs w:val="18"/>
                    </w:rPr>
                    <w:t>断面名称</w:t>
                  </w:r>
                </w:p>
              </w:tc>
              <w:tc>
                <w:tcPr>
                  <w:tcW w:w="1701" w:type="dxa"/>
                  <w:tcBorders>
                    <w:top w:val="single" w:color="000000" w:sz="2" w:space="0"/>
                    <w:left w:val="single" w:color="000000" w:sz="6" w:space="0"/>
                    <w:bottom w:val="single" w:color="000000" w:sz="6" w:space="0"/>
                    <w:right w:val="single" w:color="auto" w:sz="4" w:space="0"/>
                  </w:tcBorders>
                  <w:vAlign w:val="center"/>
                </w:tcPr>
                <w:p>
                  <w:pPr>
                    <w:widowControl/>
                    <w:spacing w:line="260" w:lineRule="exact"/>
                    <w:jc w:val="center"/>
                    <w:rPr>
                      <w:rFonts w:ascii="宋体" w:hAnsi="宋体"/>
                      <w:sz w:val="18"/>
                      <w:szCs w:val="18"/>
                    </w:rPr>
                  </w:pPr>
                  <w:r>
                    <w:rPr>
                      <w:rFonts w:ascii="宋体" w:hAnsi="宋体"/>
                      <w:sz w:val="18"/>
                      <w:szCs w:val="18"/>
                    </w:rPr>
                    <w:t>断面属性</w:t>
                  </w:r>
                </w:p>
              </w:tc>
              <w:tc>
                <w:tcPr>
                  <w:tcW w:w="765" w:type="dxa"/>
                  <w:tcBorders>
                    <w:top w:val="single" w:color="000000" w:sz="2" w:space="0"/>
                    <w:left w:val="single" w:color="auto" w:sz="4" w:space="0"/>
                    <w:bottom w:val="single" w:color="000000" w:sz="6" w:space="0"/>
                    <w:right w:val="single" w:color="000000" w:sz="6" w:space="0"/>
                  </w:tcBorders>
                  <w:vAlign w:val="center"/>
                </w:tcPr>
                <w:p>
                  <w:pPr>
                    <w:widowControl/>
                    <w:spacing w:line="260" w:lineRule="exact"/>
                    <w:jc w:val="center"/>
                    <w:rPr>
                      <w:rFonts w:ascii="宋体" w:hAnsi="宋体"/>
                      <w:sz w:val="18"/>
                      <w:szCs w:val="18"/>
                    </w:rPr>
                  </w:pPr>
                  <w:r>
                    <w:rPr>
                      <w:rFonts w:ascii="宋体" w:hAnsi="宋体"/>
                      <w:sz w:val="18"/>
                      <w:szCs w:val="18"/>
                    </w:rPr>
                    <w:t>断面</w:t>
                  </w:r>
                </w:p>
                <w:p>
                  <w:pPr>
                    <w:widowControl/>
                    <w:spacing w:line="260" w:lineRule="exact"/>
                    <w:jc w:val="center"/>
                    <w:rPr>
                      <w:rFonts w:ascii="宋体" w:hAnsi="宋体"/>
                      <w:sz w:val="18"/>
                      <w:szCs w:val="18"/>
                    </w:rPr>
                  </w:pPr>
                  <w:r>
                    <w:rPr>
                      <w:rFonts w:ascii="宋体" w:hAnsi="宋体"/>
                      <w:sz w:val="18"/>
                      <w:szCs w:val="18"/>
                    </w:rPr>
                    <w:t>性质</w:t>
                  </w:r>
                </w:p>
              </w:tc>
              <w:tc>
                <w:tcPr>
                  <w:tcW w:w="505" w:type="dxa"/>
                  <w:tcBorders>
                    <w:top w:val="single" w:color="000000" w:sz="2" w:space="0"/>
                    <w:left w:val="single" w:color="000000" w:sz="6" w:space="0"/>
                    <w:bottom w:val="single" w:color="000000" w:sz="6" w:space="0"/>
                    <w:right w:val="single" w:color="000000" w:sz="6" w:space="0"/>
                  </w:tcBorders>
                  <w:vAlign w:val="center"/>
                </w:tcPr>
                <w:p>
                  <w:pPr>
                    <w:widowControl/>
                    <w:spacing w:line="260" w:lineRule="exact"/>
                    <w:jc w:val="center"/>
                    <w:rPr>
                      <w:rFonts w:ascii="宋体" w:hAnsi="宋体"/>
                      <w:sz w:val="18"/>
                      <w:szCs w:val="18"/>
                    </w:rPr>
                  </w:pPr>
                  <w:r>
                    <w:rPr>
                      <w:rFonts w:ascii="宋体" w:hAnsi="宋体"/>
                      <w:sz w:val="18"/>
                      <w:szCs w:val="18"/>
                    </w:rPr>
                    <w:t>上年</w:t>
                  </w:r>
                </w:p>
                <w:p>
                  <w:pPr>
                    <w:widowControl/>
                    <w:spacing w:line="260" w:lineRule="exact"/>
                    <w:jc w:val="center"/>
                    <w:rPr>
                      <w:rFonts w:ascii="宋体" w:hAnsi="宋体"/>
                      <w:sz w:val="18"/>
                      <w:szCs w:val="18"/>
                    </w:rPr>
                  </w:pPr>
                  <w:r>
                    <w:rPr>
                      <w:rFonts w:ascii="宋体" w:hAnsi="宋体"/>
                      <w:sz w:val="18"/>
                      <w:szCs w:val="18"/>
                    </w:rPr>
                    <w:t>同期</w:t>
                  </w:r>
                </w:p>
              </w:tc>
              <w:tc>
                <w:tcPr>
                  <w:tcW w:w="597" w:type="dxa"/>
                  <w:tcBorders>
                    <w:top w:val="single" w:color="000000" w:sz="2" w:space="0"/>
                    <w:left w:val="single" w:color="000000" w:sz="6" w:space="0"/>
                    <w:bottom w:val="single" w:color="000000" w:sz="6" w:space="0"/>
                    <w:right w:val="single" w:color="000000" w:sz="6" w:space="0"/>
                  </w:tcBorders>
                  <w:vAlign w:val="center"/>
                </w:tcPr>
                <w:p>
                  <w:pPr>
                    <w:widowControl/>
                    <w:spacing w:line="260" w:lineRule="exact"/>
                    <w:jc w:val="center"/>
                    <w:rPr>
                      <w:rFonts w:ascii="宋体" w:hAnsi="宋体"/>
                      <w:sz w:val="18"/>
                      <w:szCs w:val="18"/>
                    </w:rPr>
                  </w:pPr>
                  <w:r>
                    <w:rPr>
                      <w:rFonts w:ascii="宋体" w:hAnsi="宋体"/>
                      <w:sz w:val="18"/>
                      <w:szCs w:val="18"/>
                    </w:rPr>
                    <w:t>上月</w:t>
                  </w:r>
                </w:p>
                <w:p>
                  <w:pPr>
                    <w:widowControl/>
                    <w:spacing w:line="260" w:lineRule="exact"/>
                    <w:jc w:val="center"/>
                    <w:rPr>
                      <w:rFonts w:ascii="宋体" w:hAnsi="宋体"/>
                      <w:sz w:val="18"/>
                      <w:szCs w:val="18"/>
                    </w:rPr>
                  </w:pPr>
                  <w:r>
                    <w:rPr>
                      <w:rFonts w:ascii="宋体" w:hAnsi="宋体"/>
                      <w:sz w:val="18"/>
                      <w:szCs w:val="18"/>
                    </w:rPr>
                    <w:t>类别</w:t>
                  </w:r>
                </w:p>
              </w:tc>
              <w:tc>
                <w:tcPr>
                  <w:tcW w:w="604" w:type="dxa"/>
                  <w:tcBorders>
                    <w:top w:val="single" w:color="000000" w:sz="2" w:space="0"/>
                    <w:left w:val="single" w:color="000000" w:sz="6" w:space="0"/>
                    <w:bottom w:val="single" w:color="000000" w:sz="6" w:space="0"/>
                    <w:right w:val="single" w:color="000000" w:sz="6" w:space="0"/>
                  </w:tcBorders>
                  <w:vAlign w:val="center"/>
                </w:tcPr>
                <w:p>
                  <w:pPr>
                    <w:widowControl/>
                    <w:spacing w:line="260" w:lineRule="exact"/>
                    <w:jc w:val="center"/>
                    <w:rPr>
                      <w:rFonts w:ascii="宋体" w:hAnsi="宋体"/>
                      <w:sz w:val="18"/>
                      <w:szCs w:val="18"/>
                    </w:rPr>
                  </w:pPr>
                  <w:r>
                    <w:rPr>
                      <w:rFonts w:ascii="宋体" w:hAnsi="宋体"/>
                      <w:sz w:val="18"/>
                      <w:szCs w:val="18"/>
                    </w:rPr>
                    <w:t>本月</w:t>
                  </w:r>
                </w:p>
                <w:p>
                  <w:pPr>
                    <w:widowControl/>
                    <w:spacing w:line="260" w:lineRule="exact"/>
                    <w:jc w:val="center"/>
                    <w:rPr>
                      <w:rFonts w:ascii="宋体" w:hAnsi="宋体"/>
                      <w:sz w:val="18"/>
                      <w:szCs w:val="18"/>
                    </w:rPr>
                  </w:pPr>
                  <w:r>
                    <w:rPr>
                      <w:rFonts w:ascii="宋体" w:hAnsi="宋体"/>
                      <w:sz w:val="18"/>
                      <w:szCs w:val="18"/>
                    </w:rPr>
                    <w:t>类别</w:t>
                  </w:r>
                </w:p>
              </w:tc>
              <w:tc>
                <w:tcPr>
                  <w:tcW w:w="1211" w:type="dxa"/>
                  <w:tcBorders>
                    <w:top w:val="single" w:color="000000" w:sz="2" w:space="0"/>
                    <w:left w:val="single" w:color="000000" w:sz="6" w:space="0"/>
                    <w:bottom w:val="single" w:color="000000" w:sz="6" w:space="0"/>
                    <w:right w:val="single" w:color="000000" w:sz="6" w:space="0"/>
                  </w:tcBorders>
                  <w:vAlign w:val="center"/>
                </w:tcPr>
                <w:p>
                  <w:pPr>
                    <w:widowControl/>
                    <w:spacing w:line="260" w:lineRule="exact"/>
                    <w:jc w:val="center"/>
                    <w:rPr>
                      <w:rFonts w:ascii="宋体" w:hAnsi="宋体"/>
                      <w:sz w:val="18"/>
                      <w:szCs w:val="18"/>
                    </w:rPr>
                  </w:pPr>
                  <w:r>
                    <w:rPr>
                      <w:sz w:val="18"/>
                      <w:szCs w:val="18"/>
                    </w:rPr>
                    <w:t>主要污染指标（类别）</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501" w:type="dxa"/>
                  <w:tcBorders>
                    <w:top w:val="single" w:color="000000" w:sz="6" w:space="0"/>
                    <w:left w:val="single" w:color="000000" w:sz="2" w:space="0"/>
                    <w:bottom w:val="single" w:color="000000" w:sz="6" w:space="0"/>
                    <w:right w:val="single" w:color="auto" w:sz="4" w:space="0"/>
                  </w:tcBorders>
                  <w:vAlign w:val="center"/>
                </w:tcPr>
                <w:p>
                  <w:pPr>
                    <w:widowControl/>
                    <w:spacing w:line="400" w:lineRule="exact"/>
                    <w:jc w:val="center"/>
                    <w:rPr>
                      <w:rFonts w:ascii="宋体" w:hAnsi="宋体"/>
                      <w:sz w:val="18"/>
                      <w:szCs w:val="18"/>
                    </w:rPr>
                  </w:pPr>
                  <w:r>
                    <w:rPr>
                      <w:rFonts w:hint="eastAsia" w:ascii="宋体" w:hAnsi="宋体"/>
                      <w:sz w:val="18"/>
                      <w:szCs w:val="18"/>
                    </w:rPr>
                    <w:t>1</w:t>
                  </w:r>
                </w:p>
              </w:tc>
              <w:tc>
                <w:tcPr>
                  <w:tcW w:w="474" w:type="dxa"/>
                  <w:vMerge w:val="restart"/>
                  <w:tcBorders>
                    <w:top w:val="single" w:color="000000" w:sz="6" w:space="0"/>
                    <w:left w:val="single" w:color="auto" w:sz="4" w:space="0"/>
                    <w:right w:val="single" w:color="auto" w:sz="4" w:space="0"/>
                  </w:tcBorders>
                  <w:vAlign w:val="center"/>
                </w:tcPr>
                <w:p>
                  <w:pPr>
                    <w:widowControl/>
                    <w:spacing w:line="400" w:lineRule="exact"/>
                    <w:jc w:val="center"/>
                    <w:rPr>
                      <w:rFonts w:ascii="宋体" w:hAnsi="宋体"/>
                      <w:sz w:val="18"/>
                      <w:szCs w:val="18"/>
                    </w:rPr>
                  </w:pPr>
                  <w:r>
                    <w:rPr>
                      <w:rFonts w:ascii="宋体" w:hAnsi="宋体"/>
                      <w:sz w:val="18"/>
                      <w:szCs w:val="18"/>
                    </w:rPr>
                    <w:t>州河水系</w:t>
                  </w:r>
                </w:p>
              </w:tc>
              <w:tc>
                <w:tcPr>
                  <w:tcW w:w="567" w:type="dxa"/>
                  <w:tcBorders>
                    <w:top w:val="single" w:color="000000" w:sz="6" w:space="0"/>
                    <w:left w:val="single" w:color="auto" w:sz="4" w:space="0"/>
                    <w:bottom w:val="single" w:color="000000" w:sz="6" w:space="0"/>
                    <w:right w:val="single" w:color="000000" w:sz="6" w:space="0"/>
                  </w:tcBorders>
                  <w:vAlign w:val="center"/>
                </w:tcPr>
                <w:p>
                  <w:pPr>
                    <w:widowControl/>
                    <w:spacing w:line="400" w:lineRule="exact"/>
                    <w:jc w:val="center"/>
                    <w:rPr>
                      <w:rFonts w:ascii="宋体" w:hAnsi="宋体"/>
                      <w:sz w:val="18"/>
                      <w:szCs w:val="18"/>
                    </w:rPr>
                  </w:pPr>
                  <w:r>
                    <w:rPr>
                      <w:rFonts w:ascii="宋体" w:hAnsi="宋体"/>
                      <w:sz w:val="18"/>
                      <w:szCs w:val="18"/>
                    </w:rPr>
                    <w:t>后河</w:t>
                  </w:r>
                </w:p>
              </w:tc>
              <w:tc>
                <w:tcPr>
                  <w:tcW w:w="851" w:type="dxa"/>
                  <w:tcBorders>
                    <w:top w:val="single" w:color="000000" w:sz="6" w:space="0"/>
                    <w:left w:val="single" w:color="000000" w:sz="6" w:space="0"/>
                    <w:bottom w:val="single" w:color="000000" w:sz="6" w:space="0"/>
                    <w:right w:val="single" w:color="000000" w:sz="6" w:space="0"/>
                  </w:tcBorders>
                  <w:vAlign w:val="center"/>
                </w:tcPr>
                <w:p>
                  <w:pPr>
                    <w:widowControl/>
                    <w:spacing w:line="400" w:lineRule="exact"/>
                    <w:jc w:val="center"/>
                    <w:rPr>
                      <w:rFonts w:ascii="宋体" w:hAnsi="宋体"/>
                      <w:sz w:val="18"/>
                      <w:szCs w:val="18"/>
                    </w:rPr>
                  </w:pPr>
                  <w:r>
                    <w:rPr>
                      <w:sz w:val="18"/>
                      <w:szCs w:val="18"/>
                    </w:rPr>
                    <w:t>漩坑坝</w:t>
                  </w:r>
                </w:p>
              </w:tc>
              <w:tc>
                <w:tcPr>
                  <w:tcW w:w="1701" w:type="dxa"/>
                  <w:tcBorders>
                    <w:top w:val="single" w:color="000000" w:sz="6" w:space="0"/>
                    <w:left w:val="single" w:color="000000" w:sz="6" w:space="0"/>
                    <w:bottom w:val="single" w:color="000000" w:sz="6" w:space="0"/>
                    <w:right w:val="single" w:color="auto" w:sz="4" w:space="0"/>
                  </w:tcBorders>
                  <w:vAlign w:val="center"/>
                </w:tcPr>
                <w:p>
                  <w:pPr>
                    <w:widowControl/>
                    <w:spacing w:line="400" w:lineRule="exact"/>
                    <w:jc w:val="center"/>
                    <w:rPr>
                      <w:sz w:val="18"/>
                      <w:szCs w:val="18"/>
                    </w:rPr>
                  </w:pPr>
                  <w:r>
                    <w:rPr>
                      <w:sz w:val="18"/>
                      <w:szCs w:val="18"/>
                    </w:rPr>
                    <w:t xml:space="preserve">县界 </w:t>
                  </w:r>
                </w:p>
                <w:p>
                  <w:pPr>
                    <w:widowControl/>
                    <w:spacing w:line="400" w:lineRule="exact"/>
                    <w:jc w:val="center"/>
                    <w:rPr>
                      <w:rFonts w:ascii="宋体" w:hAnsi="宋体"/>
                      <w:sz w:val="18"/>
                      <w:szCs w:val="18"/>
                    </w:rPr>
                  </w:pPr>
                  <w:r>
                    <w:rPr>
                      <w:sz w:val="18"/>
                      <w:szCs w:val="18"/>
                    </w:rPr>
                    <w:t>(万源市→宣汉县)</w:t>
                  </w:r>
                </w:p>
              </w:tc>
              <w:tc>
                <w:tcPr>
                  <w:tcW w:w="765" w:type="dxa"/>
                  <w:tcBorders>
                    <w:top w:val="single" w:color="000000" w:sz="6" w:space="0"/>
                    <w:left w:val="single" w:color="auto" w:sz="4" w:space="0"/>
                    <w:bottom w:val="single" w:color="000000" w:sz="6" w:space="0"/>
                    <w:right w:val="single" w:color="000000" w:sz="6" w:space="0"/>
                  </w:tcBorders>
                  <w:vAlign w:val="center"/>
                </w:tcPr>
                <w:p>
                  <w:pPr>
                    <w:widowControl/>
                    <w:spacing w:line="400" w:lineRule="exact"/>
                    <w:jc w:val="center"/>
                    <w:rPr>
                      <w:rFonts w:ascii="宋体" w:hAnsi="宋体"/>
                      <w:sz w:val="18"/>
                      <w:szCs w:val="18"/>
                    </w:rPr>
                  </w:pPr>
                  <w:r>
                    <w:rPr>
                      <w:sz w:val="18"/>
                      <w:szCs w:val="18"/>
                    </w:rPr>
                    <w:t>国考</w:t>
                  </w:r>
                </w:p>
              </w:tc>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400" w:lineRule="exact"/>
                    <w:jc w:val="center"/>
                    <w:rPr>
                      <w:rFonts w:ascii="宋体" w:hAnsi="宋体"/>
                      <w:sz w:val="18"/>
                      <w:szCs w:val="18"/>
                    </w:rPr>
                  </w:pPr>
                  <w:r>
                    <w:rPr>
                      <w:rFonts w:ascii="宋体" w:hAnsi="宋体"/>
                      <w:sz w:val="18"/>
                      <w:szCs w:val="18"/>
                    </w:rPr>
                    <w:t>Ⅱ</w:t>
                  </w:r>
                </w:p>
              </w:tc>
              <w:tc>
                <w:tcPr>
                  <w:tcW w:w="597" w:type="dxa"/>
                  <w:tcBorders>
                    <w:top w:val="single" w:color="000000" w:sz="6" w:space="0"/>
                    <w:left w:val="single" w:color="000000" w:sz="6" w:space="0"/>
                    <w:bottom w:val="single" w:color="000000" w:sz="6" w:space="0"/>
                    <w:right w:val="single" w:color="000000" w:sz="6" w:space="0"/>
                  </w:tcBorders>
                  <w:vAlign w:val="center"/>
                </w:tcPr>
                <w:p>
                  <w:pPr>
                    <w:widowControl/>
                    <w:spacing w:line="400" w:lineRule="exact"/>
                    <w:jc w:val="center"/>
                    <w:rPr>
                      <w:rFonts w:ascii="宋体" w:hAnsi="宋体"/>
                      <w:sz w:val="18"/>
                      <w:szCs w:val="18"/>
                    </w:rPr>
                  </w:pPr>
                  <w:r>
                    <w:rPr>
                      <w:rFonts w:ascii="宋体" w:hAnsi="宋体"/>
                      <w:sz w:val="18"/>
                      <w:szCs w:val="18"/>
                    </w:rPr>
                    <w:t>Ⅱ</w:t>
                  </w:r>
                </w:p>
              </w:tc>
              <w:tc>
                <w:tcPr>
                  <w:tcW w:w="604" w:type="dxa"/>
                  <w:tcBorders>
                    <w:top w:val="single" w:color="000000" w:sz="6" w:space="0"/>
                    <w:left w:val="single" w:color="000000" w:sz="6" w:space="0"/>
                    <w:bottom w:val="single" w:color="000000" w:sz="6" w:space="0"/>
                    <w:right w:val="single" w:color="000000" w:sz="6" w:space="0"/>
                  </w:tcBorders>
                  <w:vAlign w:val="center"/>
                </w:tcPr>
                <w:p>
                  <w:pPr>
                    <w:widowControl/>
                    <w:spacing w:line="400" w:lineRule="exact"/>
                    <w:jc w:val="center"/>
                    <w:rPr>
                      <w:rFonts w:ascii="宋体" w:hAnsi="宋体"/>
                      <w:sz w:val="18"/>
                      <w:szCs w:val="18"/>
                    </w:rPr>
                  </w:pPr>
                  <w:r>
                    <w:rPr>
                      <w:rFonts w:ascii="宋体" w:hAnsi="宋体"/>
                      <w:sz w:val="18"/>
                      <w:szCs w:val="18"/>
                    </w:rPr>
                    <w:t>Ⅱ</w:t>
                  </w:r>
                </w:p>
              </w:tc>
              <w:tc>
                <w:tcPr>
                  <w:tcW w:w="1211" w:type="dxa"/>
                  <w:tcBorders>
                    <w:top w:val="single" w:color="000000" w:sz="6" w:space="0"/>
                    <w:left w:val="single" w:color="000000" w:sz="6" w:space="0"/>
                    <w:bottom w:val="single" w:color="000000" w:sz="6" w:space="0"/>
                    <w:right w:val="single" w:color="000000" w:sz="6" w:space="0"/>
                  </w:tcBorders>
                  <w:vAlign w:val="center"/>
                </w:tcPr>
                <w:p>
                  <w:pPr>
                    <w:widowControl/>
                    <w:spacing w:line="400" w:lineRule="exact"/>
                    <w:jc w:val="center"/>
                    <w:rPr>
                      <w:rFonts w:ascii="宋体" w:hAnsi="宋体"/>
                      <w:sz w:val="18"/>
                      <w:szCs w:val="18"/>
                    </w:rPr>
                  </w:pPr>
                  <w:r>
                    <w:rPr>
                      <w:rFonts w:hint="eastAsia" w:ascii="宋体" w:hAnsi="宋体"/>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501" w:type="dxa"/>
                  <w:tcBorders>
                    <w:top w:val="single" w:color="000000" w:sz="6" w:space="0"/>
                    <w:left w:val="single" w:color="000000" w:sz="2" w:space="0"/>
                    <w:bottom w:val="single" w:color="000000" w:sz="6" w:space="0"/>
                    <w:right w:val="single" w:color="auto" w:sz="4" w:space="0"/>
                  </w:tcBorders>
                  <w:vAlign w:val="center"/>
                </w:tcPr>
                <w:p>
                  <w:pPr>
                    <w:widowControl/>
                    <w:spacing w:line="400" w:lineRule="exact"/>
                    <w:jc w:val="center"/>
                    <w:rPr>
                      <w:rFonts w:ascii="宋体" w:hAnsi="宋体"/>
                      <w:sz w:val="18"/>
                      <w:szCs w:val="18"/>
                    </w:rPr>
                  </w:pPr>
                  <w:r>
                    <w:rPr>
                      <w:rFonts w:hint="eastAsia" w:ascii="宋体" w:hAnsi="宋体"/>
                      <w:sz w:val="18"/>
                      <w:szCs w:val="18"/>
                    </w:rPr>
                    <w:t>2</w:t>
                  </w:r>
                </w:p>
              </w:tc>
              <w:tc>
                <w:tcPr>
                  <w:tcW w:w="474" w:type="dxa"/>
                  <w:vMerge w:val="continue"/>
                  <w:tcBorders>
                    <w:left w:val="single" w:color="auto" w:sz="4" w:space="0"/>
                    <w:right w:val="single" w:color="auto" w:sz="4" w:space="0"/>
                  </w:tcBorders>
                  <w:vAlign w:val="center"/>
                </w:tcPr>
                <w:p>
                  <w:pPr>
                    <w:widowControl/>
                    <w:spacing w:line="400" w:lineRule="exact"/>
                    <w:jc w:val="center"/>
                    <w:rPr>
                      <w:rFonts w:ascii="宋体" w:hAnsi="宋体"/>
                      <w:sz w:val="18"/>
                      <w:szCs w:val="18"/>
                    </w:rPr>
                  </w:pPr>
                </w:p>
              </w:tc>
              <w:tc>
                <w:tcPr>
                  <w:tcW w:w="567" w:type="dxa"/>
                  <w:tcBorders>
                    <w:top w:val="single" w:color="000000" w:sz="6" w:space="0"/>
                    <w:left w:val="single" w:color="auto" w:sz="4" w:space="0"/>
                    <w:right w:val="single" w:color="000000" w:sz="6" w:space="0"/>
                  </w:tcBorders>
                  <w:vAlign w:val="center"/>
                </w:tcPr>
                <w:p>
                  <w:pPr>
                    <w:widowControl/>
                    <w:spacing w:line="400" w:lineRule="exact"/>
                    <w:jc w:val="center"/>
                    <w:rPr>
                      <w:rFonts w:ascii="宋体" w:hAnsi="宋体"/>
                      <w:sz w:val="18"/>
                      <w:szCs w:val="18"/>
                    </w:rPr>
                  </w:pPr>
                  <w:r>
                    <w:rPr>
                      <w:rFonts w:ascii="宋体" w:hAnsi="宋体"/>
                      <w:sz w:val="18"/>
                      <w:szCs w:val="18"/>
                    </w:rPr>
                    <w:t>中河</w:t>
                  </w:r>
                </w:p>
              </w:tc>
              <w:tc>
                <w:tcPr>
                  <w:tcW w:w="851" w:type="dxa"/>
                  <w:tcBorders>
                    <w:top w:val="single" w:color="000000" w:sz="6" w:space="0"/>
                    <w:left w:val="single" w:color="000000" w:sz="6" w:space="0"/>
                    <w:bottom w:val="single" w:color="000000" w:sz="6" w:space="0"/>
                    <w:right w:val="single" w:color="000000" w:sz="6" w:space="0"/>
                  </w:tcBorders>
                  <w:vAlign w:val="center"/>
                </w:tcPr>
                <w:p>
                  <w:pPr>
                    <w:widowControl/>
                    <w:spacing w:line="400" w:lineRule="exact"/>
                    <w:jc w:val="center"/>
                    <w:rPr>
                      <w:rFonts w:ascii="宋体" w:hAnsi="宋体"/>
                      <w:sz w:val="18"/>
                      <w:szCs w:val="18"/>
                    </w:rPr>
                  </w:pPr>
                  <w:r>
                    <w:rPr>
                      <w:rFonts w:ascii="宋体" w:hAnsi="宋体"/>
                      <w:sz w:val="18"/>
                      <w:szCs w:val="18"/>
                    </w:rPr>
                    <w:t>普光</w:t>
                  </w:r>
                </w:p>
              </w:tc>
              <w:tc>
                <w:tcPr>
                  <w:tcW w:w="1701" w:type="dxa"/>
                  <w:tcBorders>
                    <w:top w:val="single" w:color="000000" w:sz="6" w:space="0"/>
                    <w:left w:val="single" w:color="000000" w:sz="6" w:space="0"/>
                    <w:bottom w:val="single" w:color="000000" w:sz="6" w:space="0"/>
                    <w:right w:val="single" w:color="auto" w:sz="4" w:space="0"/>
                  </w:tcBorders>
                  <w:vAlign w:val="center"/>
                </w:tcPr>
                <w:p>
                  <w:pPr>
                    <w:widowControl/>
                    <w:spacing w:line="400" w:lineRule="exact"/>
                    <w:jc w:val="center"/>
                    <w:rPr>
                      <w:rFonts w:ascii="宋体" w:hAnsi="宋体"/>
                      <w:sz w:val="18"/>
                      <w:szCs w:val="18"/>
                    </w:rPr>
                  </w:pPr>
                  <w:r>
                    <w:rPr>
                      <w:rFonts w:ascii="宋体" w:hAnsi="宋体"/>
                      <w:sz w:val="18"/>
                      <w:szCs w:val="18"/>
                    </w:rPr>
                    <w:t>入河口（入后河）</w:t>
                  </w:r>
                </w:p>
              </w:tc>
              <w:tc>
                <w:tcPr>
                  <w:tcW w:w="765" w:type="dxa"/>
                  <w:tcBorders>
                    <w:top w:val="single" w:color="000000" w:sz="6" w:space="0"/>
                    <w:left w:val="single" w:color="auto" w:sz="4" w:space="0"/>
                    <w:bottom w:val="single" w:color="000000" w:sz="6" w:space="0"/>
                    <w:right w:val="single" w:color="000000" w:sz="6" w:space="0"/>
                  </w:tcBorders>
                  <w:vAlign w:val="center"/>
                </w:tcPr>
                <w:p>
                  <w:pPr>
                    <w:widowControl/>
                    <w:spacing w:line="400" w:lineRule="exact"/>
                    <w:jc w:val="center"/>
                    <w:rPr>
                      <w:rFonts w:ascii="宋体" w:hAnsi="宋体"/>
                      <w:sz w:val="18"/>
                      <w:szCs w:val="18"/>
                    </w:rPr>
                  </w:pPr>
                  <w:r>
                    <w:rPr>
                      <w:sz w:val="18"/>
                      <w:szCs w:val="18"/>
                    </w:rPr>
                    <w:t>省控趋 势科研</w:t>
                  </w:r>
                </w:p>
              </w:tc>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400" w:lineRule="exact"/>
                    <w:jc w:val="center"/>
                    <w:rPr>
                      <w:rFonts w:ascii="宋体" w:hAnsi="宋体"/>
                      <w:sz w:val="18"/>
                      <w:szCs w:val="18"/>
                    </w:rPr>
                  </w:pPr>
                  <w:r>
                    <w:rPr>
                      <w:rFonts w:ascii="宋体" w:hAnsi="宋体"/>
                      <w:sz w:val="18"/>
                      <w:szCs w:val="18"/>
                    </w:rPr>
                    <w:t>Ⅱ</w:t>
                  </w:r>
                </w:p>
              </w:tc>
              <w:tc>
                <w:tcPr>
                  <w:tcW w:w="597" w:type="dxa"/>
                  <w:tcBorders>
                    <w:top w:val="single" w:color="000000" w:sz="6" w:space="0"/>
                    <w:left w:val="single" w:color="000000" w:sz="6" w:space="0"/>
                    <w:bottom w:val="single" w:color="000000" w:sz="6" w:space="0"/>
                    <w:right w:val="single" w:color="000000" w:sz="6" w:space="0"/>
                  </w:tcBorders>
                  <w:vAlign w:val="center"/>
                </w:tcPr>
                <w:p>
                  <w:pPr>
                    <w:widowControl/>
                    <w:spacing w:line="400" w:lineRule="exact"/>
                    <w:jc w:val="center"/>
                    <w:rPr>
                      <w:rFonts w:ascii="宋体" w:hAnsi="宋体"/>
                      <w:sz w:val="18"/>
                      <w:szCs w:val="18"/>
                    </w:rPr>
                  </w:pPr>
                  <w:r>
                    <w:rPr>
                      <w:rFonts w:ascii="宋体" w:hAnsi="宋体"/>
                      <w:sz w:val="18"/>
                      <w:szCs w:val="18"/>
                    </w:rPr>
                    <w:t>Ⅱ</w:t>
                  </w:r>
                </w:p>
              </w:tc>
              <w:tc>
                <w:tcPr>
                  <w:tcW w:w="604" w:type="dxa"/>
                  <w:tcBorders>
                    <w:top w:val="single" w:color="000000" w:sz="6" w:space="0"/>
                    <w:left w:val="single" w:color="000000" w:sz="6" w:space="0"/>
                    <w:bottom w:val="single" w:color="000000" w:sz="6" w:space="0"/>
                    <w:right w:val="single" w:color="000000" w:sz="6" w:space="0"/>
                  </w:tcBorders>
                  <w:vAlign w:val="center"/>
                </w:tcPr>
                <w:p>
                  <w:pPr>
                    <w:widowControl/>
                    <w:spacing w:line="400" w:lineRule="exact"/>
                    <w:jc w:val="center"/>
                    <w:rPr>
                      <w:rFonts w:ascii="宋体" w:hAnsi="宋体"/>
                      <w:sz w:val="18"/>
                      <w:szCs w:val="18"/>
                    </w:rPr>
                  </w:pPr>
                  <w:r>
                    <w:rPr>
                      <w:rFonts w:ascii="宋体" w:hAnsi="宋体"/>
                      <w:sz w:val="18"/>
                      <w:szCs w:val="18"/>
                    </w:rPr>
                    <w:t>Ⅱ</w:t>
                  </w:r>
                </w:p>
              </w:tc>
              <w:tc>
                <w:tcPr>
                  <w:tcW w:w="1211" w:type="dxa"/>
                  <w:tcBorders>
                    <w:top w:val="single" w:color="000000" w:sz="6" w:space="0"/>
                    <w:left w:val="single" w:color="000000" w:sz="6" w:space="0"/>
                    <w:bottom w:val="single" w:color="000000" w:sz="6" w:space="0"/>
                    <w:right w:val="single" w:color="000000" w:sz="6" w:space="0"/>
                  </w:tcBorders>
                  <w:vAlign w:val="center"/>
                </w:tcPr>
                <w:p>
                  <w:pPr>
                    <w:widowControl/>
                    <w:spacing w:line="400" w:lineRule="exact"/>
                    <w:jc w:val="center"/>
                    <w:rPr>
                      <w:rFonts w:ascii="宋体" w:hAnsi="宋体"/>
                      <w:sz w:val="18"/>
                      <w:szCs w:val="18"/>
                    </w:rPr>
                  </w:pPr>
                  <w:r>
                    <w:rPr>
                      <w:rFonts w:hint="eastAsia" w:ascii="宋体" w:hAnsi="宋体"/>
                      <w:sz w:val="18"/>
                      <w:szCs w:val="18"/>
                    </w:rPr>
                    <w:t>/</w:t>
                  </w:r>
                </w:p>
              </w:tc>
            </w:tr>
          </w:tbl>
          <w:p>
            <w:pPr>
              <w:autoSpaceDE w:val="0"/>
              <w:autoSpaceDN w:val="0"/>
              <w:adjustRightInd w:val="0"/>
              <w:spacing w:line="400" w:lineRule="exact"/>
              <w:ind w:firstLine="420" w:firstLineChars="200"/>
              <w:rPr>
                <w:kern w:val="0"/>
                <w:lang w:val="zh-CN"/>
              </w:rPr>
            </w:pPr>
            <w:r>
              <w:rPr>
                <w:rFonts w:cs="宋体"/>
                <w:kern w:val="0"/>
                <w:szCs w:val="21"/>
              </w:rPr>
              <w:t>本项目评价区域地表水体为后巴河，属于后河右岸支流。根据上表例行监测数据表明：项目所属后河的普光监测断面</w:t>
            </w:r>
            <w:r>
              <w:rPr>
                <w:rFonts w:hint="eastAsia" w:cs="宋体"/>
                <w:kern w:val="0"/>
                <w:szCs w:val="21"/>
              </w:rPr>
              <w:t>水质能够</w:t>
            </w:r>
            <w:r>
              <w:rPr>
                <w:rFonts w:cs="宋体"/>
                <w:kern w:val="0"/>
                <w:szCs w:val="21"/>
              </w:rPr>
              <w:t>满足《地表水环境质量标准》（GB3838-2002）</w:t>
            </w:r>
            <w:r>
              <w:rPr>
                <w:rFonts w:hint="eastAsia" w:cs="宋体"/>
                <w:kern w:val="0"/>
                <w:szCs w:val="21"/>
              </w:rPr>
              <w:t>Ⅲ</w:t>
            </w:r>
            <w:r>
              <w:rPr>
                <w:rFonts w:cs="宋体"/>
                <w:kern w:val="0"/>
                <w:szCs w:val="21"/>
              </w:rPr>
              <w:t>类水域水质标准。</w:t>
            </w:r>
          </w:p>
          <w:p>
            <w:pPr>
              <w:spacing w:line="400" w:lineRule="exact"/>
              <w:rPr>
                <w:rFonts w:eastAsia="黑体"/>
                <w:lang w:val="zh-CN"/>
              </w:rPr>
            </w:pPr>
            <w:r>
              <w:rPr>
                <w:rFonts w:hint="eastAsia" w:eastAsia="黑体"/>
                <w:lang w:val="zh-CN"/>
              </w:rPr>
              <w:t>6、声学环境质量现状及评价</w:t>
            </w:r>
          </w:p>
          <w:p>
            <w:pPr>
              <w:autoSpaceDE w:val="0"/>
              <w:autoSpaceDN w:val="0"/>
              <w:adjustRightInd w:val="0"/>
              <w:spacing w:line="400" w:lineRule="exact"/>
              <w:ind w:firstLine="420" w:firstLineChars="200"/>
              <w:rPr>
                <w:kern w:val="0"/>
                <w:lang w:val="zh-CN"/>
              </w:rPr>
            </w:pPr>
            <w:r>
              <w:rPr>
                <w:kern w:val="0"/>
                <w:lang w:val="zh-CN"/>
              </w:rPr>
              <w:t>四川融华环境检测有限公司于2</w:t>
            </w:r>
            <w:r>
              <w:rPr>
                <w:rFonts w:hint="eastAsia"/>
                <w:kern w:val="0"/>
                <w:lang w:val="zh-CN"/>
              </w:rPr>
              <w:t>023</w:t>
            </w:r>
            <w:r>
              <w:rPr>
                <w:kern w:val="0"/>
                <w:lang w:val="zh-CN"/>
              </w:rPr>
              <w:t>年</w:t>
            </w:r>
            <w:r>
              <w:rPr>
                <w:rFonts w:hint="eastAsia"/>
                <w:kern w:val="0"/>
                <w:lang w:val="zh-CN"/>
              </w:rPr>
              <w:t>6</w:t>
            </w:r>
            <w:r>
              <w:rPr>
                <w:kern w:val="0"/>
                <w:lang w:val="zh-CN"/>
              </w:rPr>
              <w:t>月</w:t>
            </w:r>
            <w:r>
              <w:rPr>
                <w:rFonts w:hint="eastAsia"/>
                <w:kern w:val="0"/>
                <w:lang w:val="zh-CN"/>
              </w:rPr>
              <w:t>1</w:t>
            </w:r>
            <w:r>
              <w:rPr>
                <w:kern w:val="0"/>
                <w:lang w:val="zh-CN"/>
              </w:rPr>
              <w:t>日在项目区设有</w:t>
            </w:r>
            <w:r>
              <w:rPr>
                <w:rFonts w:hint="eastAsia"/>
                <w:kern w:val="0"/>
                <w:lang w:val="zh-CN"/>
              </w:rPr>
              <w:t>7</w:t>
            </w:r>
            <w:r>
              <w:rPr>
                <w:kern w:val="0"/>
                <w:lang w:val="zh-CN"/>
              </w:rPr>
              <w:t>个环境噪声监测点位：</w:t>
            </w:r>
            <w:r>
              <w:rPr>
                <w:rFonts w:hint="eastAsia"/>
                <w:kern w:val="0"/>
                <w:lang w:val="zh-CN"/>
              </w:rPr>
              <w:t>项目配气站东面住户处</w:t>
            </w:r>
            <w:r>
              <w:rPr>
                <w:kern w:val="0"/>
                <w:lang w:val="zh-CN"/>
              </w:rPr>
              <w:t>（1#）、项目配气站</w:t>
            </w:r>
            <w:r>
              <w:rPr>
                <w:rFonts w:hint="eastAsia"/>
                <w:kern w:val="0"/>
                <w:lang w:val="zh-CN"/>
              </w:rPr>
              <w:t>南面厂界</w:t>
            </w:r>
            <w:r>
              <w:rPr>
                <w:kern w:val="0"/>
                <w:lang w:val="zh-CN"/>
              </w:rPr>
              <w:t>（2#）、项目配气站西面厂界（3#）、项目配气站北面住户外</w:t>
            </w:r>
            <w:r>
              <w:rPr>
                <w:rFonts w:hint="eastAsia"/>
                <w:kern w:val="0"/>
                <w:lang w:val="zh-CN"/>
              </w:rPr>
              <w:t>（4#）、项目配气站东北面住户外（5#）、项目管线工程#A44北面住户外（6#）、项目管线工程#A49南面住户外（7#）</w:t>
            </w:r>
            <w:r>
              <w:rPr>
                <w:kern w:val="0"/>
                <w:lang w:val="zh-CN"/>
              </w:rPr>
              <w:t>。监测频次：监测</w:t>
            </w:r>
            <w:r>
              <w:rPr>
                <w:rFonts w:hint="eastAsia"/>
                <w:kern w:val="0"/>
                <w:lang w:val="zh-CN"/>
              </w:rPr>
              <w:t>1</w:t>
            </w:r>
            <w:r>
              <w:rPr>
                <w:kern w:val="0"/>
                <w:lang w:val="zh-CN"/>
              </w:rPr>
              <w:t>天，昼间、夜间各监测1次。</w:t>
            </w:r>
            <w:r>
              <w:rPr>
                <w:rFonts w:hint="eastAsia"/>
                <w:kern w:val="0"/>
                <w:lang w:val="zh-CN"/>
              </w:rPr>
              <w:t>将检测结果与评价标准进行对照，得出评价结果如下。</w:t>
            </w:r>
          </w:p>
          <w:p>
            <w:pPr>
              <w:spacing w:line="460" w:lineRule="exact"/>
              <w:jc w:val="center"/>
              <w:rPr>
                <w:rFonts w:eastAsia="黑体"/>
                <w:bCs/>
                <w:kern w:val="0"/>
                <w:sz w:val="20"/>
                <w:szCs w:val="20"/>
              </w:rPr>
            </w:pPr>
          </w:p>
          <w:p>
            <w:pPr>
              <w:spacing w:line="460" w:lineRule="exact"/>
              <w:jc w:val="center"/>
              <w:rPr>
                <w:rFonts w:eastAsia="黑体"/>
                <w:bCs/>
                <w:kern w:val="0"/>
                <w:sz w:val="20"/>
                <w:szCs w:val="20"/>
              </w:rPr>
            </w:pPr>
          </w:p>
          <w:p>
            <w:pPr>
              <w:spacing w:line="460" w:lineRule="exact"/>
              <w:jc w:val="center"/>
              <w:rPr>
                <w:rFonts w:eastAsia="黑体"/>
                <w:bCs/>
                <w:kern w:val="0"/>
                <w:sz w:val="20"/>
                <w:szCs w:val="20"/>
              </w:rPr>
            </w:pPr>
          </w:p>
          <w:p>
            <w:pPr>
              <w:spacing w:line="460" w:lineRule="exact"/>
              <w:jc w:val="center"/>
              <w:rPr>
                <w:rFonts w:eastAsia="黑体"/>
                <w:bCs/>
                <w:kern w:val="0"/>
                <w:sz w:val="20"/>
                <w:szCs w:val="20"/>
              </w:rPr>
            </w:pPr>
          </w:p>
          <w:p>
            <w:pPr>
              <w:spacing w:line="460" w:lineRule="exact"/>
              <w:jc w:val="center"/>
              <w:rPr>
                <w:rFonts w:eastAsia="黑体"/>
                <w:bCs/>
                <w:kern w:val="0"/>
                <w:sz w:val="20"/>
                <w:szCs w:val="20"/>
              </w:rPr>
            </w:pPr>
            <w:r>
              <w:rPr>
                <w:rFonts w:hint="eastAsia" w:eastAsia="黑体"/>
                <w:bCs/>
                <w:kern w:val="0"/>
                <w:sz w:val="20"/>
                <w:szCs w:val="20"/>
              </w:rPr>
              <w:t>表3-6</w:t>
            </w:r>
            <w:r>
              <w:rPr>
                <w:rFonts w:eastAsia="黑体"/>
                <w:bCs/>
                <w:kern w:val="0"/>
                <w:sz w:val="20"/>
                <w:szCs w:val="20"/>
              </w:rPr>
              <w:t xml:space="preserve">    </w:t>
            </w:r>
            <w:r>
              <w:rPr>
                <w:rFonts w:hint="eastAsia" w:eastAsia="黑体"/>
                <w:bCs/>
                <w:kern w:val="0"/>
                <w:sz w:val="20"/>
                <w:szCs w:val="20"/>
              </w:rPr>
              <w:t>噪声环境现状评价结果表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0"/>
              <w:gridCol w:w="1079"/>
              <w:gridCol w:w="764"/>
              <w:gridCol w:w="817"/>
              <w:gridCol w:w="809"/>
              <w:gridCol w:w="731"/>
              <w:gridCol w:w="1027"/>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0" w:type="dxa"/>
                  <w:vMerge w:val="restart"/>
                  <w:vAlign w:val="center"/>
                </w:tcPr>
                <w:p>
                  <w:pPr>
                    <w:widowControl/>
                    <w:spacing w:line="260" w:lineRule="exact"/>
                    <w:jc w:val="center"/>
                    <w:rPr>
                      <w:kern w:val="0"/>
                      <w:sz w:val="18"/>
                      <w:szCs w:val="18"/>
                    </w:rPr>
                  </w:pPr>
                  <w:r>
                    <w:rPr>
                      <w:kern w:val="0"/>
                      <w:sz w:val="18"/>
                      <w:szCs w:val="18"/>
                    </w:rPr>
                    <w:t>监测点位</w:t>
                  </w:r>
                </w:p>
              </w:tc>
              <w:tc>
                <w:tcPr>
                  <w:tcW w:w="1079" w:type="dxa"/>
                  <w:vMerge w:val="restart"/>
                  <w:vAlign w:val="center"/>
                </w:tcPr>
                <w:p>
                  <w:pPr>
                    <w:widowControl/>
                    <w:spacing w:line="260" w:lineRule="exact"/>
                    <w:jc w:val="center"/>
                    <w:rPr>
                      <w:kern w:val="0"/>
                      <w:sz w:val="18"/>
                      <w:szCs w:val="18"/>
                    </w:rPr>
                  </w:pPr>
                  <w:r>
                    <w:rPr>
                      <w:kern w:val="0"/>
                      <w:sz w:val="18"/>
                      <w:szCs w:val="18"/>
                    </w:rPr>
                    <w:t>监测时间</w:t>
                  </w:r>
                </w:p>
              </w:tc>
              <w:tc>
                <w:tcPr>
                  <w:tcW w:w="1581" w:type="dxa"/>
                  <w:gridSpan w:val="2"/>
                  <w:vAlign w:val="center"/>
                </w:tcPr>
                <w:p>
                  <w:pPr>
                    <w:widowControl/>
                    <w:spacing w:line="260" w:lineRule="exact"/>
                    <w:jc w:val="center"/>
                    <w:rPr>
                      <w:kern w:val="0"/>
                      <w:sz w:val="18"/>
                      <w:szCs w:val="18"/>
                    </w:rPr>
                  </w:pPr>
                  <w:r>
                    <w:rPr>
                      <w:kern w:val="0"/>
                      <w:sz w:val="18"/>
                      <w:szCs w:val="18"/>
                    </w:rPr>
                    <w:t>监测结果</w:t>
                  </w:r>
                </w:p>
              </w:tc>
              <w:tc>
                <w:tcPr>
                  <w:tcW w:w="1540" w:type="dxa"/>
                  <w:gridSpan w:val="2"/>
                  <w:vAlign w:val="center"/>
                </w:tcPr>
                <w:p>
                  <w:pPr>
                    <w:widowControl/>
                    <w:spacing w:line="260" w:lineRule="exact"/>
                    <w:jc w:val="center"/>
                    <w:rPr>
                      <w:kern w:val="0"/>
                      <w:sz w:val="18"/>
                      <w:szCs w:val="18"/>
                    </w:rPr>
                  </w:pPr>
                  <w:r>
                    <w:rPr>
                      <w:kern w:val="0"/>
                      <w:sz w:val="18"/>
                      <w:szCs w:val="18"/>
                    </w:rPr>
                    <w:t>评价标准</w:t>
                  </w:r>
                </w:p>
              </w:tc>
              <w:tc>
                <w:tcPr>
                  <w:tcW w:w="1972" w:type="dxa"/>
                  <w:gridSpan w:val="2"/>
                  <w:vAlign w:val="center"/>
                </w:tcPr>
                <w:p>
                  <w:pPr>
                    <w:widowControl/>
                    <w:spacing w:line="260" w:lineRule="exact"/>
                    <w:jc w:val="center"/>
                    <w:rPr>
                      <w:kern w:val="0"/>
                      <w:sz w:val="18"/>
                      <w:szCs w:val="18"/>
                    </w:rPr>
                  </w:pPr>
                  <w:r>
                    <w:rPr>
                      <w:kern w:val="0"/>
                      <w:sz w:val="18"/>
                      <w:szCs w:val="18"/>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0" w:type="dxa"/>
                  <w:vMerge w:val="continue"/>
                  <w:vAlign w:val="center"/>
                </w:tcPr>
                <w:p>
                  <w:pPr>
                    <w:widowControl/>
                    <w:spacing w:line="260" w:lineRule="exact"/>
                    <w:jc w:val="left"/>
                    <w:rPr>
                      <w:kern w:val="0"/>
                      <w:sz w:val="18"/>
                      <w:szCs w:val="18"/>
                    </w:rPr>
                  </w:pPr>
                </w:p>
              </w:tc>
              <w:tc>
                <w:tcPr>
                  <w:tcW w:w="1079" w:type="dxa"/>
                  <w:vMerge w:val="continue"/>
                  <w:vAlign w:val="center"/>
                </w:tcPr>
                <w:p>
                  <w:pPr>
                    <w:widowControl/>
                    <w:spacing w:line="260" w:lineRule="exact"/>
                    <w:jc w:val="left"/>
                    <w:rPr>
                      <w:kern w:val="0"/>
                      <w:sz w:val="18"/>
                      <w:szCs w:val="18"/>
                    </w:rPr>
                  </w:pPr>
                </w:p>
              </w:tc>
              <w:tc>
                <w:tcPr>
                  <w:tcW w:w="764" w:type="dxa"/>
                  <w:vAlign w:val="center"/>
                </w:tcPr>
                <w:p>
                  <w:pPr>
                    <w:widowControl/>
                    <w:spacing w:line="260" w:lineRule="exact"/>
                    <w:jc w:val="center"/>
                    <w:rPr>
                      <w:kern w:val="0"/>
                      <w:sz w:val="18"/>
                      <w:szCs w:val="18"/>
                    </w:rPr>
                  </w:pPr>
                  <w:r>
                    <w:rPr>
                      <w:kern w:val="0"/>
                      <w:sz w:val="18"/>
                      <w:szCs w:val="18"/>
                    </w:rPr>
                    <w:t>昼间</w:t>
                  </w:r>
                </w:p>
              </w:tc>
              <w:tc>
                <w:tcPr>
                  <w:tcW w:w="817" w:type="dxa"/>
                  <w:vAlign w:val="center"/>
                </w:tcPr>
                <w:p>
                  <w:pPr>
                    <w:widowControl/>
                    <w:spacing w:line="260" w:lineRule="exact"/>
                    <w:jc w:val="center"/>
                    <w:rPr>
                      <w:kern w:val="0"/>
                      <w:sz w:val="18"/>
                      <w:szCs w:val="18"/>
                    </w:rPr>
                  </w:pPr>
                  <w:r>
                    <w:rPr>
                      <w:kern w:val="0"/>
                      <w:sz w:val="18"/>
                      <w:szCs w:val="18"/>
                    </w:rPr>
                    <w:t>夜间</w:t>
                  </w:r>
                </w:p>
              </w:tc>
              <w:tc>
                <w:tcPr>
                  <w:tcW w:w="809" w:type="dxa"/>
                  <w:vAlign w:val="center"/>
                </w:tcPr>
                <w:p>
                  <w:pPr>
                    <w:widowControl/>
                    <w:spacing w:line="260" w:lineRule="exact"/>
                    <w:jc w:val="center"/>
                    <w:rPr>
                      <w:kern w:val="0"/>
                      <w:sz w:val="18"/>
                      <w:szCs w:val="18"/>
                    </w:rPr>
                  </w:pPr>
                  <w:r>
                    <w:rPr>
                      <w:kern w:val="0"/>
                      <w:sz w:val="18"/>
                      <w:szCs w:val="18"/>
                    </w:rPr>
                    <w:t>昼间</w:t>
                  </w:r>
                </w:p>
              </w:tc>
              <w:tc>
                <w:tcPr>
                  <w:tcW w:w="731" w:type="dxa"/>
                  <w:vAlign w:val="center"/>
                </w:tcPr>
                <w:p>
                  <w:pPr>
                    <w:widowControl/>
                    <w:spacing w:line="260" w:lineRule="exact"/>
                    <w:jc w:val="center"/>
                    <w:rPr>
                      <w:kern w:val="0"/>
                      <w:sz w:val="18"/>
                      <w:szCs w:val="18"/>
                    </w:rPr>
                  </w:pPr>
                  <w:r>
                    <w:rPr>
                      <w:kern w:val="0"/>
                      <w:sz w:val="18"/>
                      <w:szCs w:val="18"/>
                    </w:rPr>
                    <w:t>夜间</w:t>
                  </w:r>
                </w:p>
              </w:tc>
              <w:tc>
                <w:tcPr>
                  <w:tcW w:w="1027" w:type="dxa"/>
                  <w:vAlign w:val="center"/>
                </w:tcPr>
                <w:p>
                  <w:pPr>
                    <w:widowControl/>
                    <w:spacing w:line="260" w:lineRule="exact"/>
                    <w:jc w:val="center"/>
                    <w:rPr>
                      <w:kern w:val="0"/>
                      <w:sz w:val="18"/>
                      <w:szCs w:val="18"/>
                    </w:rPr>
                  </w:pPr>
                  <w:r>
                    <w:rPr>
                      <w:kern w:val="0"/>
                      <w:sz w:val="18"/>
                      <w:szCs w:val="18"/>
                    </w:rPr>
                    <w:t>昼间</w:t>
                  </w:r>
                </w:p>
              </w:tc>
              <w:tc>
                <w:tcPr>
                  <w:tcW w:w="945" w:type="dxa"/>
                  <w:vAlign w:val="center"/>
                </w:tcPr>
                <w:p>
                  <w:pPr>
                    <w:widowControl/>
                    <w:spacing w:line="260" w:lineRule="exact"/>
                    <w:jc w:val="center"/>
                    <w:rPr>
                      <w:kern w:val="0"/>
                      <w:sz w:val="18"/>
                      <w:szCs w:val="18"/>
                    </w:rPr>
                  </w:pPr>
                  <w:r>
                    <w:rPr>
                      <w:kern w:val="0"/>
                      <w:sz w:val="18"/>
                      <w:szCs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0" w:type="dxa"/>
                  <w:vAlign w:val="center"/>
                </w:tcPr>
                <w:p>
                  <w:pPr>
                    <w:widowControl/>
                    <w:spacing w:line="260" w:lineRule="exact"/>
                    <w:jc w:val="center"/>
                    <w:rPr>
                      <w:kern w:val="0"/>
                      <w:sz w:val="18"/>
                      <w:szCs w:val="18"/>
                    </w:rPr>
                  </w:pPr>
                  <w:r>
                    <w:rPr>
                      <w:rFonts w:hint="eastAsia"/>
                      <w:kern w:val="0"/>
                      <w:sz w:val="18"/>
                      <w:szCs w:val="18"/>
                      <w:lang w:val="zh-CN"/>
                    </w:rPr>
                    <w:t>配气站东面住户处</w:t>
                  </w:r>
                  <w:r>
                    <w:rPr>
                      <w:kern w:val="0"/>
                      <w:sz w:val="18"/>
                      <w:szCs w:val="18"/>
                      <w:lang w:val="zh-CN"/>
                    </w:rPr>
                    <w:t>（1#）</w:t>
                  </w:r>
                </w:p>
              </w:tc>
              <w:tc>
                <w:tcPr>
                  <w:tcW w:w="1079" w:type="dxa"/>
                  <w:vAlign w:val="center"/>
                </w:tcPr>
                <w:p>
                  <w:pPr>
                    <w:spacing w:line="260" w:lineRule="exact"/>
                    <w:jc w:val="center"/>
                    <w:rPr>
                      <w:sz w:val="18"/>
                      <w:szCs w:val="18"/>
                    </w:rPr>
                  </w:pPr>
                  <w:r>
                    <w:rPr>
                      <w:rFonts w:hint="eastAsia"/>
                      <w:sz w:val="18"/>
                      <w:szCs w:val="18"/>
                    </w:rPr>
                    <w:t>2022.7.26</w:t>
                  </w:r>
                </w:p>
              </w:tc>
              <w:tc>
                <w:tcPr>
                  <w:tcW w:w="764" w:type="dxa"/>
                  <w:vAlign w:val="center"/>
                </w:tcPr>
                <w:p>
                  <w:pPr>
                    <w:spacing w:line="260" w:lineRule="exact"/>
                    <w:jc w:val="center"/>
                    <w:rPr>
                      <w:sz w:val="18"/>
                      <w:szCs w:val="18"/>
                    </w:rPr>
                  </w:pPr>
                  <w:r>
                    <w:rPr>
                      <w:rFonts w:hint="eastAsia"/>
                      <w:sz w:val="18"/>
                      <w:szCs w:val="18"/>
                    </w:rPr>
                    <w:t>44.9</w:t>
                  </w:r>
                </w:p>
              </w:tc>
              <w:tc>
                <w:tcPr>
                  <w:tcW w:w="817" w:type="dxa"/>
                  <w:vAlign w:val="center"/>
                </w:tcPr>
                <w:p>
                  <w:pPr>
                    <w:spacing w:line="260" w:lineRule="exact"/>
                    <w:jc w:val="center"/>
                    <w:rPr>
                      <w:sz w:val="18"/>
                      <w:szCs w:val="18"/>
                    </w:rPr>
                  </w:pPr>
                  <w:r>
                    <w:rPr>
                      <w:rFonts w:hint="eastAsia"/>
                      <w:sz w:val="18"/>
                      <w:szCs w:val="18"/>
                    </w:rPr>
                    <w:t>45.5</w:t>
                  </w:r>
                </w:p>
              </w:tc>
              <w:tc>
                <w:tcPr>
                  <w:tcW w:w="809" w:type="dxa"/>
                  <w:vAlign w:val="center"/>
                </w:tcPr>
                <w:p>
                  <w:pPr>
                    <w:spacing w:line="260" w:lineRule="exact"/>
                    <w:jc w:val="center"/>
                    <w:rPr>
                      <w:kern w:val="0"/>
                      <w:sz w:val="18"/>
                      <w:szCs w:val="18"/>
                    </w:rPr>
                  </w:pPr>
                  <w:r>
                    <w:rPr>
                      <w:rFonts w:hint="eastAsia"/>
                      <w:kern w:val="0"/>
                      <w:sz w:val="18"/>
                      <w:szCs w:val="18"/>
                    </w:rPr>
                    <w:t>65</w:t>
                  </w:r>
                </w:p>
              </w:tc>
              <w:tc>
                <w:tcPr>
                  <w:tcW w:w="731" w:type="dxa"/>
                  <w:vAlign w:val="center"/>
                </w:tcPr>
                <w:p>
                  <w:pPr>
                    <w:spacing w:line="260" w:lineRule="exact"/>
                    <w:jc w:val="center"/>
                    <w:rPr>
                      <w:kern w:val="0"/>
                      <w:sz w:val="18"/>
                      <w:szCs w:val="18"/>
                    </w:rPr>
                  </w:pPr>
                  <w:r>
                    <w:rPr>
                      <w:rFonts w:hint="eastAsia"/>
                      <w:kern w:val="0"/>
                      <w:sz w:val="18"/>
                      <w:szCs w:val="18"/>
                    </w:rPr>
                    <w:t>55</w:t>
                  </w:r>
                </w:p>
              </w:tc>
              <w:tc>
                <w:tcPr>
                  <w:tcW w:w="1027" w:type="dxa"/>
                  <w:vAlign w:val="center"/>
                </w:tcPr>
                <w:p>
                  <w:pPr>
                    <w:spacing w:line="260" w:lineRule="exact"/>
                    <w:jc w:val="center"/>
                    <w:rPr>
                      <w:sz w:val="18"/>
                      <w:szCs w:val="18"/>
                    </w:rPr>
                  </w:pPr>
                  <w:r>
                    <w:rPr>
                      <w:sz w:val="18"/>
                      <w:szCs w:val="18"/>
                    </w:rPr>
                    <w:t>达标</w:t>
                  </w:r>
                </w:p>
              </w:tc>
              <w:tc>
                <w:tcPr>
                  <w:tcW w:w="945" w:type="dxa"/>
                  <w:vAlign w:val="center"/>
                </w:tcPr>
                <w:p>
                  <w:pPr>
                    <w:spacing w:line="260" w:lineRule="exact"/>
                    <w:jc w:val="center"/>
                    <w:rPr>
                      <w:sz w:val="18"/>
                      <w:szCs w:val="18"/>
                    </w:rPr>
                  </w:pPr>
                  <w:r>
                    <w:rPr>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0" w:type="dxa"/>
                  <w:vAlign w:val="center"/>
                </w:tcPr>
                <w:p>
                  <w:pPr>
                    <w:spacing w:line="260" w:lineRule="exact"/>
                    <w:jc w:val="center"/>
                    <w:rPr>
                      <w:kern w:val="0"/>
                      <w:sz w:val="18"/>
                      <w:szCs w:val="18"/>
                    </w:rPr>
                  </w:pPr>
                  <w:r>
                    <w:rPr>
                      <w:kern w:val="0"/>
                      <w:sz w:val="18"/>
                      <w:szCs w:val="18"/>
                      <w:lang w:val="zh-CN"/>
                    </w:rPr>
                    <w:t>配气站</w:t>
                  </w:r>
                  <w:r>
                    <w:rPr>
                      <w:rFonts w:hint="eastAsia"/>
                      <w:kern w:val="0"/>
                      <w:sz w:val="18"/>
                      <w:szCs w:val="18"/>
                      <w:lang w:val="zh-CN"/>
                    </w:rPr>
                    <w:t>南面厂界</w:t>
                  </w:r>
                  <w:r>
                    <w:rPr>
                      <w:kern w:val="0"/>
                      <w:sz w:val="18"/>
                      <w:szCs w:val="18"/>
                      <w:lang w:val="zh-CN"/>
                    </w:rPr>
                    <w:t>（2#）</w:t>
                  </w:r>
                </w:p>
              </w:tc>
              <w:tc>
                <w:tcPr>
                  <w:tcW w:w="1079" w:type="dxa"/>
                  <w:vAlign w:val="center"/>
                </w:tcPr>
                <w:p>
                  <w:pPr>
                    <w:spacing w:line="260" w:lineRule="exact"/>
                    <w:jc w:val="center"/>
                    <w:rPr>
                      <w:sz w:val="18"/>
                      <w:szCs w:val="18"/>
                    </w:rPr>
                  </w:pPr>
                  <w:r>
                    <w:rPr>
                      <w:rFonts w:hint="eastAsia"/>
                      <w:sz w:val="18"/>
                      <w:szCs w:val="18"/>
                    </w:rPr>
                    <w:t>2022.7.28</w:t>
                  </w:r>
                </w:p>
              </w:tc>
              <w:tc>
                <w:tcPr>
                  <w:tcW w:w="764" w:type="dxa"/>
                  <w:vAlign w:val="center"/>
                </w:tcPr>
                <w:p>
                  <w:pPr>
                    <w:spacing w:line="260" w:lineRule="exact"/>
                    <w:jc w:val="center"/>
                    <w:rPr>
                      <w:sz w:val="18"/>
                      <w:szCs w:val="18"/>
                    </w:rPr>
                  </w:pPr>
                  <w:r>
                    <w:rPr>
                      <w:rFonts w:hint="eastAsia"/>
                      <w:sz w:val="18"/>
                      <w:szCs w:val="18"/>
                    </w:rPr>
                    <w:t>47.7</w:t>
                  </w:r>
                </w:p>
              </w:tc>
              <w:tc>
                <w:tcPr>
                  <w:tcW w:w="817" w:type="dxa"/>
                  <w:vAlign w:val="center"/>
                </w:tcPr>
                <w:p>
                  <w:pPr>
                    <w:spacing w:line="260" w:lineRule="exact"/>
                    <w:jc w:val="center"/>
                    <w:rPr>
                      <w:sz w:val="18"/>
                      <w:szCs w:val="18"/>
                    </w:rPr>
                  </w:pPr>
                  <w:r>
                    <w:rPr>
                      <w:rFonts w:hint="eastAsia"/>
                      <w:sz w:val="18"/>
                      <w:szCs w:val="18"/>
                    </w:rPr>
                    <w:t>39.6</w:t>
                  </w:r>
                </w:p>
              </w:tc>
              <w:tc>
                <w:tcPr>
                  <w:tcW w:w="809" w:type="dxa"/>
                  <w:vAlign w:val="center"/>
                </w:tcPr>
                <w:p>
                  <w:pPr>
                    <w:spacing w:line="260" w:lineRule="exact"/>
                    <w:jc w:val="center"/>
                    <w:rPr>
                      <w:kern w:val="0"/>
                      <w:sz w:val="18"/>
                      <w:szCs w:val="18"/>
                    </w:rPr>
                  </w:pPr>
                  <w:r>
                    <w:rPr>
                      <w:rFonts w:hint="eastAsia"/>
                      <w:kern w:val="0"/>
                      <w:sz w:val="18"/>
                      <w:szCs w:val="18"/>
                    </w:rPr>
                    <w:t>65</w:t>
                  </w:r>
                </w:p>
              </w:tc>
              <w:tc>
                <w:tcPr>
                  <w:tcW w:w="731" w:type="dxa"/>
                  <w:vAlign w:val="center"/>
                </w:tcPr>
                <w:p>
                  <w:pPr>
                    <w:spacing w:line="260" w:lineRule="exact"/>
                    <w:jc w:val="center"/>
                    <w:rPr>
                      <w:kern w:val="0"/>
                      <w:sz w:val="18"/>
                      <w:szCs w:val="18"/>
                    </w:rPr>
                  </w:pPr>
                  <w:r>
                    <w:rPr>
                      <w:rFonts w:hint="eastAsia"/>
                      <w:kern w:val="0"/>
                      <w:sz w:val="18"/>
                      <w:szCs w:val="18"/>
                    </w:rPr>
                    <w:t>55</w:t>
                  </w:r>
                </w:p>
              </w:tc>
              <w:tc>
                <w:tcPr>
                  <w:tcW w:w="1027" w:type="dxa"/>
                  <w:vAlign w:val="center"/>
                </w:tcPr>
                <w:p>
                  <w:pPr>
                    <w:spacing w:line="260" w:lineRule="exact"/>
                    <w:jc w:val="center"/>
                    <w:rPr>
                      <w:sz w:val="18"/>
                      <w:szCs w:val="18"/>
                    </w:rPr>
                  </w:pPr>
                  <w:r>
                    <w:rPr>
                      <w:sz w:val="18"/>
                      <w:szCs w:val="18"/>
                    </w:rPr>
                    <w:t>达标</w:t>
                  </w:r>
                </w:p>
              </w:tc>
              <w:tc>
                <w:tcPr>
                  <w:tcW w:w="945" w:type="dxa"/>
                  <w:vAlign w:val="center"/>
                </w:tcPr>
                <w:p>
                  <w:pPr>
                    <w:spacing w:line="260" w:lineRule="exact"/>
                    <w:jc w:val="center"/>
                    <w:rPr>
                      <w:sz w:val="18"/>
                      <w:szCs w:val="18"/>
                    </w:rPr>
                  </w:pPr>
                  <w:r>
                    <w:rPr>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0" w:type="dxa"/>
                  <w:vAlign w:val="center"/>
                </w:tcPr>
                <w:p>
                  <w:pPr>
                    <w:widowControl/>
                    <w:spacing w:line="260" w:lineRule="exact"/>
                    <w:jc w:val="center"/>
                    <w:rPr>
                      <w:kern w:val="0"/>
                      <w:sz w:val="18"/>
                      <w:szCs w:val="18"/>
                    </w:rPr>
                  </w:pPr>
                  <w:r>
                    <w:rPr>
                      <w:kern w:val="0"/>
                      <w:sz w:val="18"/>
                      <w:szCs w:val="18"/>
                      <w:lang w:val="zh-CN"/>
                    </w:rPr>
                    <w:t>配气站西面厂界（3#）</w:t>
                  </w:r>
                </w:p>
              </w:tc>
              <w:tc>
                <w:tcPr>
                  <w:tcW w:w="1079" w:type="dxa"/>
                  <w:vAlign w:val="center"/>
                </w:tcPr>
                <w:p>
                  <w:pPr>
                    <w:spacing w:line="260" w:lineRule="exact"/>
                    <w:jc w:val="center"/>
                    <w:rPr>
                      <w:sz w:val="18"/>
                      <w:szCs w:val="18"/>
                    </w:rPr>
                  </w:pPr>
                  <w:r>
                    <w:rPr>
                      <w:rFonts w:hint="eastAsia"/>
                      <w:sz w:val="18"/>
                      <w:szCs w:val="18"/>
                    </w:rPr>
                    <w:t>2022.7.26</w:t>
                  </w:r>
                </w:p>
              </w:tc>
              <w:tc>
                <w:tcPr>
                  <w:tcW w:w="764" w:type="dxa"/>
                  <w:vAlign w:val="center"/>
                </w:tcPr>
                <w:p>
                  <w:pPr>
                    <w:spacing w:line="260" w:lineRule="exact"/>
                    <w:jc w:val="center"/>
                    <w:rPr>
                      <w:sz w:val="18"/>
                      <w:szCs w:val="18"/>
                    </w:rPr>
                  </w:pPr>
                  <w:r>
                    <w:rPr>
                      <w:rFonts w:hint="eastAsia"/>
                      <w:sz w:val="18"/>
                      <w:szCs w:val="18"/>
                    </w:rPr>
                    <w:t>46.7</w:t>
                  </w:r>
                </w:p>
              </w:tc>
              <w:tc>
                <w:tcPr>
                  <w:tcW w:w="817" w:type="dxa"/>
                  <w:vAlign w:val="center"/>
                </w:tcPr>
                <w:p>
                  <w:pPr>
                    <w:spacing w:line="260" w:lineRule="exact"/>
                    <w:jc w:val="center"/>
                    <w:rPr>
                      <w:sz w:val="18"/>
                      <w:szCs w:val="18"/>
                    </w:rPr>
                  </w:pPr>
                  <w:r>
                    <w:rPr>
                      <w:rFonts w:hint="eastAsia"/>
                      <w:sz w:val="18"/>
                      <w:szCs w:val="18"/>
                    </w:rPr>
                    <w:t>40.6</w:t>
                  </w:r>
                </w:p>
              </w:tc>
              <w:tc>
                <w:tcPr>
                  <w:tcW w:w="809" w:type="dxa"/>
                  <w:vAlign w:val="center"/>
                </w:tcPr>
                <w:p>
                  <w:pPr>
                    <w:spacing w:line="260" w:lineRule="exact"/>
                    <w:jc w:val="center"/>
                    <w:rPr>
                      <w:kern w:val="0"/>
                      <w:sz w:val="18"/>
                      <w:szCs w:val="18"/>
                    </w:rPr>
                  </w:pPr>
                  <w:r>
                    <w:rPr>
                      <w:rFonts w:hint="eastAsia"/>
                      <w:kern w:val="0"/>
                      <w:sz w:val="18"/>
                      <w:szCs w:val="18"/>
                    </w:rPr>
                    <w:t>65</w:t>
                  </w:r>
                </w:p>
              </w:tc>
              <w:tc>
                <w:tcPr>
                  <w:tcW w:w="731" w:type="dxa"/>
                  <w:vAlign w:val="center"/>
                </w:tcPr>
                <w:p>
                  <w:pPr>
                    <w:spacing w:line="260" w:lineRule="exact"/>
                    <w:jc w:val="center"/>
                    <w:rPr>
                      <w:kern w:val="0"/>
                      <w:sz w:val="18"/>
                      <w:szCs w:val="18"/>
                    </w:rPr>
                  </w:pPr>
                  <w:r>
                    <w:rPr>
                      <w:rFonts w:hint="eastAsia"/>
                      <w:kern w:val="0"/>
                      <w:sz w:val="18"/>
                      <w:szCs w:val="18"/>
                    </w:rPr>
                    <w:t>55</w:t>
                  </w:r>
                </w:p>
              </w:tc>
              <w:tc>
                <w:tcPr>
                  <w:tcW w:w="1027" w:type="dxa"/>
                  <w:vAlign w:val="center"/>
                </w:tcPr>
                <w:p>
                  <w:pPr>
                    <w:spacing w:line="260" w:lineRule="exact"/>
                    <w:jc w:val="center"/>
                    <w:rPr>
                      <w:sz w:val="18"/>
                      <w:szCs w:val="18"/>
                    </w:rPr>
                  </w:pPr>
                  <w:r>
                    <w:rPr>
                      <w:sz w:val="18"/>
                      <w:szCs w:val="18"/>
                    </w:rPr>
                    <w:t>达标</w:t>
                  </w:r>
                </w:p>
              </w:tc>
              <w:tc>
                <w:tcPr>
                  <w:tcW w:w="945" w:type="dxa"/>
                  <w:vAlign w:val="center"/>
                </w:tcPr>
                <w:p>
                  <w:pPr>
                    <w:spacing w:line="260" w:lineRule="exact"/>
                    <w:jc w:val="center"/>
                    <w:rPr>
                      <w:sz w:val="18"/>
                      <w:szCs w:val="18"/>
                    </w:rPr>
                  </w:pPr>
                  <w:r>
                    <w:rPr>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0" w:type="dxa"/>
                  <w:vAlign w:val="center"/>
                </w:tcPr>
                <w:p>
                  <w:pPr>
                    <w:spacing w:line="260" w:lineRule="exact"/>
                    <w:jc w:val="center"/>
                    <w:rPr>
                      <w:kern w:val="0"/>
                      <w:sz w:val="18"/>
                      <w:szCs w:val="18"/>
                    </w:rPr>
                  </w:pPr>
                  <w:r>
                    <w:rPr>
                      <w:kern w:val="0"/>
                      <w:sz w:val="18"/>
                      <w:szCs w:val="18"/>
                      <w:lang w:val="zh-CN"/>
                    </w:rPr>
                    <w:t>配气站北面住户外</w:t>
                  </w:r>
                  <w:r>
                    <w:rPr>
                      <w:rFonts w:hint="eastAsia"/>
                      <w:kern w:val="0"/>
                      <w:sz w:val="18"/>
                      <w:szCs w:val="18"/>
                      <w:lang w:val="zh-CN"/>
                    </w:rPr>
                    <w:t>（4#）</w:t>
                  </w:r>
                </w:p>
              </w:tc>
              <w:tc>
                <w:tcPr>
                  <w:tcW w:w="1079" w:type="dxa"/>
                  <w:vAlign w:val="center"/>
                </w:tcPr>
                <w:p>
                  <w:pPr>
                    <w:spacing w:line="260" w:lineRule="exact"/>
                    <w:jc w:val="center"/>
                    <w:rPr>
                      <w:sz w:val="18"/>
                      <w:szCs w:val="18"/>
                    </w:rPr>
                  </w:pPr>
                  <w:r>
                    <w:rPr>
                      <w:rFonts w:hint="eastAsia"/>
                      <w:sz w:val="18"/>
                      <w:szCs w:val="18"/>
                    </w:rPr>
                    <w:t>2022.7.28</w:t>
                  </w:r>
                </w:p>
              </w:tc>
              <w:tc>
                <w:tcPr>
                  <w:tcW w:w="764" w:type="dxa"/>
                  <w:vAlign w:val="center"/>
                </w:tcPr>
                <w:p>
                  <w:pPr>
                    <w:spacing w:line="260" w:lineRule="exact"/>
                    <w:jc w:val="center"/>
                    <w:rPr>
                      <w:sz w:val="18"/>
                      <w:szCs w:val="18"/>
                    </w:rPr>
                  </w:pPr>
                  <w:r>
                    <w:rPr>
                      <w:rFonts w:hint="eastAsia"/>
                      <w:sz w:val="18"/>
                      <w:szCs w:val="18"/>
                    </w:rPr>
                    <w:t>46.0</w:t>
                  </w:r>
                </w:p>
              </w:tc>
              <w:tc>
                <w:tcPr>
                  <w:tcW w:w="817" w:type="dxa"/>
                  <w:vAlign w:val="center"/>
                </w:tcPr>
                <w:p>
                  <w:pPr>
                    <w:spacing w:line="260" w:lineRule="exact"/>
                    <w:jc w:val="center"/>
                    <w:rPr>
                      <w:sz w:val="18"/>
                      <w:szCs w:val="18"/>
                    </w:rPr>
                  </w:pPr>
                  <w:r>
                    <w:rPr>
                      <w:rFonts w:hint="eastAsia"/>
                      <w:sz w:val="18"/>
                      <w:szCs w:val="18"/>
                    </w:rPr>
                    <w:t>41.6</w:t>
                  </w:r>
                </w:p>
              </w:tc>
              <w:tc>
                <w:tcPr>
                  <w:tcW w:w="809" w:type="dxa"/>
                  <w:vAlign w:val="center"/>
                </w:tcPr>
                <w:p>
                  <w:pPr>
                    <w:spacing w:line="260" w:lineRule="exact"/>
                    <w:jc w:val="center"/>
                    <w:rPr>
                      <w:kern w:val="0"/>
                      <w:sz w:val="18"/>
                      <w:szCs w:val="18"/>
                    </w:rPr>
                  </w:pPr>
                  <w:r>
                    <w:rPr>
                      <w:rFonts w:hint="eastAsia"/>
                      <w:kern w:val="0"/>
                      <w:sz w:val="18"/>
                      <w:szCs w:val="18"/>
                    </w:rPr>
                    <w:t>65</w:t>
                  </w:r>
                </w:p>
              </w:tc>
              <w:tc>
                <w:tcPr>
                  <w:tcW w:w="731" w:type="dxa"/>
                  <w:vAlign w:val="center"/>
                </w:tcPr>
                <w:p>
                  <w:pPr>
                    <w:spacing w:line="260" w:lineRule="exact"/>
                    <w:jc w:val="center"/>
                    <w:rPr>
                      <w:kern w:val="0"/>
                      <w:sz w:val="18"/>
                      <w:szCs w:val="18"/>
                    </w:rPr>
                  </w:pPr>
                  <w:r>
                    <w:rPr>
                      <w:rFonts w:hint="eastAsia"/>
                      <w:kern w:val="0"/>
                      <w:sz w:val="18"/>
                      <w:szCs w:val="18"/>
                    </w:rPr>
                    <w:t>55</w:t>
                  </w:r>
                </w:p>
              </w:tc>
              <w:tc>
                <w:tcPr>
                  <w:tcW w:w="1027" w:type="dxa"/>
                  <w:vAlign w:val="center"/>
                </w:tcPr>
                <w:p>
                  <w:pPr>
                    <w:spacing w:line="260" w:lineRule="exact"/>
                    <w:jc w:val="center"/>
                    <w:rPr>
                      <w:sz w:val="18"/>
                      <w:szCs w:val="18"/>
                    </w:rPr>
                  </w:pPr>
                  <w:r>
                    <w:rPr>
                      <w:sz w:val="18"/>
                      <w:szCs w:val="18"/>
                    </w:rPr>
                    <w:t>达标</w:t>
                  </w:r>
                </w:p>
              </w:tc>
              <w:tc>
                <w:tcPr>
                  <w:tcW w:w="945" w:type="dxa"/>
                  <w:vAlign w:val="center"/>
                </w:tcPr>
                <w:p>
                  <w:pPr>
                    <w:spacing w:line="260" w:lineRule="exact"/>
                    <w:jc w:val="center"/>
                    <w:rPr>
                      <w:sz w:val="18"/>
                      <w:szCs w:val="18"/>
                    </w:rPr>
                  </w:pPr>
                  <w:r>
                    <w:rPr>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0" w:type="dxa"/>
                  <w:vAlign w:val="center"/>
                </w:tcPr>
                <w:p>
                  <w:pPr>
                    <w:widowControl/>
                    <w:spacing w:line="260" w:lineRule="exact"/>
                    <w:jc w:val="center"/>
                    <w:rPr>
                      <w:kern w:val="0"/>
                      <w:sz w:val="18"/>
                      <w:szCs w:val="18"/>
                    </w:rPr>
                  </w:pPr>
                  <w:r>
                    <w:rPr>
                      <w:rFonts w:hint="eastAsia"/>
                      <w:kern w:val="0"/>
                      <w:sz w:val="18"/>
                      <w:szCs w:val="18"/>
                      <w:lang w:val="zh-CN"/>
                    </w:rPr>
                    <w:t>配气站东北面住户外（5#）</w:t>
                  </w:r>
                </w:p>
              </w:tc>
              <w:tc>
                <w:tcPr>
                  <w:tcW w:w="1079" w:type="dxa"/>
                  <w:vAlign w:val="center"/>
                </w:tcPr>
                <w:p>
                  <w:pPr>
                    <w:spacing w:line="260" w:lineRule="exact"/>
                    <w:jc w:val="center"/>
                    <w:rPr>
                      <w:sz w:val="18"/>
                      <w:szCs w:val="18"/>
                    </w:rPr>
                  </w:pPr>
                  <w:r>
                    <w:rPr>
                      <w:rFonts w:hint="eastAsia"/>
                      <w:sz w:val="18"/>
                      <w:szCs w:val="18"/>
                    </w:rPr>
                    <w:t>2022.7.26</w:t>
                  </w:r>
                </w:p>
              </w:tc>
              <w:tc>
                <w:tcPr>
                  <w:tcW w:w="764" w:type="dxa"/>
                  <w:vAlign w:val="center"/>
                </w:tcPr>
                <w:p>
                  <w:pPr>
                    <w:spacing w:line="260" w:lineRule="exact"/>
                    <w:jc w:val="center"/>
                    <w:rPr>
                      <w:sz w:val="18"/>
                      <w:szCs w:val="18"/>
                    </w:rPr>
                  </w:pPr>
                  <w:r>
                    <w:rPr>
                      <w:rFonts w:hint="eastAsia"/>
                      <w:sz w:val="18"/>
                      <w:szCs w:val="18"/>
                    </w:rPr>
                    <w:t>44.4</w:t>
                  </w:r>
                </w:p>
              </w:tc>
              <w:tc>
                <w:tcPr>
                  <w:tcW w:w="817" w:type="dxa"/>
                  <w:vAlign w:val="center"/>
                </w:tcPr>
                <w:p>
                  <w:pPr>
                    <w:spacing w:line="260" w:lineRule="exact"/>
                    <w:jc w:val="center"/>
                    <w:rPr>
                      <w:sz w:val="18"/>
                      <w:szCs w:val="18"/>
                    </w:rPr>
                  </w:pPr>
                  <w:r>
                    <w:rPr>
                      <w:rFonts w:hint="eastAsia"/>
                      <w:sz w:val="18"/>
                      <w:szCs w:val="18"/>
                    </w:rPr>
                    <w:t>41.0</w:t>
                  </w:r>
                </w:p>
              </w:tc>
              <w:tc>
                <w:tcPr>
                  <w:tcW w:w="809" w:type="dxa"/>
                  <w:vAlign w:val="center"/>
                </w:tcPr>
                <w:p>
                  <w:pPr>
                    <w:spacing w:line="260" w:lineRule="exact"/>
                    <w:jc w:val="center"/>
                    <w:rPr>
                      <w:kern w:val="0"/>
                      <w:sz w:val="18"/>
                      <w:szCs w:val="18"/>
                    </w:rPr>
                  </w:pPr>
                  <w:r>
                    <w:rPr>
                      <w:rFonts w:hint="eastAsia"/>
                      <w:kern w:val="0"/>
                      <w:sz w:val="18"/>
                      <w:szCs w:val="18"/>
                    </w:rPr>
                    <w:t>65</w:t>
                  </w:r>
                </w:p>
              </w:tc>
              <w:tc>
                <w:tcPr>
                  <w:tcW w:w="731" w:type="dxa"/>
                  <w:vAlign w:val="center"/>
                </w:tcPr>
                <w:p>
                  <w:pPr>
                    <w:spacing w:line="260" w:lineRule="exact"/>
                    <w:jc w:val="center"/>
                    <w:rPr>
                      <w:kern w:val="0"/>
                      <w:sz w:val="18"/>
                      <w:szCs w:val="18"/>
                    </w:rPr>
                  </w:pPr>
                  <w:r>
                    <w:rPr>
                      <w:rFonts w:hint="eastAsia"/>
                      <w:kern w:val="0"/>
                      <w:sz w:val="18"/>
                      <w:szCs w:val="18"/>
                    </w:rPr>
                    <w:t>55</w:t>
                  </w:r>
                </w:p>
              </w:tc>
              <w:tc>
                <w:tcPr>
                  <w:tcW w:w="1027" w:type="dxa"/>
                  <w:vAlign w:val="center"/>
                </w:tcPr>
                <w:p>
                  <w:pPr>
                    <w:spacing w:line="260" w:lineRule="exact"/>
                    <w:jc w:val="center"/>
                    <w:rPr>
                      <w:sz w:val="18"/>
                      <w:szCs w:val="18"/>
                    </w:rPr>
                  </w:pPr>
                  <w:r>
                    <w:rPr>
                      <w:sz w:val="18"/>
                      <w:szCs w:val="18"/>
                    </w:rPr>
                    <w:t>达标</w:t>
                  </w:r>
                </w:p>
              </w:tc>
              <w:tc>
                <w:tcPr>
                  <w:tcW w:w="945" w:type="dxa"/>
                  <w:vAlign w:val="center"/>
                </w:tcPr>
                <w:p>
                  <w:pPr>
                    <w:spacing w:line="260" w:lineRule="exact"/>
                    <w:jc w:val="center"/>
                    <w:rPr>
                      <w:sz w:val="18"/>
                      <w:szCs w:val="18"/>
                    </w:rPr>
                  </w:pPr>
                  <w:r>
                    <w:rPr>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0" w:type="dxa"/>
                  <w:vAlign w:val="center"/>
                </w:tcPr>
                <w:p>
                  <w:pPr>
                    <w:spacing w:line="260" w:lineRule="exact"/>
                    <w:jc w:val="center"/>
                    <w:rPr>
                      <w:kern w:val="0"/>
                      <w:sz w:val="18"/>
                      <w:szCs w:val="18"/>
                    </w:rPr>
                  </w:pPr>
                  <w:r>
                    <w:rPr>
                      <w:rFonts w:hint="eastAsia"/>
                      <w:kern w:val="0"/>
                      <w:sz w:val="18"/>
                      <w:szCs w:val="18"/>
                      <w:lang w:val="zh-CN"/>
                    </w:rPr>
                    <w:t>管线工程#A44北面住户外（6#）</w:t>
                  </w:r>
                </w:p>
              </w:tc>
              <w:tc>
                <w:tcPr>
                  <w:tcW w:w="1079" w:type="dxa"/>
                  <w:vAlign w:val="center"/>
                </w:tcPr>
                <w:p>
                  <w:pPr>
                    <w:spacing w:line="260" w:lineRule="exact"/>
                    <w:jc w:val="center"/>
                    <w:rPr>
                      <w:sz w:val="18"/>
                      <w:szCs w:val="18"/>
                    </w:rPr>
                  </w:pPr>
                  <w:r>
                    <w:rPr>
                      <w:rFonts w:hint="eastAsia"/>
                      <w:sz w:val="18"/>
                      <w:szCs w:val="18"/>
                    </w:rPr>
                    <w:t>2022.7.28</w:t>
                  </w:r>
                </w:p>
              </w:tc>
              <w:tc>
                <w:tcPr>
                  <w:tcW w:w="764" w:type="dxa"/>
                  <w:vAlign w:val="center"/>
                </w:tcPr>
                <w:p>
                  <w:pPr>
                    <w:spacing w:line="260" w:lineRule="exact"/>
                    <w:jc w:val="center"/>
                    <w:rPr>
                      <w:sz w:val="18"/>
                      <w:szCs w:val="18"/>
                    </w:rPr>
                  </w:pPr>
                  <w:r>
                    <w:rPr>
                      <w:rFonts w:hint="eastAsia"/>
                      <w:sz w:val="18"/>
                      <w:szCs w:val="18"/>
                    </w:rPr>
                    <w:t>53.0</w:t>
                  </w:r>
                </w:p>
              </w:tc>
              <w:tc>
                <w:tcPr>
                  <w:tcW w:w="817" w:type="dxa"/>
                  <w:vAlign w:val="center"/>
                </w:tcPr>
                <w:p>
                  <w:pPr>
                    <w:spacing w:line="260" w:lineRule="exact"/>
                    <w:jc w:val="center"/>
                    <w:rPr>
                      <w:sz w:val="18"/>
                      <w:szCs w:val="18"/>
                    </w:rPr>
                  </w:pPr>
                  <w:r>
                    <w:rPr>
                      <w:rFonts w:hint="eastAsia"/>
                      <w:sz w:val="18"/>
                      <w:szCs w:val="18"/>
                    </w:rPr>
                    <w:t>42.3</w:t>
                  </w:r>
                </w:p>
              </w:tc>
              <w:tc>
                <w:tcPr>
                  <w:tcW w:w="809" w:type="dxa"/>
                  <w:vAlign w:val="center"/>
                </w:tcPr>
                <w:p>
                  <w:pPr>
                    <w:widowControl/>
                    <w:spacing w:line="260" w:lineRule="exact"/>
                    <w:jc w:val="center"/>
                    <w:rPr>
                      <w:kern w:val="0"/>
                      <w:sz w:val="18"/>
                      <w:szCs w:val="18"/>
                    </w:rPr>
                  </w:pPr>
                  <w:r>
                    <w:rPr>
                      <w:rFonts w:hint="eastAsia"/>
                      <w:kern w:val="0"/>
                      <w:sz w:val="18"/>
                      <w:szCs w:val="18"/>
                    </w:rPr>
                    <w:t>60</w:t>
                  </w:r>
                </w:p>
              </w:tc>
              <w:tc>
                <w:tcPr>
                  <w:tcW w:w="731" w:type="dxa"/>
                  <w:vAlign w:val="center"/>
                </w:tcPr>
                <w:p>
                  <w:pPr>
                    <w:widowControl/>
                    <w:spacing w:line="260" w:lineRule="exact"/>
                    <w:jc w:val="center"/>
                    <w:rPr>
                      <w:kern w:val="0"/>
                      <w:sz w:val="18"/>
                      <w:szCs w:val="18"/>
                    </w:rPr>
                  </w:pPr>
                  <w:r>
                    <w:rPr>
                      <w:rFonts w:hint="eastAsia"/>
                      <w:kern w:val="0"/>
                      <w:sz w:val="18"/>
                      <w:szCs w:val="18"/>
                    </w:rPr>
                    <w:t>50</w:t>
                  </w:r>
                </w:p>
              </w:tc>
              <w:tc>
                <w:tcPr>
                  <w:tcW w:w="1027" w:type="dxa"/>
                  <w:vAlign w:val="center"/>
                </w:tcPr>
                <w:p>
                  <w:pPr>
                    <w:spacing w:line="260" w:lineRule="exact"/>
                    <w:jc w:val="center"/>
                    <w:rPr>
                      <w:sz w:val="18"/>
                      <w:szCs w:val="18"/>
                    </w:rPr>
                  </w:pPr>
                  <w:r>
                    <w:rPr>
                      <w:sz w:val="18"/>
                      <w:szCs w:val="18"/>
                    </w:rPr>
                    <w:t>达标</w:t>
                  </w:r>
                </w:p>
              </w:tc>
              <w:tc>
                <w:tcPr>
                  <w:tcW w:w="945" w:type="dxa"/>
                  <w:vAlign w:val="center"/>
                </w:tcPr>
                <w:p>
                  <w:pPr>
                    <w:spacing w:line="260" w:lineRule="exact"/>
                    <w:jc w:val="center"/>
                    <w:rPr>
                      <w:sz w:val="18"/>
                      <w:szCs w:val="18"/>
                    </w:rPr>
                  </w:pPr>
                  <w:r>
                    <w:rPr>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0" w:type="dxa"/>
                  <w:vAlign w:val="center"/>
                </w:tcPr>
                <w:p>
                  <w:pPr>
                    <w:spacing w:line="260" w:lineRule="exact"/>
                    <w:jc w:val="center"/>
                    <w:rPr>
                      <w:kern w:val="0"/>
                      <w:sz w:val="18"/>
                      <w:szCs w:val="18"/>
                    </w:rPr>
                  </w:pPr>
                  <w:r>
                    <w:rPr>
                      <w:rFonts w:hint="eastAsia"/>
                      <w:kern w:val="0"/>
                      <w:sz w:val="18"/>
                      <w:szCs w:val="18"/>
                      <w:lang w:val="zh-CN"/>
                    </w:rPr>
                    <w:t>管线工程#A49南面住户外（7#）</w:t>
                  </w:r>
                </w:p>
              </w:tc>
              <w:tc>
                <w:tcPr>
                  <w:tcW w:w="1079" w:type="dxa"/>
                  <w:vAlign w:val="center"/>
                </w:tcPr>
                <w:p>
                  <w:pPr>
                    <w:spacing w:line="260" w:lineRule="exact"/>
                    <w:jc w:val="center"/>
                    <w:rPr>
                      <w:sz w:val="18"/>
                      <w:szCs w:val="18"/>
                    </w:rPr>
                  </w:pPr>
                  <w:r>
                    <w:rPr>
                      <w:rFonts w:hint="eastAsia"/>
                      <w:sz w:val="18"/>
                      <w:szCs w:val="18"/>
                    </w:rPr>
                    <w:t>2022.7.26</w:t>
                  </w:r>
                </w:p>
              </w:tc>
              <w:tc>
                <w:tcPr>
                  <w:tcW w:w="764" w:type="dxa"/>
                  <w:vAlign w:val="center"/>
                </w:tcPr>
                <w:p>
                  <w:pPr>
                    <w:spacing w:line="260" w:lineRule="exact"/>
                    <w:jc w:val="center"/>
                    <w:rPr>
                      <w:sz w:val="18"/>
                      <w:szCs w:val="18"/>
                    </w:rPr>
                  </w:pPr>
                  <w:r>
                    <w:rPr>
                      <w:rFonts w:hint="eastAsia"/>
                      <w:sz w:val="18"/>
                      <w:szCs w:val="18"/>
                    </w:rPr>
                    <w:t>46.3</w:t>
                  </w:r>
                </w:p>
              </w:tc>
              <w:tc>
                <w:tcPr>
                  <w:tcW w:w="817" w:type="dxa"/>
                  <w:vAlign w:val="center"/>
                </w:tcPr>
                <w:p>
                  <w:pPr>
                    <w:spacing w:line="260" w:lineRule="exact"/>
                    <w:jc w:val="center"/>
                    <w:rPr>
                      <w:sz w:val="18"/>
                      <w:szCs w:val="18"/>
                    </w:rPr>
                  </w:pPr>
                  <w:r>
                    <w:rPr>
                      <w:rFonts w:hint="eastAsia"/>
                      <w:sz w:val="18"/>
                      <w:szCs w:val="18"/>
                    </w:rPr>
                    <w:t>40.1</w:t>
                  </w:r>
                </w:p>
              </w:tc>
              <w:tc>
                <w:tcPr>
                  <w:tcW w:w="809" w:type="dxa"/>
                  <w:vAlign w:val="center"/>
                </w:tcPr>
                <w:p>
                  <w:pPr>
                    <w:widowControl/>
                    <w:spacing w:line="260" w:lineRule="exact"/>
                    <w:jc w:val="center"/>
                    <w:rPr>
                      <w:kern w:val="0"/>
                      <w:sz w:val="18"/>
                      <w:szCs w:val="18"/>
                    </w:rPr>
                  </w:pPr>
                  <w:r>
                    <w:rPr>
                      <w:rFonts w:hint="eastAsia"/>
                      <w:kern w:val="0"/>
                      <w:sz w:val="18"/>
                      <w:szCs w:val="18"/>
                    </w:rPr>
                    <w:t>60</w:t>
                  </w:r>
                </w:p>
              </w:tc>
              <w:tc>
                <w:tcPr>
                  <w:tcW w:w="731" w:type="dxa"/>
                  <w:vAlign w:val="center"/>
                </w:tcPr>
                <w:p>
                  <w:pPr>
                    <w:widowControl/>
                    <w:spacing w:line="260" w:lineRule="exact"/>
                    <w:jc w:val="center"/>
                    <w:rPr>
                      <w:kern w:val="0"/>
                      <w:sz w:val="18"/>
                      <w:szCs w:val="18"/>
                    </w:rPr>
                  </w:pPr>
                  <w:r>
                    <w:rPr>
                      <w:rFonts w:hint="eastAsia"/>
                      <w:kern w:val="0"/>
                      <w:sz w:val="18"/>
                      <w:szCs w:val="18"/>
                    </w:rPr>
                    <w:t>50</w:t>
                  </w:r>
                </w:p>
              </w:tc>
              <w:tc>
                <w:tcPr>
                  <w:tcW w:w="1027" w:type="dxa"/>
                  <w:vAlign w:val="center"/>
                </w:tcPr>
                <w:p>
                  <w:pPr>
                    <w:spacing w:line="260" w:lineRule="exact"/>
                    <w:jc w:val="center"/>
                    <w:rPr>
                      <w:sz w:val="18"/>
                      <w:szCs w:val="18"/>
                    </w:rPr>
                  </w:pPr>
                  <w:r>
                    <w:rPr>
                      <w:sz w:val="18"/>
                      <w:szCs w:val="18"/>
                    </w:rPr>
                    <w:t>达标</w:t>
                  </w:r>
                </w:p>
              </w:tc>
              <w:tc>
                <w:tcPr>
                  <w:tcW w:w="945" w:type="dxa"/>
                  <w:vAlign w:val="center"/>
                </w:tcPr>
                <w:p>
                  <w:pPr>
                    <w:spacing w:line="260" w:lineRule="exact"/>
                    <w:jc w:val="center"/>
                    <w:rPr>
                      <w:sz w:val="18"/>
                      <w:szCs w:val="18"/>
                    </w:rPr>
                  </w:pPr>
                  <w:r>
                    <w:rPr>
                      <w:sz w:val="18"/>
                      <w:szCs w:val="18"/>
                    </w:rPr>
                    <w:t>达标</w:t>
                  </w:r>
                </w:p>
              </w:tc>
            </w:tr>
          </w:tbl>
          <w:p>
            <w:pPr>
              <w:autoSpaceDE w:val="0"/>
              <w:autoSpaceDN w:val="0"/>
              <w:adjustRightInd w:val="0"/>
              <w:spacing w:line="380" w:lineRule="exact"/>
              <w:ind w:firstLine="420" w:firstLineChars="200"/>
              <w:rPr>
                <w:kern w:val="0"/>
                <w:lang w:val="zh-CN"/>
              </w:rPr>
            </w:pPr>
            <w:r>
              <w:rPr>
                <w:rFonts w:hint="eastAsia"/>
                <w:kern w:val="0"/>
                <w:lang w:val="zh-CN"/>
              </w:rPr>
              <w:t>由上表评价结果可知，项目区1#~5#噪声监测点位的噪声值</w:t>
            </w:r>
            <w:r>
              <w:rPr>
                <w:kern w:val="0"/>
                <w:lang w:val="zh-CN"/>
              </w:rPr>
              <w:t>能够满足《声环境质量标准》（GB3096-2008）中的</w:t>
            </w:r>
            <w:r>
              <w:rPr>
                <w:rFonts w:hint="eastAsia"/>
                <w:kern w:val="0"/>
                <w:lang w:val="zh-CN"/>
              </w:rPr>
              <w:t>3</w:t>
            </w:r>
            <w:r>
              <w:rPr>
                <w:kern w:val="0"/>
                <w:lang w:val="zh-CN"/>
              </w:rPr>
              <w:t>类区标准；</w:t>
            </w:r>
            <w:r>
              <w:rPr>
                <w:rFonts w:hint="eastAsia"/>
                <w:kern w:val="0"/>
                <w:lang w:val="zh-CN"/>
              </w:rPr>
              <w:t>6#~7#噪声监测点位的噪声值能够满足</w:t>
            </w:r>
            <w:r>
              <w:rPr>
                <w:kern w:val="0"/>
                <w:lang w:val="zh-CN"/>
              </w:rPr>
              <w:t>《声环境质量标准》（GB3096-2008）中的</w:t>
            </w:r>
            <w:r>
              <w:rPr>
                <w:rFonts w:hint="eastAsia"/>
                <w:kern w:val="0"/>
                <w:lang w:val="zh-CN"/>
              </w:rPr>
              <w:t>2</w:t>
            </w:r>
            <w:r>
              <w:rPr>
                <w:kern w:val="0"/>
                <w:lang w:val="zh-CN"/>
              </w:rPr>
              <w:t>类区标准</w:t>
            </w:r>
            <w:r>
              <w:rPr>
                <w:rFonts w:hint="eastAsia"/>
                <w:kern w:val="0"/>
                <w:lang w:val="zh-CN"/>
              </w:rPr>
              <w:t>。项目区域声环境质量现状良好。</w:t>
            </w:r>
          </w:p>
          <w:p>
            <w:pPr>
              <w:autoSpaceDE w:val="0"/>
              <w:autoSpaceDN w:val="0"/>
              <w:adjustRightInd w:val="0"/>
              <w:spacing w:line="380" w:lineRule="exact"/>
              <w:rPr>
                <w:b/>
                <w:kern w:val="0"/>
                <w:lang w:val="zh-CN"/>
              </w:rPr>
            </w:pPr>
            <w:r>
              <w:rPr>
                <w:rFonts w:hint="eastAsia"/>
                <w:b/>
                <w:kern w:val="0"/>
                <w:lang w:val="zh-CN"/>
              </w:rPr>
              <w:t>五、土壤环境</w:t>
            </w:r>
          </w:p>
          <w:p>
            <w:pPr>
              <w:autoSpaceDE w:val="0"/>
              <w:autoSpaceDN w:val="0"/>
              <w:adjustRightInd w:val="0"/>
              <w:spacing w:line="380" w:lineRule="exact"/>
              <w:ind w:firstLine="420" w:firstLineChars="200"/>
              <w:rPr>
                <w:kern w:val="0"/>
                <w:lang w:val="zh-CN"/>
              </w:rPr>
            </w:pPr>
            <w:r>
              <w:rPr>
                <w:rFonts w:hint="eastAsia"/>
                <w:kern w:val="0"/>
                <w:lang w:val="zh-CN"/>
              </w:rPr>
              <w:t>根据《环境影响评价技术导则 土壤环境》 (HJ964-2018)附录A，本项目属于“交通运输仓储邮政业”中的其他，属于IV类，根据导则中4.2.2，IV类建设项目可不开展土壤环境影响评价:自身为敏感目标的建设项目，可根据需要仅对土壤环境现状进行调查。本项目不属于敏感目标，无需开展土壤环境影响评价工作。</w:t>
            </w:r>
          </w:p>
          <w:p>
            <w:pPr>
              <w:autoSpaceDE w:val="0"/>
              <w:autoSpaceDN w:val="0"/>
              <w:adjustRightInd w:val="0"/>
              <w:spacing w:line="380" w:lineRule="exact"/>
              <w:rPr>
                <w:b/>
                <w:kern w:val="0"/>
                <w:lang w:val="zh-CN"/>
              </w:rPr>
            </w:pPr>
            <w:r>
              <w:rPr>
                <w:rFonts w:hint="eastAsia"/>
                <w:b/>
                <w:kern w:val="0"/>
                <w:lang w:val="zh-CN"/>
              </w:rPr>
              <w:t>六、地下水环境</w:t>
            </w:r>
          </w:p>
          <w:p>
            <w:pPr>
              <w:autoSpaceDE w:val="0"/>
              <w:autoSpaceDN w:val="0"/>
              <w:adjustRightInd w:val="0"/>
              <w:spacing w:line="380" w:lineRule="exact"/>
              <w:ind w:firstLine="420" w:firstLineChars="200"/>
              <w:rPr>
                <w:kern w:val="0"/>
                <w:lang w:val="zh-CN"/>
              </w:rPr>
            </w:pPr>
            <w:r>
              <w:rPr>
                <w:rFonts w:hint="eastAsia"/>
                <w:kern w:val="0"/>
                <w:lang w:val="zh-CN"/>
              </w:rPr>
              <w:t>根据《环境影响评价技术导则 地下水环境》 (HJ610-2016)附录A，本项目属于F石油、天然气中的“41、石油、天然气、成品油管线 (不含城市天然气管线)”，地下水环境影响评价项目类别为IV类。由地下水环境导则4.1,IV类建设项目不开展地下水环境影响评价工作。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9" w:type="dxa"/>
            <w:vAlign w:val="center"/>
          </w:tcPr>
          <w:p>
            <w:pPr>
              <w:adjustRightInd w:val="0"/>
              <w:snapToGrid w:val="0"/>
              <w:spacing w:line="240" w:lineRule="exact"/>
              <w:jc w:val="center"/>
              <w:rPr>
                <w:rFonts w:ascii="宋体" w:hAnsi="宋体" w:cs="宋体"/>
                <w:kern w:val="0"/>
                <w:szCs w:val="21"/>
              </w:rPr>
            </w:pPr>
            <w:r>
              <w:rPr>
                <w:rFonts w:hint="eastAsia" w:ascii="宋体" w:hAnsi="宋体"/>
                <w:bCs/>
                <w:szCs w:val="21"/>
              </w:rPr>
              <w:t>与项目有关的原有环境污染和生态破坏问题</w:t>
            </w:r>
          </w:p>
        </w:tc>
        <w:tc>
          <w:tcPr>
            <w:tcW w:w="8253" w:type="dxa"/>
            <w:vAlign w:val="center"/>
          </w:tcPr>
          <w:p>
            <w:pPr>
              <w:adjustRightInd w:val="0"/>
              <w:snapToGrid w:val="0"/>
              <w:ind w:firstLine="420" w:firstLineChars="200"/>
              <w:jc w:val="left"/>
              <w:rPr>
                <w:rFonts w:ascii="宋体" w:hAnsi="宋体" w:cs="宋体"/>
                <w:kern w:val="0"/>
                <w:szCs w:val="21"/>
              </w:rPr>
            </w:pPr>
            <w:r>
              <w:rPr>
                <w:rFonts w:hint="eastAsia" w:ascii="宋体" w:hAnsi="宋体" w:cs="宋体"/>
                <w:kern w:val="0"/>
                <w:szCs w:val="21"/>
              </w:rPr>
              <w:t>本项目为新建项目，不存在原有污染情况及主要环境问题。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669"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生态环境保护目标</w:t>
            </w:r>
          </w:p>
        </w:tc>
        <w:tc>
          <w:tcPr>
            <w:tcW w:w="8253" w:type="dxa"/>
            <w:vAlign w:val="center"/>
          </w:tcPr>
          <w:p>
            <w:pPr>
              <w:spacing w:line="400" w:lineRule="exact"/>
              <w:rPr>
                <w:rFonts w:eastAsia="黑体"/>
                <w:lang w:val="zh-CN"/>
              </w:rPr>
            </w:pPr>
            <w:r>
              <w:rPr>
                <w:rFonts w:hint="eastAsia" w:eastAsia="黑体"/>
              </w:rPr>
              <w:t>1、</w:t>
            </w:r>
            <w:r>
              <w:rPr>
                <w:rFonts w:hint="eastAsia" w:eastAsia="黑体"/>
                <w:lang w:val="zh-CN"/>
              </w:rPr>
              <w:t>评价范围</w:t>
            </w:r>
          </w:p>
          <w:p>
            <w:pPr>
              <w:spacing w:line="400" w:lineRule="exact"/>
              <w:ind w:firstLine="420" w:firstLineChars="200"/>
            </w:pPr>
            <w:r>
              <w:rPr>
                <w:rFonts w:hint="eastAsia"/>
              </w:rPr>
              <w:t>根据项目污染物排放特点及当地气象条件、自然环境状况确定各环境要素</w:t>
            </w:r>
            <w:r>
              <w:t>评价范围</w:t>
            </w:r>
            <w:r>
              <w:rPr>
                <w:rFonts w:hint="eastAsia"/>
              </w:rPr>
              <w:t>，</w:t>
            </w:r>
            <w:r>
              <w:t>详见</w:t>
            </w:r>
            <w:r>
              <w:rPr>
                <w:rFonts w:hint="eastAsia"/>
              </w:rPr>
              <w:t>下</w:t>
            </w:r>
            <w:r>
              <w:t>表。</w:t>
            </w:r>
          </w:p>
          <w:p>
            <w:pPr>
              <w:spacing w:line="400" w:lineRule="exact"/>
              <w:jc w:val="center"/>
              <w:rPr>
                <w:rFonts w:eastAsia="黑体"/>
                <w:sz w:val="18"/>
              </w:rPr>
            </w:pPr>
            <w:r>
              <w:rPr>
                <w:rFonts w:eastAsia="黑体"/>
                <w:sz w:val="18"/>
              </w:rPr>
              <w:t>表</w:t>
            </w:r>
            <w:r>
              <w:rPr>
                <w:rFonts w:hint="eastAsia" w:eastAsia="黑体"/>
                <w:sz w:val="18"/>
              </w:rPr>
              <w:t>3-7</w:t>
            </w:r>
            <w:r>
              <w:rPr>
                <w:rFonts w:eastAsia="黑体"/>
                <w:sz w:val="18"/>
              </w:rPr>
              <w:t xml:space="preserve">    项目评价范围表</w:t>
            </w:r>
          </w:p>
          <w:tbl>
            <w:tblPr>
              <w:tblStyle w:val="17"/>
              <w:tblW w:w="7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5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jc w:val="center"/>
              </w:trPr>
              <w:tc>
                <w:tcPr>
                  <w:tcW w:w="1277" w:type="dxa"/>
                  <w:vAlign w:val="center"/>
                </w:tcPr>
                <w:p>
                  <w:pPr>
                    <w:adjustRightInd w:val="0"/>
                    <w:snapToGrid w:val="0"/>
                    <w:spacing w:line="320" w:lineRule="exact"/>
                    <w:jc w:val="center"/>
                    <w:rPr>
                      <w:b/>
                      <w:bCs/>
                      <w:sz w:val="18"/>
                      <w:szCs w:val="21"/>
                    </w:rPr>
                  </w:pPr>
                  <w:r>
                    <w:rPr>
                      <w:b/>
                      <w:bCs/>
                      <w:sz w:val="18"/>
                      <w:szCs w:val="21"/>
                    </w:rPr>
                    <w:t>环境要素</w:t>
                  </w:r>
                </w:p>
              </w:tc>
              <w:tc>
                <w:tcPr>
                  <w:tcW w:w="5969" w:type="dxa"/>
                  <w:vAlign w:val="center"/>
                </w:tcPr>
                <w:p>
                  <w:pPr>
                    <w:adjustRightInd w:val="0"/>
                    <w:snapToGrid w:val="0"/>
                    <w:spacing w:line="320" w:lineRule="exact"/>
                    <w:jc w:val="center"/>
                    <w:rPr>
                      <w:b/>
                      <w:bCs/>
                      <w:sz w:val="18"/>
                      <w:szCs w:val="21"/>
                    </w:rPr>
                  </w:pPr>
                  <w:r>
                    <w:rPr>
                      <w:b/>
                      <w:bCs/>
                      <w:sz w:val="18"/>
                      <w:szCs w:val="21"/>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jc w:val="center"/>
              </w:trPr>
              <w:tc>
                <w:tcPr>
                  <w:tcW w:w="1277" w:type="dxa"/>
                  <w:vAlign w:val="center"/>
                </w:tcPr>
                <w:p>
                  <w:pPr>
                    <w:adjustRightInd w:val="0"/>
                    <w:snapToGrid w:val="0"/>
                    <w:spacing w:line="320" w:lineRule="exact"/>
                    <w:jc w:val="center"/>
                    <w:rPr>
                      <w:sz w:val="18"/>
                      <w:szCs w:val="21"/>
                    </w:rPr>
                  </w:pPr>
                  <w:r>
                    <w:rPr>
                      <w:sz w:val="18"/>
                      <w:szCs w:val="21"/>
                    </w:rPr>
                    <w:t>大气</w:t>
                  </w:r>
                </w:p>
              </w:tc>
              <w:tc>
                <w:tcPr>
                  <w:tcW w:w="5969" w:type="dxa"/>
                  <w:vAlign w:val="center"/>
                </w:tcPr>
                <w:p>
                  <w:pPr>
                    <w:adjustRightInd w:val="0"/>
                    <w:snapToGrid w:val="0"/>
                    <w:spacing w:line="320" w:lineRule="exact"/>
                    <w:rPr>
                      <w:sz w:val="18"/>
                      <w:szCs w:val="21"/>
                    </w:rPr>
                  </w:pPr>
                  <w:r>
                    <w:rPr>
                      <w:sz w:val="18"/>
                      <w:szCs w:val="21"/>
                    </w:rPr>
                    <w:t>边长</w:t>
                  </w:r>
                  <w:r>
                    <w:rPr>
                      <w:rFonts w:hint="eastAsia"/>
                      <w:sz w:val="18"/>
                      <w:szCs w:val="21"/>
                    </w:rPr>
                    <w:t>5000</w:t>
                  </w:r>
                  <w:r>
                    <w:rPr>
                      <w:sz w:val="18"/>
                      <w:szCs w:val="21"/>
                    </w:rPr>
                    <w:t>m的矩形区域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jc w:val="center"/>
              </w:trPr>
              <w:tc>
                <w:tcPr>
                  <w:tcW w:w="1277" w:type="dxa"/>
                  <w:vAlign w:val="center"/>
                </w:tcPr>
                <w:p>
                  <w:pPr>
                    <w:adjustRightInd w:val="0"/>
                    <w:snapToGrid w:val="0"/>
                    <w:spacing w:line="320" w:lineRule="exact"/>
                    <w:jc w:val="center"/>
                    <w:rPr>
                      <w:sz w:val="18"/>
                      <w:szCs w:val="21"/>
                    </w:rPr>
                  </w:pPr>
                  <w:r>
                    <w:rPr>
                      <w:sz w:val="18"/>
                      <w:szCs w:val="21"/>
                    </w:rPr>
                    <w:t>地表水</w:t>
                  </w:r>
                </w:p>
              </w:tc>
              <w:tc>
                <w:tcPr>
                  <w:tcW w:w="5969" w:type="dxa"/>
                  <w:vAlign w:val="center"/>
                </w:tcPr>
                <w:p>
                  <w:pPr>
                    <w:adjustRightInd w:val="0"/>
                    <w:snapToGrid w:val="0"/>
                    <w:spacing w:line="320" w:lineRule="exact"/>
                    <w:rPr>
                      <w:sz w:val="18"/>
                      <w:szCs w:val="21"/>
                    </w:rPr>
                  </w:pPr>
                  <w:r>
                    <w:rPr>
                      <w:rFonts w:hint="eastAsia"/>
                      <w:sz w:val="18"/>
                      <w:szCs w:val="21"/>
                    </w:rPr>
                    <w:t>应满足其依托污水处理设施环境可行性的要求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jc w:val="center"/>
              </w:trPr>
              <w:tc>
                <w:tcPr>
                  <w:tcW w:w="1277" w:type="dxa"/>
                  <w:vAlign w:val="center"/>
                </w:tcPr>
                <w:p>
                  <w:pPr>
                    <w:adjustRightInd w:val="0"/>
                    <w:snapToGrid w:val="0"/>
                    <w:spacing w:line="320" w:lineRule="exact"/>
                    <w:jc w:val="center"/>
                    <w:rPr>
                      <w:sz w:val="18"/>
                      <w:szCs w:val="21"/>
                    </w:rPr>
                  </w:pPr>
                  <w:r>
                    <w:rPr>
                      <w:sz w:val="18"/>
                      <w:szCs w:val="21"/>
                    </w:rPr>
                    <w:t>地下水</w:t>
                  </w:r>
                </w:p>
              </w:tc>
              <w:tc>
                <w:tcPr>
                  <w:tcW w:w="5969" w:type="dxa"/>
                  <w:vAlign w:val="center"/>
                </w:tcPr>
                <w:p>
                  <w:pPr>
                    <w:adjustRightInd w:val="0"/>
                    <w:snapToGrid w:val="0"/>
                    <w:spacing w:line="320" w:lineRule="exact"/>
                    <w:rPr>
                      <w:sz w:val="18"/>
                      <w:szCs w:val="21"/>
                    </w:rPr>
                  </w:pPr>
                  <w:r>
                    <w:rPr>
                      <w:sz w:val="18"/>
                      <w:szCs w:val="21"/>
                    </w:rPr>
                    <w:t>不开展地下水环境影响评价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jc w:val="center"/>
              </w:trPr>
              <w:tc>
                <w:tcPr>
                  <w:tcW w:w="1277" w:type="dxa"/>
                  <w:vAlign w:val="center"/>
                </w:tcPr>
                <w:p>
                  <w:pPr>
                    <w:adjustRightInd w:val="0"/>
                    <w:snapToGrid w:val="0"/>
                    <w:spacing w:line="320" w:lineRule="exact"/>
                    <w:jc w:val="center"/>
                    <w:rPr>
                      <w:sz w:val="18"/>
                      <w:szCs w:val="21"/>
                    </w:rPr>
                  </w:pPr>
                  <w:r>
                    <w:rPr>
                      <w:sz w:val="18"/>
                      <w:szCs w:val="21"/>
                    </w:rPr>
                    <w:t>噪声</w:t>
                  </w:r>
                </w:p>
              </w:tc>
              <w:tc>
                <w:tcPr>
                  <w:tcW w:w="5969" w:type="dxa"/>
                  <w:vAlign w:val="center"/>
                </w:tcPr>
                <w:p>
                  <w:pPr>
                    <w:adjustRightInd w:val="0"/>
                    <w:snapToGrid w:val="0"/>
                    <w:spacing w:line="320" w:lineRule="exact"/>
                    <w:rPr>
                      <w:sz w:val="18"/>
                      <w:szCs w:val="21"/>
                    </w:rPr>
                  </w:pPr>
                  <w:r>
                    <w:rPr>
                      <w:sz w:val="18"/>
                      <w:szCs w:val="21"/>
                    </w:rPr>
                    <w:t>本项目场界及</w:t>
                  </w:r>
                  <w:r>
                    <w:rPr>
                      <w:rFonts w:hint="eastAsia"/>
                      <w:sz w:val="18"/>
                      <w:szCs w:val="21"/>
                    </w:rPr>
                    <w:t>200</w:t>
                  </w:r>
                  <w:r>
                    <w:rPr>
                      <w:sz w:val="18"/>
                      <w:szCs w:val="21"/>
                    </w:rPr>
                    <w:t>m范围内的噪声敏感点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jc w:val="center"/>
              </w:trPr>
              <w:tc>
                <w:tcPr>
                  <w:tcW w:w="1277" w:type="dxa"/>
                  <w:vAlign w:val="center"/>
                </w:tcPr>
                <w:p>
                  <w:pPr>
                    <w:adjustRightInd w:val="0"/>
                    <w:snapToGrid w:val="0"/>
                    <w:spacing w:line="320" w:lineRule="exact"/>
                    <w:jc w:val="center"/>
                    <w:rPr>
                      <w:sz w:val="18"/>
                      <w:szCs w:val="21"/>
                    </w:rPr>
                  </w:pPr>
                  <w:r>
                    <w:rPr>
                      <w:sz w:val="18"/>
                      <w:szCs w:val="21"/>
                    </w:rPr>
                    <w:t>土壤</w:t>
                  </w:r>
                </w:p>
              </w:tc>
              <w:tc>
                <w:tcPr>
                  <w:tcW w:w="5969" w:type="dxa"/>
                  <w:vAlign w:val="center"/>
                </w:tcPr>
                <w:p>
                  <w:pPr>
                    <w:adjustRightInd w:val="0"/>
                    <w:snapToGrid w:val="0"/>
                    <w:spacing w:line="320" w:lineRule="exact"/>
                    <w:rPr>
                      <w:sz w:val="18"/>
                      <w:szCs w:val="21"/>
                    </w:rPr>
                  </w:pPr>
                  <w:r>
                    <w:rPr>
                      <w:sz w:val="18"/>
                      <w:szCs w:val="21"/>
                    </w:rPr>
                    <w:t>不开展土壤环境影响评价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jc w:val="center"/>
              </w:trPr>
              <w:tc>
                <w:tcPr>
                  <w:tcW w:w="1277" w:type="dxa"/>
                  <w:vAlign w:val="center"/>
                </w:tcPr>
                <w:p>
                  <w:pPr>
                    <w:adjustRightInd w:val="0"/>
                    <w:snapToGrid w:val="0"/>
                    <w:spacing w:line="320" w:lineRule="exact"/>
                    <w:jc w:val="center"/>
                    <w:rPr>
                      <w:sz w:val="18"/>
                      <w:szCs w:val="21"/>
                    </w:rPr>
                  </w:pPr>
                  <w:r>
                    <w:rPr>
                      <w:sz w:val="18"/>
                      <w:szCs w:val="21"/>
                    </w:rPr>
                    <w:t>生态</w:t>
                  </w:r>
                </w:p>
              </w:tc>
              <w:tc>
                <w:tcPr>
                  <w:tcW w:w="5969" w:type="dxa"/>
                  <w:vAlign w:val="center"/>
                </w:tcPr>
                <w:p>
                  <w:pPr>
                    <w:adjustRightInd w:val="0"/>
                    <w:snapToGrid w:val="0"/>
                    <w:spacing w:line="320" w:lineRule="exact"/>
                    <w:rPr>
                      <w:sz w:val="18"/>
                      <w:szCs w:val="21"/>
                    </w:rPr>
                  </w:pPr>
                  <w:r>
                    <w:rPr>
                      <w:rFonts w:hint="eastAsia"/>
                      <w:sz w:val="18"/>
                      <w:szCs w:val="21"/>
                    </w:rPr>
                    <w:t>管线工程中心线两侧外延300m范围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 w:hRule="atLeast"/>
                <w:jc w:val="center"/>
              </w:trPr>
              <w:tc>
                <w:tcPr>
                  <w:tcW w:w="1277" w:type="dxa"/>
                  <w:vAlign w:val="center"/>
                </w:tcPr>
                <w:p>
                  <w:pPr>
                    <w:adjustRightInd w:val="0"/>
                    <w:snapToGrid w:val="0"/>
                    <w:spacing w:line="320" w:lineRule="exact"/>
                    <w:jc w:val="center"/>
                    <w:rPr>
                      <w:sz w:val="18"/>
                      <w:szCs w:val="21"/>
                    </w:rPr>
                  </w:pPr>
                  <w:r>
                    <w:rPr>
                      <w:sz w:val="18"/>
                      <w:szCs w:val="21"/>
                    </w:rPr>
                    <w:t>环境风险</w:t>
                  </w:r>
                </w:p>
              </w:tc>
              <w:tc>
                <w:tcPr>
                  <w:tcW w:w="5969" w:type="dxa"/>
                  <w:vAlign w:val="center"/>
                </w:tcPr>
                <w:p>
                  <w:pPr>
                    <w:adjustRightInd w:val="0"/>
                    <w:snapToGrid w:val="0"/>
                    <w:spacing w:line="320" w:lineRule="exact"/>
                    <w:rPr>
                      <w:sz w:val="18"/>
                      <w:szCs w:val="21"/>
                    </w:rPr>
                  </w:pPr>
                  <w:r>
                    <w:rPr>
                      <w:rFonts w:hint="eastAsia"/>
                      <w:bCs/>
                      <w:sz w:val="18"/>
                      <w:szCs w:val="21"/>
                    </w:rPr>
                    <w:t>仅进行简单分析</w:t>
                  </w:r>
                </w:p>
              </w:tc>
            </w:tr>
          </w:tbl>
          <w:p>
            <w:pPr>
              <w:spacing w:line="400" w:lineRule="exact"/>
              <w:rPr>
                <w:rFonts w:eastAsia="黑体"/>
                <w:szCs w:val="21"/>
                <w:lang w:val="zh-CN"/>
              </w:rPr>
            </w:pPr>
            <w:r>
              <w:rPr>
                <w:rFonts w:hint="eastAsia" w:eastAsia="黑体"/>
                <w:szCs w:val="21"/>
              </w:rPr>
              <w:t>2、环境保护目标</w:t>
            </w:r>
          </w:p>
          <w:p>
            <w:pPr>
              <w:adjustRightInd w:val="0"/>
              <w:snapToGrid w:val="0"/>
              <w:spacing w:line="400" w:lineRule="exact"/>
              <w:jc w:val="left"/>
              <w:rPr>
                <w:rFonts w:ascii="黑体" w:hAnsi="黑体" w:eastAsia="黑体" w:cs="宋体"/>
                <w:bCs/>
                <w:szCs w:val="21"/>
              </w:rPr>
            </w:pPr>
            <w:r>
              <w:rPr>
                <w:rFonts w:hint="eastAsia"/>
                <w:szCs w:val="21"/>
              </w:rPr>
              <w:t>2.1</w:t>
            </w:r>
            <w:r>
              <w:rPr>
                <w:rFonts w:hint="eastAsia" w:ascii="黑体" w:hAnsi="黑体" w:eastAsia="黑体" w:cs="宋体"/>
                <w:bCs/>
                <w:szCs w:val="21"/>
              </w:rPr>
              <w:t>大气环境</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项目区场界外</w:t>
            </w:r>
            <w:r>
              <w:rPr>
                <w:rFonts w:cs="宋体"/>
                <w:kern w:val="0"/>
                <w:szCs w:val="21"/>
              </w:rPr>
              <w:t>500</w:t>
            </w:r>
            <w:r>
              <w:rPr>
                <w:rFonts w:hint="eastAsia" w:cs="宋体"/>
                <w:kern w:val="0"/>
                <w:szCs w:val="21"/>
              </w:rPr>
              <w:t>0</w:t>
            </w:r>
            <w:r>
              <w:rPr>
                <w:rFonts w:cs="宋体"/>
                <w:kern w:val="0"/>
                <w:szCs w:val="21"/>
              </w:rPr>
              <w:t>m</w:t>
            </w:r>
            <w:r>
              <w:rPr>
                <w:rFonts w:hint="eastAsia" w:cs="宋体"/>
                <w:kern w:val="0"/>
                <w:szCs w:val="21"/>
              </w:rPr>
              <w:t>范围内无自然保护区、风景名胜区等环境敏感区。大气环境保护目标主要是附近散居住户、自然村落等，其与项目区的关系见下表。</w:t>
            </w:r>
          </w:p>
          <w:p>
            <w:pPr>
              <w:autoSpaceDE w:val="0"/>
              <w:autoSpaceDN w:val="0"/>
              <w:adjustRightInd w:val="0"/>
              <w:snapToGrid w:val="0"/>
              <w:spacing w:line="420" w:lineRule="exact"/>
              <w:jc w:val="center"/>
              <w:rPr>
                <w:rFonts w:eastAsia="黑体"/>
                <w:kern w:val="0"/>
                <w:sz w:val="18"/>
                <w:szCs w:val="20"/>
                <w:lang w:val="zh-CN"/>
              </w:rPr>
            </w:pPr>
            <w:r>
              <w:rPr>
                <w:rFonts w:hint="eastAsia" w:eastAsia="黑体"/>
                <w:kern w:val="0"/>
                <w:sz w:val="18"/>
                <w:szCs w:val="20"/>
                <w:lang w:val="zh-CN"/>
              </w:rPr>
              <w:t xml:space="preserve">表3-8   </w:t>
            </w:r>
            <w:r>
              <w:rPr>
                <w:rFonts w:eastAsia="黑体"/>
                <w:kern w:val="0"/>
                <w:sz w:val="18"/>
                <w:szCs w:val="20"/>
                <w:lang w:val="zh-CN"/>
              </w:rPr>
              <w:t xml:space="preserve">  </w:t>
            </w:r>
            <w:r>
              <w:rPr>
                <w:rFonts w:hint="eastAsia" w:eastAsia="黑体"/>
                <w:kern w:val="0"/>
                <w:sz w:val="18"/>
                <w:szCs w:val="20"/>
              </w:rPr>
              <w:t>大气</w:t>
            </w:r>
            <w:r>
              <w:rPr>
                <w:rFonts w:hint="eastAsia" w:eastAsia="黑体"/>
                <w:kern w:val="0"/>
                <w:sz w:val="18"/>
                <w:szCs w:val="20"/>
                <w:lang w:val="zh-CN"/>
              </w:rPr>
              <w:t>环境保护目标</w:t>
            </w:r>
          </w:p>
          <w:tbl>
            <w:tblPr>
              <w:tblStyle w:val="17"/>
              <w:tblW w:w="7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215"/>
              <w:gridCol w:w="1985"/>
              <w:gridCol w:w="226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b/>
                      <w:bCs/>
                      <w:sz w:val="18"/>
                      <w:szCs w:val="20"/>
                      <w:lang w:val="zh-CN"/>
                    </w:rPr>
                  </w:pPr>
                  <w:r>
                    <w:rPr>
                      <w:rFonts w:hint="eastAsia"/>
                      <w:b/>
                      <w:bCs/>
                      <w:sz w:val="18"/>
                      <w:szCs w:val="20"/>
                    </w:rPr>
                    <w:t>序号</w:t>
                  </w:r>
                </w:p>
              </w:tc>
              <w:tc>
                <w:tcPr>
                  <w:tcW w:w="12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b/>
                      <w:bCs/>
                      <w:sz w:val="18"/>
                      <w:szCs w:val="20"/>
                      <w:lang w:val="zh-CN"/>
                    </w:rPr>
                  </w:pPr>
                  <w:r>
                    <w:rPr>
                      <w:rFonts w:hint="eastAsia"/>
                      <w:b/>
                      <w:bCs/>
                      <w:sz w:val="18"/>
                      <w:szCs w:val="20"/>
                    </w:rPr>
                    <w:t>名</w:t>
                  </w:r>
                  <w:r>
                    <w:rPr>
                      <w:b/>
                      <w:bCs/>
                      <w:sz w:val="18"/>
                      <w:szCs w:val="20"/>
                    </w:rPr>
                    <w:t xml:space="preserve"> </w:t>
                  </w:r>
                  <w:r>
                    <w:rPr>
                      <w:rFonts w:hint="eastAsia"/>
                      <w:b/>
                      <w:bCs/>
                      <w:sz w:val="18"/>
                      <w:szCs w:val="20"/>
                    </w:rPr>
                    <w:t>称</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b/>
                      <w:bCs/>
                      <w:sz w:val="18"/>
                      <w:szCs w:val="20"/>
                      <w:lang w:val="zh-CN"/>
                    </w:rPr>
                  </w:pPr>
                  <w:r>
                    <w:rPr>
                      <w:rFonts w:hint="eastAsia"/>
                      <w:b/>
                      <w:bCs/>
                      <w:sz w:val="18"/>
                      <w:szCs w:val="20"/>
                    </w:rPr>
                    <w:t>规模</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b/>
                      <w:bCs/>
                      <w:sz w:val="18"/>
                      <w:szCs w:val="20"/>
                      <w:lang w:val="zh-CN"/>
                    </w:rPr>
                  </w:pPr>
                  <w:r>
                    <w:rPr>
                      <w:rFonts w:hint="eastAsia"/>
                      <w:b/>
                      <w:bCs/>
                      <w:sz w:val="18"/>
                      <w:szCs w:val="20"/>
                    </w:rPr>
                    <w:t>与配气站相对方位、距离</w:t>
                  </w:r>
                </w:p>
              </w:tc>
              <w:tc>
                <w:tcPr>
                  <w:tcW w:w="1417"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b/>
                      <w:bCs/>
                      <w:sz w:val="18"/>
                      <w:szCs w:val="20"/>
                      <w:lang w:val="zh-CN"/>
                    </w:rPr>
                  </w:pPr>
                  <w:r>
                    <w:rPr>
                      <w:b/>
                      <w:bCs/>
                      <w:sz w:val="18"/>
                      <w:szCs w:val="20"/>
                      <w:lang w:val="zh-CN"/>
                    </w:rPr>
                    <w:t>环境空气功能区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lang w:val="zh-CN"/>
                    </w:rPr>
                  </w:pPr>
                  <w:r>
                    <w:rPr>
                      <w:sz w:val="18"/>
                      <w:szCs w:val="20"/>
                    </w:rPr>
                    <w:t>1</w:t>
                  </w:r>
                </w:p>
              </w:tc>
              <w:tc>
                <w:tcPr>
                  <w:tcW w:w="1215"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53" w:leftChars="-25" w:right="-53" w:rightChars="-25"/>
                    <w:jc w:val="center"/>
                    <w:rPr>
                      <w:kern w:val="0"/>
                      <w:sz w:val="18"/>
                      <w:szCs w:val="21"/>
                    </w:rPr>
                  </w:pPr>
                  <w:r>
                    <w:rPr>
                      <w:kern w:val="0"/>
                      <w:sz w:val="18"/>
                      <w:szCs w:val="21"/>
                    </w:rPr>
                    <w:t>土主镇</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lang w:val="zh-CN"/>
                    </w:rPr>
                  </w:pPr>
                  <w:r>
                    <w:rPr>
                      <w:rFonts w:hint="eastAsia"/>
                      <w:sz w:val="18"/>
                      <w:szCs w:val="20"/>
                      <w:lang w:val="zh-CN"/>
                    </w:rPr>
                    <w:t>2000人</w:t>
                  </w:r>
                </w:p>
              </w:tc>
              <w:tc>
                <w:tcPr>
                  <w:tcW w:w="2268"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105" w:leftChars="-50" w:right="-105" w:rightChars="-50"/>
                    <w:jc w:val="center"/>
                    <w:rPr>
                      <w:kern w:val="0"/>
                      <w:sz w:val="18"/>
                      <w:szCs w:val="21"/>
                    </w:rPr>
                  </w:pPr>
                  <w:r>
                    <w:rPr>
                      <w:kern w:val="0"/>
                      <w:sz w:val="18"/>
                      <w:szCs w:val="21"/>
                    </w:rPr>
                    <w:t>东南面、</w:t>
                  </w:r>
                  <w:r>
                    <w:rPr>
                      <w:rFonts w:hint="eastAsia"/>
                      <w:kern w:val="0"/>
                      <w:sz w:val="18"/>
                      <w:szCs w:val="21"/>
                    </w:rPr>
                    <w:t>2.9km</w:t>
                  </w:r>
                </w:p>
              </w:tc>
              <w:tc>
                <w:tcPr>
                  <w:tcW w:w="1417" w:type="dxa"/>
                  <w:vMerge w:val="restart"/>
                  <w:tcBorders>
                    <w:top w:val="single" w:color="auto" w:sz="4" w:space="0"/>
                    <w:left w:val="single" w:color="auto" w:sz="4" w:space="0"/>
                    <w:right w:val="single" w:color="auto" w:sz="4" w:space="0"/>
                  </w:tcBorders>
                  <w:noWrap/>
                  <w:vAlign w:val="center"/>
                </w:tcPr>
                <w:p>
                  <w:pPr>
                    <w:spacing w:line="300" w:lineRule="exact"/>
                    <w:ind w:left="-105" w:leftChars="-50" w:right="-105" w:rightChars="-50"/>
                    <w:jc w:val="center"/>
                    <w:rPr>
                      <w:sz w:val="18"/>
                      <w:szCs w:val="20"/>
                      <w:lang w:val="zh-CN"/>
                    </w:rPr>
                  </w:pPr>
                  <w:r>
                    <w:rPr>
                      <w:b/>
                      <w:bCs/>
                      <w:sz w:val="18"/>
                      <w:szCs w:val="20"/>
                      <w:lang w:val="zh-CN"/>
                    </w:rPr>
                    <w:t>环境空气功能区</w:t>
                  </w:r>
                  <w:r>
                    <w:rPr>
                      <w:rFonts w:hint="eastAsia"/>
                      <w:sz w:val="18"/>
                      <w:szCs w:val="20"/>
                      <w:lang w:val="zh-CN"/>
                    </w:rPr>
                    <w:t>GB3095-2012二类区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2</w:t>
                  </w:r>
                </w:p>
              </w:tc>
              <w:tc>
                <w:tcPr>
                  <w:tcW w:w="1215"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53" w:leftChars="-25" w:right="-53" w:rightChars="-25"/>
                    <w:jc w:val="center"/>
                    <w:rPr>
                      <w:kern w:val="0"/>
                      <w:sz w:val="18"/>
                      <w:szCs w:val="21"/>
                    </w:rPr>
                  </w:pPr>
                  <w:r>
                    <w:rPr>
                      <w:kern w:val="0"/>
                      <w:sz w:val="18"/>
                      <w:szCs w:val="21"/>
                    </w:rPr>
                    <w:t>梯子坎</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15户、40人</w:t>
                  </w:r>
                </w:p>
              </w:tc>
              <w:tc>
                <w:tcPr>
                  <w:tcW w:w="2268"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105" w:leftChars="-50" w:right="-105" w:rightChars="-50"/>
                    <w:jc w:val="center"/>
                    <w:rPr>
                      <w:kern w:val="0"/>
                      <w:sz w:val="18"/>
                      <w:szCs w:val="21"/>
                    </w:rPr>
                  </w:pPr>
                  <w:r>
                    <w:rPr>
                      <w:kern w:val="0"/>
                      <w:sz w:val="18"/>
                      <w:szCs w:val="21"/>
                    </w:rPr>
                    <w:t>东南面、</w:t>
                  </w:r>
                  <w:r>
                    <w:rPr>
                      <w:rFonts w:hint="eastAsia"/>
                      <w:kern w:val="0"/>
                      <w:sz w:val="18"/>
                      <w:szCs w:val="21"/>
                    </w:rPr>
                    <w:t>3.5km</w:t>
                  </w:r>
                </w:p>
              </w:tc>
              <w:tc>
                <w:tcPr>
                  <w:tcW w:w="1417" w:type="dxa"/>
                  <w:vMerge w:val="continue"/>
                  <w:tcBorders>
                    <w:left w:val="single" w:color="auto" w:sz="4" w:space="0"/>
                    <w:right w:val="single" w:color="auto" w:sz="4" w:space="0"/>
                  </w:tcBorders>
                  <w:noWrap/>
                  <w:vAlign w:val="center"/>
                </w:tcPr>
                <w:p>
                  <w:pPr>
                    <w:spacing w:line="300" w:lineRule="exact"/>
                    <w:ind w:left="-105" w:leftChars="-50" w:right="-105" w:rightChars="-50"/>
                    <w:jc w:val="center"/>
                    <w:rPr>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3</w:t>
                  </w:r>
                </w:p>
              </w:tc>
              <w:tc>
                <w:tcPr>
                  <w:tcW w:w="1215"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53" w:leftChars="-25" w:right="-53" w:rightChars="-25"/>
                    <w:jc w:val="center"/>
                    <w:rPr>
                      <w:kern w:val="0"/>
                      <w:sz w:val="18"/>
                      <w:szCs w:val="21"/>
                    </w:rPr>
                  </w:pPr>
                  <w:r>
                    <w:rPr>
                      <w:kern w:val="0"/>
                      <w:sz w:val="18"/>
                      <w:szCs w:val="21"/>
                    </w:rPr>
                    <w:t>合溪村</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14户、37人</w:t>
                  </w:r>
                </w:p>
              </w:tc>
              <w:tc>
                <w:tcPr>
                  <w:tcW w:w="2268"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105" w:leftChars="-50" w:right="-105" w:rightChars="-50"/>
                    <w:jc w:val="center"/>
                    <w:rPr>
                      <w:kern w:val="0"/>
                      <w:sz w:val="18"/>
                      <w:szCs w:val="21"/>
                    </w:rPr>
                  </w:pPr>
                  <w:r>
                    <w:rPr>
                      <w:kern w:val="0"/>
                      <w:sz w:val="18"/>
                      <w:szCs w:val="21"/>
                    </w:rPr>
                    <w:t>南面、</w:t>
                  </w:r>
                  <w:r>
                    <w:rPr>
                      <w:rFonts w:hint="eastAsia"/>
                      <w:kern w:val="0"/>
                      <w:sz w:val="18"/>
                      <w:szCs w:val="21"/>
                    </w:rPr>
                    <w:t>4.2km</w:t>
                  </w:r>
                </w:p>
              </w:tc>
              <w:tc>
                <w:tcPr>
                  <w:tcW w:w="1417" w:type="dxa"/>
                  <w:vMerge w:val="continue"/>
                  <w:tcBorders>
                    <w:left w:val="single" w:color="auto" w:sz="4" w:space="0"/>
                    <w:right w:val="single" w:color="auto" w:sz="4" w:space="0"/>
                  </w:tcBorders>
                  <w:noWrap/>
                  <w:vAlign w:val="center"/>
                </w:tcPr>
                <w:p>
                  <w:pPr>
                    <w:spacing w:line="300" w:lineRule="exact"/>
                    <w:ind w:left="-105" w:leftChars="-50" w:right="-105" w:rightChars="-50"/>
                    <w:jc w:val="center"/>
                    <w:rPr>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4</w:t>
                  </w:r>
                </w:p>
              </w:tc>
              <w:tc>
                <w:tcPr>
                  <w:tcW w:w="1215"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53" w:leftChars="-25" w:right="-53" w:rightChars="-25"/>
                    <w:jc w:val="center"/>
                    <w:rPr>
                      <w:kern w:val="0"/>
                      <w:sz w:val="18"/>
                      <w:szCs w:val="21"/>
                    </w:rPr>
                  </w:pPr>
                  <w:r>
                    <w:rPr>
                      <w:kern w:val="0"/>
                      <w:sz w:val="18"/>
                      <w:szCs w:val="21"/>
                    </w:rPr>
                    <w:t>双树村</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22户、57人</w:t>
                  </w:r>
                </w:p>
              </w:tc>
              <w:tc>
                <w:tcPr>
                  <w:tcW w:w="2268"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105" w:leftChars="-50" w:right="-105" w:rightChars="-50"/>
                    <w:jc w:val="center"/>
                    <w:rPr>
                      <w:kern w:val="0"/>
                      <w:sz w:val="18"/>
                      <w:szCs w:val="21"/>
                    </w:rPr>
                  </w:pPr>
                  <w:r>
                    <w:rPr>
                      <w:kern w:val="0"/>
                      <w:sz w:val="18"/>
                      <w:szCs w:val="21"/>
                    </w:rPr>
                    <w:t>南面、</w:t>
                  </w:r>
                  <w:r>
                    <w:rPr>
                      <w:rFonts w:hint="eastAsia"/>
                      <w:kern w:val="0"/>
                      <w:sz w:val="18"/>
                      <w:szCs w:val="21"/>
                    </w:rPr>
                    <w:t>1.8km</w:t>
                  </w:r>
                </w:p>
              </w:tc>
              <w:tc>
                <w:tcPr>
                  <w:tcW w:w="1417" w:type="dxa"/>
                  <w:vMerge w:val="continue"/>
                  <w:tcBorders>
                    <w:left w:val="single" w:color="auto" w:sz="4" w:space="0"/>
                    <w:right w:val="single" w:color="auto" w:sz="4" w:space="0"/>
                  </w:tcBorders>
                  <w:noWrap/>
                  <w:vAlign w:val="center"/>
                </w:tcPr>
                <w:p>
                  <w:pPr>
                    <w:spacing w:line="300" w:lineRule="exact"/>
                    <w:ind w:left="-105" w:leftChars="-50" w:right="-105" w:rightChars="-50"/>
                    <w:jc w:val="center"/>
                    <w:rPr>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5</w:t>
                  </w:r>
                </w:p>
              </w:tc>
              <w:tc>
                <w:tcPr>
                  <w:tcW w:w="1215"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53" w:leftChars="-25" w:right="-53" w:rightChars="-25"/>
                    <w:jc w:val="center"/>
                    <w:rPr>
                      <w:kern w:val="0"/>
                      <w:sz w:val="18"/>
                      <w:szCs w:val="21"/>
                    </w:rPr>
                  </w:pPr>
                  <w:r>
                    <w:rPr>
                      <w:kern w:val="0"/>
                      <w:sz w:val="18"/>
                      <w:szCs w:val="21"/>
                    </w:rPr>
                    <w:t>东风村</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25户、70人</w:t>
                  </w:r>
                </w:p>
              </w:tc>
              <w:tc>
                <w:tcPr>
                  <w:tcW w:w="2268"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105" w:leftChars="-50" w:right="-105" w:rightChars="-50"/>
                    <w:jc w:val="center"/>
                    <w:rPr>
                      <w:spacing w:val="-8"/>
                      <w:kern w:val="0"/>
                      <w:sz w:val="18"/>
                      <w:szCs w:val="21"/>
                    </w:rPr>
                  </w:pPr>
                  <w:r>
                    <w:rPr>
                      <w:rFonts w:hint="eastAsia"/>
                      <w:spacing w:val="-8"/>
                      <w:kern w:val="0"/>
                      <w:sz w:val="18"/>
                      <w:szCs w:val="21"/>
                    </w:rPr>
                    <w:t>西南面、2.9km</w:t>
                  </w:r>
                </w:p>
              </w:tc>
              <w:tc>
                <w:tcPr>
                  <w:tcW w:w="1417" w:type="dxa"/>
                  <w:vMerge w:val="continue"/>
                  <w:tcBorders>
                    <w:left w:val="single" w:color="auto" w:sz="4" w:space="0"/>
                    <w:right w:val="single" w:color="auto" w:sz="4" w:space="0"/>
                  </w:tcBorders>
                  <w:noWrap/>
                  <w:vAlign w:val="center"/>
                </w:tcPr>
                <w:p>
                  <w:pPr>
                    <w:spacing w:line="300" w:lineRule="exact"/>
                    <w:ind w:left="-105" w:leftChars="-50" w:right="-105" w:rightChars="-50"/>
                    <w:jc w:val="center"/>
                    <w:rPr>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6</w:t>
                  </w:r>
                </w:p>
              </w:tc>
              <w:tc>
                <w:tcPr>
                  <w:tcW w:w="1215"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53" w:leftChars="-25" w:right="-53" w:rightChars="-25"/>
                    <w:jc w:val="center"/>
                    <w:rPr>
                      <w:kern w:val="0"/>
                      <w:sz w:val="18"/>
                      <w:szCs w:val="21"/>
                    </w:rPr>
                  </w:pPr>
                  <w:r>
                    <w:rPr>
                      <w:kern w:val="0"/>
                      <w:sz w:val="18"/>
                      <w:szCs w:val="21"/>
                    </w:rPr>
                    <w:t>周家咀</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10户、28人</w:t>
                  </w:r>
                </w:p>
              </w:tc>
              <w:tc>
                <w:tcPr>
                  <w:tcW w:w="2268"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105" w:leftChars="-50" w:right="-105" w:rightChars="-50"/>
                    <w:jc w:val="center"/>
                    <w:rPr>
                      <w:kern w:val="0"/>
                      <w:sz w:val="18"/>
                      <w:szCs w:val="21"/>
                    </w:rPr>
                  </w:pPr>
                  <w:r>
                    <w:rPr>
                      <w:rFonts w:hint="eastAsia"/>
                      <w:kern w:val="0"/>
                      <w:sz w:val="18"/>
                      <w:szCs w:val="21"/>
                    </w:rPr>
                    <w:t>西面、4.3km</w:t>
                  </w:r>
                </w:p>
              </w:tc>
              <w:tc>
                <w:tcPr>
                  <w:tcW w:w="1417" w:type="dxa"/>
                  <w:vMerge w:val="continue"/>
                  <w:tcBorders>
                    <w:left w:val="single" w:color="auto" w:sz="4" w:space="0"/>
                    <w:right w:val="single" w:color="auto" w:sz="4" w:space="0"/>
                  </w:tcBorders>
                  <w:noWrap/>
                  <w:vAlign w:val="center"/>
                </w:tcPr>
                <w:p>
                  <w:pPr>
                    <w:spacing w:line="300" w:lineRule="exact"/>
                    <w:ind w:left="-105" w:leftChars="-50" w:right="-105" w:rightChars="-50"/>
                    <w:jc w:val="center"/>
                    <w:rPr>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7</w:t>
                  </w:r>
                </w:p>
              </w:tc>
              <w:tc>
                <w:tcPr>
                  <w:tcW w:w="1215"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53" w:leftChars="-25" w:right="-53" w:rightChars="-25"/>
                    <w:jc w:val="center"/>
                    <w:rPr>
                      <w:kern w:val="0"/>
                      <w:sz w:val="18"/>
                      <w:szCs w:val="21"/>
                    </w:rPr>
                  </w:pPr>
                  <w:r>
                    <w:rPr>
                      <w:kern w:val="0"/>
                      <w:sz w:val="18"/>
                      <w:szCs w:val="21"/>
                    </w:rPr>
                    <w:t>双桥村</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13户，34人</w:t>
                  </w:r>
                </w:p>
              </w:tc>
              <w:tc>
                <w:tcPr>
                  <w:tcW w:w="2268"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105" w:leftChars="-50" w:right="-105" w:rightChars="-50"/>
                    <w:jc w:val="center"/>
                    <w:rPr>
                      <w:kern w:val="0"/>
                      <w:sz w:val="18"/>
                      <w:szCs w:val="21"/>
                    </w:rPr>
                  </w:pPr>
                  <w:r>
                    <w:rPr>
                      <w:kern w:val="0"/>
                      <w:sz w:val="18"/>
                      <w:szCs w:val="21"/>
                    </w:rPr>
                    <w:t>西面、</w:t>
                  </w:r>
                  <w:r>
                    <w:rPr>
                      <w:rFonts w:hint="eastAsia"/>
                      <w:kern w:val="0"/>
                      <w:sz w:val="18"/>
                      <w:szCs w:val="21"/>
                    </w:rPr>
                    <w:t>3.9km</w:t>
                  </w:r>
                </w:p>
              </w:tc>
              <w:tc>
                <w:tcPr>
                  <w:tcW w:w="1417" w:type="dxa"/>
                  <w:vMerge w:val="continue"/>
                  <w:tcBorders>
                    <w:left w:val="single" w:color="auto" w:sz="4" w:space="0"/>
                    <w:right w:val="single" w:color="auto" w:sz="4" w:space="0"/>
                  </w:tcBorders>
                  <w:noWrap/>
                  <w:vAlign w:val="center"/>
                </w:tcPr>
                <w:p>
                  <w:pPr>
                    <w:spacing w:line="300" w:lineRule="exact"/>
                    <w:ind w:left="-105" w:leftChars="-50" w:right="-105" w:rightChars="-50"/>
                    <w:jc w:val="center"/>
                    <w:rPr>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8</w:t>
                  </w:r>
                </w:p>
              </w:tc>
              <w:tc>
                <w:tcPr>
                  <w:tcW w:w="1215"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53" w:leftChars="-25" w:right="-53" w:rightChars="-25"/>
                    <w:jc w:val="center"/>
                    <w:rPr>
                      <w:kern w:val="0"/>
                      <w:sz w:val="18"/>
                      <w:szCs w:val="21"/>
                    </w:rPr>
                  </w:pPr>
                  <w:r>
                    <w:rPr>
                      <w:kern w:val="0"/>
                      <w:sz w:val="18"/>
                      <w:szCs w:val="21"/>
                    </w:rPr>
                    <w:t>胡家镇</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3000人</w:t>
                  </w:r>
                </w:p>
              </w:tc>
              <w:tc>
                <w:tcPr>
                  <w:tcW w:w="2268"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105" w:leftChars="-50" w:right="-105" w:rightChars="-50"/>
                    <w:jc w:val="center"/>
                    <w:rPr>
                      <w:kern w:val="0"/>
                      <w:sz w:val="18"/>
                      <w:szCs w:val="21"/>
                    </w:rPr>
                  </w:pPr>
                  <w:r>
                    <w:rPr>
                      <w:rFonts w:hint="eastAsia"/>
                      <w:kern w:val="0"/>
                      <w:sz w:val="18"/>
                      <w:szCs w:val="21"/>
                    </w:rPr>
                    <w:t>北面、4.6km</w:t>
                  </w:r>
                </w:p>
              </w:tc>
              <w:tc>
                <w:tcPr>
                  <w:tcW w:w="1417" w:type="dxa"/>
                  <w:vMerge w:val="continue"/>
                  <w:tcBorders>
                    <w:left w:val="single" w:color="auto" w:sz="4" w:space="0"/>
                    <w:right w:val="single" w:color="auto" w:sz="4" w:space="0"/>
                  </w:tcBorders>
                  <w:noWrap/>
                  <w:vAlign w:val="center"/>
                </w:tcPr>
                <w:p>
                  <w:pPr>
                    <w:spacing w:line="300" w:lineRule="exact"/>
                    <w:ind w:left="-105" w:leftChars="-50" w:right="-105" w:rightChars="-50"/>
                    <w:jc w:val="center"/>
                    <w:rPr>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9</w:t>
                  </w:r>
                </w:p>
              </w:tc>
              <w:tc>
                <w:tcPr>
                  <w:tcW w:w="1215"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53" w:leftChars="-25" w:right="-53" w:rightChars="-25"/>
                    <w:jc w:val="center"/>
                    <w:rPr>
                      <w:kern w:val="0"/>
                      <w:sz w:val="18"/>
                      <w:szCs w:val="21"/>
                    </w:rPr>
                  </w:pPr>
                  <w:r>
                    <w:rPr>
                      <w:rFonts w:hint="eastAsia"/>
                      <w:kern w:val="0"/>
                      <w:sz w:val="18"/>
                      <w:szCs w:val="21"/>
                    </w:rPr>
                    <w:t>思乐村</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12户、33人</w:t>
                  </w:r>
                </w:p>
              </w:tc>
              <w:tc>
                <w:tcPr>
                  <w:tcW w:w="2268"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105" w:leftChars="-50" w:right="-105" w:rightChars="-50"/>
                    <w:jc w:val="center"/>
                    <w:rPr>
                      <w:kern w:val="0"/>
                      <w:sz w:val="18"/>
                      <w:szCs w:val="21"/>
                    </w:rPr>
                  </w:pPr>
                  <w:r>
                    <w:rPr>
                      <w:rFonts w:hint="eastAsia"/>
                      <w:kern w:val="0"/>
                      <w:sz w:val="18"/>
                      <w:szCs w:val="21"/>
                    </w:rPr>
                    <w:t>北面、4.3km</w:t>
                  </w:r>
                </w:p>
              </w:tc>
              <w:tc>
                <w:tcPr>
                  <w:tcW w:w="1417" w:type="dxa"/>
                  <w:vMerge w:val="continue"/>
                  <w:tcBorders>
                    <w:left w:val="single" w:color="auto" w:sz="4" w:space="0"/>
                    <w:right w:val="single" w:color="auto" w:sz="4" w:space="0"/>
                  </w:tcBorders>
                  <w:noWrap/>
                  <w:vAlign w:val="center"/>
                </w:tcPr>
                <w:p>
                  <w:pPr>
                    <w:spacing w:line="300" w:lineRule="exact"/>
                    <w:ind w:left="-105" w:leftChars="-50" w:right="-105" w:rightChars="-50"/>
                    <w:jc w:val="center"/>
                    <w:rPr>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10</w:t>
                  </w:r>
                </w:p>
              </w:tc>
              <w:tc>
                <w:tcPr>
                  <w:tcW w:w="1215"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53" w:leftChars="-25" w:right="-53" w:rightChars="-25"/>
                    <w:jc w:val="center"/>
                    <w:rPr>
                      <w:kern w:val="0"/>
                      <w:sz w:val="18"/>
                      <w:szCs w:val="21"/>
                    </w:rPr>
                  </w:pPr>
                  <w:r>
                    <w:rPr>
                      <w:kern w:val="0"/>
                      <w:sz w:val="18"/>
                      <w:szCs w:val="21"/>
                    </w:rPr>
                    <w:t>东面住户</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3户、8人</w:t>
                  </w:r>
                </w:p>
              </w:tc>
              <w:tc>
                <w:tcPr>
                  <w:tcW w:w="2268"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105" w:leftChars="-50" w:right="-105" w:rightChars="-50"/>
                    <w:jc w:val="center"/>
                    <w:rPr>
                      <w:kern w:val="0"/>
                      <w:sz w:val="18"/>
                      <w:szCs w:val="21"/>
                    </w:rPr>
                  </w:pPr>
                  <w:r>
                    <w:rPr>
                      <w:rFonts w:hint="eastAsia"/>
                      <w:kern w:val="0"/>
                      <w:sz w:val="18"/>
                      <w:szCs w:val="21"/>
                    </w:rPr>
                    <w:t>东面、45m</w:t>
                  </w:r>
                </w:p>
              </w:tc>
              <w:tc>
                <w:tcPr>
                  <w:tcW w:w="1417" w:type="dxa"/>
                  <w:vMerge w:val="continue"/>
                  <w:tcBorders>
                    <w:left w:val="single" w:color="auto" w:sz="4" w:space="0"/>
                    <w:right w:val="single" w:color="auto" w:sz="4" w:space="0"/>
                  </w:tcBorders>
                  <w:noWrap/>
                  <w:vAlign w:val="center"/>
                </w:tcPr>
                <w:p>
                  <w:pPr>
                    <w:spacing w:line="300" w:lineRule="exact"/>
                    <w:ind w:left="-105" w:leftChars="-50" w:right="-105" w:rightChars="-50"/>
                    <w:jc w:val="center"/>
                    <w:rPr>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11</w:t>
                  </w:r>
                </w:p>
              </w:tc>
              <w:tc>
                <w:tcPr>
                  <w:tcW w:w="1215"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53" w:leftChars="-25" w:right="-53" w:rightChars="-25"/>
                    <w:jc w:val="center"/>
                    <w:rPr>
                      <w:kern w:val="0"/>
                      <w:sz w:val="18"/>
                      <w:szCs w:val="21"/>
                    </w:rPr>
                  </w:pPr>
                  <w:r>
                    <w:rPr>
                      <w:kern w:val="0"/>
                      <w:sz w:val="18"/>
                      <w:szCs w:val="21"/>
                    </w:rPr>
                    <w:t>西北面住户</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10户、26人</w:t>
                  </w:r>
                </w:p>
              </w:tc>
              <w:tc>
                <w:tcPr>
                  <w:tcW w:w="2268"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105" w:leftChars="-50" w:right="-105" w:rightChars="-50"/>
                    <w:jc w:val="center"/>
                    <w:rPr>
                      <w:kern w:val="0"/>
                      <w:sz w:val="18"/>
                      <w:szCs w:val="21"/>
                    </w:rPr>
                  </w:pPr>
                  <w:r>
                    <w:rPr>
                      <w:kern w:val="0"/>
                      <w:sz w:val="18"/>
                      <w:szCs w:val="21"/>
                    </w:rPr>
                    <w:t>西北面、</w:t>
                  </w:r>
                  <w:r>
                    <w:rPr>
                      <w:rFonts w:hint="eastAsia"/>
                      <w:kern w:val="0"/>
                      <w:sz w:val="18"/>
                      <w:szCs w:val="21"/>
                    </w:rPr>
                    <w:t>78m</w:t>
                  </w:r>
                </w:p>
              </w:tc>
              <w:tc>
                <w:tcPr>
                  <w:tcW w:w="1417" w:type="dxa"/>
                  <w:vMerge w:val="continue"/>
                  <w:tcBorders>
                    <w:left w:val="single" w:color="auto" w:sz="4" w:space="0"/>
                    <w:right w:val="single" w:color="auto" w:sz="4" w:space="0"/>
                  </w:tcBorders>
                  <w:noWrap/>
                  <w:vAlign w:val="center"/>
                </w:tcPr>
                <w:p>
                  <w:pPr>
                    <w:spacing w:line="300" w:lineRule="exact"/>
                    <w:ind w:left="-105" w:leftChars="-50" w:right="-105" w:rightChars="-50"/>
                    <w:jc w:val="center"/>
                    <w:rPr>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12</w:t>
                  </w:r>
                </w:p>
              </w:tc>
              <w:tc>
                <w:tcPr>
                  <w:tcW w:w="1215"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53" w:leftChars="-25" w:right="-53" w:rightChars="-25"/>
                    <w:jc w:val="center"/>
                    <w:rPr>
                      <w:kern w:val="0"/>
                      <w:sz w:val="18"/>
                      <w:szCs w:val="21"/>
                    </w:rPr>
                  </w:pPr>
                  <w:r>
                    <w:rPr>
                      <w:kern w:val="0"/>
                      <w:sz w:val="18"/>
                      <w:szCs w:val="21"/>
                    </w:rPr>
                    <w:t>北面住户</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20户、52人</w:t>
                  </w:r>
                </w:p>
              </w:tc>
              <w:tc>
                <w:tcPr>
                  <w:tcW w:w="2268"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105" w:leftChars="-50" w:right="-105" w:rightChars="-50"/>
                    <w:jc w:val="center"/>
                    <w:rPr>
                      <w:kern w:val="0"/>
                      <w:sz w:val="18"/>
                      <w:szCs w:val="21"/>
                    </w:rPr>
                  </w:pPr>
                  <w:r>
                    <w:rPr>
                      <w:sz w:val="18"/>
                      <w:szCs w:val="20"/>
                    </w:rPr>
                    <w:t>北面、</w:t>
                  </w:r>
                  <w:r>
                    <w:rPr>
                      <w:rFonts w:hint="eastAsia"/>
                      <w:sz w:val="18"/>
                      <w:szCs w:val="20"/>
                    </w:rPr>
                    <w:t>110m</w:t>
                  </w:r>
                </w:p>
              </w:tc>
              <w:tc>
                <w:tcPr>
                  <w:tcW w:w="1417" w:type="dxa"/>
                  <w:vMerge w:val="continue"/>
                  <w:tcBorders>
                    <w:left w:val="single" w:color="auto" w:sz="4" w:space="0"/>
                    <w:right w:val="single" w:color="auto" w:sz="4" w:space="0"/>
                  </w:tcBorders>
                  <w:noWrap/>
                  <w:vAlign w:val="center"/>
                </w:tcPr>
                <w:p>
                  <w:pPr>
                    <w:spacing w:line="300" w:lineRule="exact"/>
                    <w:ind w:left="-105" w:leftChars="-50" w:right="-105" w:rightChars="-50"/>
                    <w:jc w:val="center"/>
                    <w:rPr>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13</w:t>
                  </w:r>
                </w:p>
              </w:tc>
              <w:tc>
                <w:tcPr>
                  <w:tcW w:w="1215"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53" w:leftChars="-25" w:right="-53" w:rightChars="-25"/>
                    <w:jc w:val="center"/>
                    <w:rPr>
                      <w:kern w:val="0"/>
                      <w:sz w:val="18"/>
                      <w:szCs w:val="21"/>
                    </w:rPr>
                  </w:pPr>
                  <w:r>
                    <w:rPr>
                      <w:kern w:val="0"/>
                      <w:sz w:val="18"/>
                      <w:szCs w:val="21"/>
                    </w:rPr>
                    <w:t>东北面住户</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1户、2人</w:t>
                  </w:r>
                </w:p>
              </w:tc>
              <w:tc>
                <w:tcPr>
                  <w:tcW w:w="2268"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105" w:leftChars="-50" w:right="-105" w:rightChars="-50"/>
                    <w:jc w:val="center"/>
                    <w:rPr>
                      <w:kern w:val="0"/>
                      <w:sz w:val="18"/>
                      <w:szCs w:val="21"/>
                    </w:rPr>
                  </w:pPr>
                  <w:r>
                    <w:rPr>
                      <w:kern w:val="0"/>
                      <w:sz w:val="18"/>
                      <w:szCs w:val="21"/>
                    </w:rPr>
                    <w:t>东北面、</w:t>
                  </w:r>
                  <w:r>
                    <w:rPr>
                      <w:rFonts w:hint="eastAsia"/>
                      <w:kern w:val="0"/>
                      <w:sz w:val="18"/>
                      <w:szCs w:val="21"/>
                    </w:rPr>
                    <w:t>62m</w:t>
                  </w:r>
                </w:p>
              </w:tc>
              <w:tc>
                <w:tcPr>
                  <w:tcW w:w="1417" w:type="dxa"/>
                  <w:vMerge w:val="continue"/>
                  <w:tcBorders>
                    <w:left w:val="single" w:color="auto" w:sz="4" w:space="0"/>
                    <w:right w:val="single" w:color="auto" w:sz="4" w:space="0"/>
                  </w:tcBorders>
                  <w:noWrap/>
                  <w:vAlign w:val="center"/>
                </w:tcPr>
                <w:p>
                  <w:pPr>
                    <w:spacing w:line="300" w:lineRule="exact"/>
                    <w:ind w:left="-105" w:leftChars="-50" w:right="-105" w:rightChars="-50"/>
                    <w:jc w:val="center"/>
                    <w:rPr>
                      <w:sz w:val="18"/>
                      <w:szCs w:val="20"/>
                    </w:rPr>
                  </w:pPr>
                </w:p>
              </w:tc>
            </w:tr>
          </w:tbl>
          <w:p>
            <w:pPr>
              <w:adjustRightInd w:val="0"/>
              <w:snapToGrid w:val="0"/>
              <w:spacing w:line="400" w:lineRule="exact"/>
              <w:jc w:val="left"/>
              <w:rPr>
                <w:rFonts w:ascii="黑体" w:hAnsi="黑体" w:eastAsia="黑体" w:cs="宋体"/>
                <w:bCs/>
                <w:szCs w:val="21"/>
              </w:rPr>
            </w:pPr>
            <w:r>
              <w:rPr>
                <w:rFonts w:ascii="黑体" w:hAnsi="黑体" w:eastAsia="黑体" w:cs="宋体"/>
                <w:bCs/>
                <w:szCs w:val="21"/>
              </w:rPr>
              <w:t>2</w:t>
            </w:r>
            <w:r>
              <w:rPr>
                <w:rFonts w:hint="eastAsia" w:ascii="黑体" w:hAnsi="黑体" w:eastAsia="黑体" w:cs="宋体"/>
                <w:bCs/>
                <w:szCs w:val="21"/>
              </w:rPr>
              <w:t>、声环境</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项目区场界外200米范围内的声环境保护目标见下表。</w:t>
            </w:r>
          </w:p>
          <w:p>
            <w:pPr>
              <w:autoSpaceDE w:val="0"/>
              <w:autoSpaceDN w:val="0"/>
              <w:adjustRightInd w:val="0"/>
              <w:snapToGrid w:val="0"/>
              <w:spacing w:line="420" w:lineRule="exact"/>
              <w:jc w:val="center"/>
              <w:rPr>
                <w:rFonts w:eastAsia="黑体"/>
                <w:kern w:val="0"/>
                <w:sz w:val="18"/>
                <w:szCs w:val="20"/>
                <w:lang w:val="zh-CN"/>
              </w:rPr>
            </w:pPr>
            <w:r>
              <w:rPr>
                <w:rFonts w:hint="eastAsia" w:eastAsia="黑体"/>
                <w:kern w:val="0"/>
                <w:sz w:val="18"/>
                <w:szCs w:val="20"/>
                <w:lang w:val="zh-CN"/>
              </w:rPr>
              <w:t xml:space="preserve">表3-9   </w:t>
            </w:r>
            <w:r>
              <w:rPr>
                <w:rFonts w:eastAsia="黑体"/>
                <w:kern w:val="0"/>
                <w:sz w:val="18"/>
                <w:szCs w:val="20"/>
                <w:lang w:val="zh-CN"/>
              </w:rPr>
              <w:t xml:space="preserve">  声</w:t>
            </w:r>
            <w:r>
              <w:rPr>
                <w:rFonts w:hint="eastAsia" w:eastAsia="黑体"/>
                <w:kern w:val="0"/>
                <w:sz w:val="18"/>
                <w:szCs w:val="20"/>
                <w:lang w:val="zh-CN"/>
              </w:rPr>
              <w:t>环境保护目标</w:t>
            </w:r>
          </w:p>
          <w:tbl>
            <w:tblPr>
              <w:tblStyle w:val="17"/>
              <w:tblW w:w="7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215"/>
              <w:gridCol w:w="1985"/>
              <w:gridCol w:w="2278"/>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b/>
                      <w:bCs/>
                      <w:sz w:val="18"/>
                      <w:szCs w:val="20"/>
                      <w:lang w:val="zh-CN"/>
                    </w:rPr>
                  </w:pPr>
                  <w:r>
                    <w:rPr>
                      <w:rFonts w:hint="eastAsia"/>
                      <w:b/>
                      <w:bCs/>
                      <w:sz w:val="18"/>
                      <w:szCs w:val="20"/>
                    </w:rPr>
                    <w:t>序号</w:t>
                  </w:r>
                </w:p>
              </w:tc>
              <w:tc>
                <w:tcPr>
                  <w:tcW w:w="12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b/>
                      <w:bCs/>
                      <w:sz w:val="18"/>
                      <w:szCs w:val="20"/>
                      <w:lang w:val="zh-CN"/>
                    </w:rPr>
                  </w:pPr>
                  <w:r>
                    <w:rPr>
                      <w:rFonts w:hint="eastAsia"/>
                      <w:b/>
                      <w:bCs/>
                      <w:sz w:val="18"/>
                      <w:szCs w:val="20"/>
                    </w:rPr>
                    <w:t>名</w:t>
                  </w:r>
                  <w:r>
                    <w:rPr>
                      <w:b/>
                      <w:bCs/>
                      <w:sz w:val="18"/>
                      <w:szCs w:val="20"/>
                    </w:rPr>
                    <w:t xml:space="preserve"> </w:t>
                  </w:r>
                  <w:r>
                    <w:rPr>
                      <w:rFonts w:hint="eastAsia"/>
                      <w:b/>
                      <w:bCs/>
                      <w:sz w:val="18"/>
                      <w:szCs w:val="20"/>
                    </w:rPr>
                    <w:t>称</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b/>
                      <w:bCs/>
                      <w:sz w:val="18"/>
                      <w:szCs w:val="20"/>
                      <w:lang w:val="zh-CN"/>
                    </w:rPr>
                  </w:pPr>
                  <w:r>
                    <w:rPr>
                      <w:rFonts w:hint="eastAsia"/>
                      <w:b/>
                      <w:bCs/>
                      <w:sz w:val="18"/>
                      <w:szCs w:val="20"/>
                    </w:rPr>
                    <w:t>规模</w:t>
                  </w:r>
                </w:p>
              </w:tc>
              <w:tc>
                <w:tcPr>
                  <w:tcW w:w="2278"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b/>
                      <w:bCs/>
                      <w:sz w:val="18"/>
                      <w:szCs w:val="20"/>
                      <w:lang w:val="zh-CN"/>
                    </w:rPr>
                  </w:pPr>
                  <w:r>
                    <w:rPr>
                      <w:rFonts w:hint="eastAsia"/>
                      <w:b/>
                      <w:bCs/>
                      <w:sz w:val="18"/>
                      <w:szCs w:val="20"/>
                      <w:highlight w:val="yellow"/>
                    </w:rPr>
                    <w:t>与矿区相对方位、距离</w:t>
                  </w:r>
                </w:p>
              </w:tc>
              <w:tc>
                <w:tcPr>
                  <w:tcW w:w="122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b/>
                      <w:bCs/>
                      <w:sz w:val="18"/>
                      <w:szCs w:val="20"/>
                    </w:rPr>
                  </w:pPr>
                  <w:r>
                    <w:rPr>
                      <w:rFonts w:hint="eastAsia"/>
                      <w:b/>
                      <w:bCs/>
                      <w:sz w:val="18"/>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lang w:val="zh-CN"/>
                    </w:rPr>
                  </w:pPr>
                  <w:r>
                    <w:rPr>
                      <w:sz w:val="18"/>
                      <w:szCs w:val="20"/>
                    </w:rPr>
                    <w:t>1</w:t>
                  </w:r>
                </w:p>
              </w:tc>
              <w:tc>
                <w:tcPr>
                  <w:tcW w:w="1215"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53" w:leftChars="-25" w:right="-53" w:rightChars="-25"/>
                    <w:jc w:val="center"/>
                    <w:rPr>
                      <w:kern w:val="0"/>
                      <w:sz w:val="18"/>
                      <w:szCs w:val="21"/>
                    </w:rPr>
                  </w:pPr>
                  <w:r>
                    <w:rPr>
                      <w:kern w:val="0"/>
                      <w:sz w:val="18"/>
                      <w:szCs w:val="21"/>
                    </w:rPr>
                    <w:t>东面住户</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3户、8人</w:t>
                  </w:r>
                </w:p>
              </w:tc>
              <w:tc>
                <w:tcPr>
                  <w:tcW w:w="2278"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105" w:leftChars="-50" w:right="-105" w:rightChars="-50"/>
                    <w:jc w:val="center"/>
                    <w:rPr>
                      <w:kern w:val="0"/>
                      <w:sz w:val="18"/>
                      <w:szCs w:val="21"/>
                    </w:rPr>
                  </w:pPr>
                  <w:r>
                    <w:rPr>
                      <w:rFonts w:hint="eastAsia"/>
                      <w:kern w:val="0"/>
                      <w:sz w:val="18"/>
                      <w:szCs w:val="21"/>
                    </w:rPr>
                    <w:t>东面、45m</w:t>
                  </w:r>
                </w:p>
              </w:tc>
              <w:tc>
                <w:tcPr>
                  <w:tcW w:w="122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2</w:t>
                  </w:r>
                </w:p>
              </w:tc>
              <w:tc>
                <w:tcPr>
                  <w:tcW w:w="1215"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53" w:leftChars="-25" w:right="-53" w:rightChars="-25"/>
                    <w:jc w:val="center"/>
                    <w:rPr>
                      <w:kern w:val="0"/>
                      <w:sz w:val="18"/>
                      <w:szCs w:val="21"/>
                    </w:rPr>
                  </w:pPr>
                  <w:r>
                    <w:rPr>
                      <w:kern w:val="0"/>
                      <w:sz w:val="18"/>
                      <w:szCs w:val="21"/>
                    </w:rPr>
                    <w:t>西北面住户</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10户、26人</w:t>
                  </w:r>
                </w:p>
              </w:tc>
              <w:tc>
                <w:tcPr>
                  <w:tcW w:w="2278"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105" w:leftChars="-50" w:right="-105" w:rightChars="-50"/>
                    <w:jc w:val="center"/>
                    <w:rPr>
                      <w:kern w:val="0"/>
                      <w:sz w:val="18"/>
                      <w:szCs w:val="21"/>
                    </w:rPr>
                  </w:pPr>
                  <w:r>
                    <w:rPr>
                      <w:kern w:val="0"/>
                      <w:sz w:val="18"/>
                      <w:szCs w:val="21"/>
                    </w:rPr>
                    <w:t>西北面、</w:t>
                  </w:r>
                  <w:r>
                    <w:rPr>
                      <w:rFonts w:hint="eastAsia"/>
                      <w:kern w:val="0"/>
                      <w:sz w:val="18"/>
                      <w:szCs w:val="21"/>
                    </w:rPr>
                    <w:t>78m</w:t>
                  </w:r>
                </w:p>
              </w:tc>
              <w:tc>
                <w:tcPr>
                  <w:tcW w:w="122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3</w:t>
                  </w:r>
                </w:p>
              </w:tc>
              <w:tc>
                <w:tcPr>
                  <w:tcW w:w="1215"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53" w:leftChars="-25" w:right="-53" w:rightChars="-25"/>
                    <w:jc w:val="center"/>
                    <w:rPr>
                      <w:kern w:val="0"/>
                      <w:sz w:val="18"/>
                      <w:szCs w:val="21"/>
                    </w:rPr>
                  </w:pPr>
                  <w:r>
                    <w:rPr>
                      <w:kern w:val="0"/>
                      <w:sz w:val="18"/>
                      <w:szCs w:val="21"/>
                    </w:rPr>
                    <w:t>北面住户</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20户、52人</w:t>
                  </w:r>
                </w:p>
              </w:tc>
              <w:tc>
                <w:tcPr>
                  <w:tcW w:w="2278"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105" w:leftChars="-50" w:right="-105" w:rightChars="-50"/>
                    <w:jc w:val="center"/>
                    <w:rPr>
                      <w:kern w:val="0"/>
                      <w:sz w:val="18"/>
                      <w:szCs w:val="21"/>
                    </w:rPr>
                  </w:pPr>
                  <w:r>
                    <w:rPr>
                      <w:sz w:val="18"/>
                      <w:szCs w:val="20"/>
                    </w:rPr>
                    <w:t>北面、</w:t>
                  </w:r>
                  <w:r>
                    <w:rPr>
                      <w:rFonts w:hint="eastAsia"/>
                      <w:sz w:val="18"/>
                      <w:szCs w:val="20"/>
                    </w:rPr>
                    <w:t>110m</w:t>
                  </w:r>
                </w:p>
              </w:tc>
              <w:tc>
                <w:tcPr>
                  <w:tcW w:w="122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4</w:t>
                  </w:r>
                </w:p>
              </w:tc>
              <w:tc>
                <w:tcPr>
                  <w:tcW w:w="1215"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53" w:leftChars="-25" w:right="-53" w:rightChars="-25"/>
                    <w:jc w:val="center"/>
                    <w:rPr>
                      <w:kern w:val="0"/>
                      <w:sz w:val="18"/>
                      <w:szCs w:val="21"/>
                    </w:rPr>
                  </w:pPr>
                  <w:r>
                    <w:rPr>
                      <w:kern w:val="0"/>
                      <w:sz w:val="18"/>
                      <w:szCs w:val="21"/>
                    </w:rPr>
                    <w:t>东北面住户</w:t>
                  </w:r>
                </w:p>
              </w:tc>
              <w:tc>
                <w:tcPr>
                  <w:tcW w:w="19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1户、2人</w:t>
                  </w:r>
                </w:p>
              </w:tc>
              <w:tc>
                <w:tcPr>
                  <w:tcW w:w="2278" w:type="dxa"/>
                  <w:tcBorders>
                    <w:top w:val="single" w:color="auto" w:sz="4" w:space="0"/>
                    <w:left w:val="single" w:color="auto" w:sz="4" w:space="0"/>
                    <w:bottom w:val="single" w:color="auto" w:sz="4" w:space="0"/>
                    <w:right w:val="single" w:color="auto" w:sz="4" w:space="0"/>
                  </w:tcBorders>
                  <w:noWrap/>
                  <w:vAlign w:val="center"/>
                </w:tcPr>
                <w:p>
                  <w:pPr>
                    <w:topLinePunct/>
                    <w:adjustRightInd w:val="0"/>
                    <w:snapToGrid w:val="0"/>
                    <w:spacing w:line="300" w:lineRule="exact"/>
                    <w:ind w:left="-105" w:leftChars="-50" w:right="-105" w:rightChars="-50"/>
                    <w:jc w:val="center"/>
                    <w:rPr>
                      <w:kern w:val="0"/>
                      <w:sz w:val="18"/>
                      <w:szCs w:val="21"/>
                    </w:rPr>
                  </w:pPr>
                  <w:r>
                    <w:rPr>
                      <w:kern w:val="0"/>
                      <w:sz w:val="18"/>
                      <w:szCs w:val="21"/>
                    </w:rPr>
                    <w:t>东北面、</w:t>
                  </w:r>
                  <w:r>
                    <w:rPr>
                      <w:rFonts w:hint="eastAsia"/>
                      <w:kern w:val="0"/>
                      <w:sz w:val="18"/>
                      <w:szCs w:val="21"/>
                    </w:rPr>
                    <w:t>62m</w:t>
                  </w:r>
                </w:p>
              </w:tc>
              <w:tc>
                <w:tcPr>
                  <w:tcW w:w="122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sz w:val="18"/>
                      <w:szCs w:val="20"/>
                    </w:rPr>
                  </w:pPr>
                  <w:r>
                    <w:rPr>
                      <w:rFonts w:hint="eastAsia"/>
                      <w:sz w:val="18"/>
                      <w:szCs w:val="20"/>
                    </w:rPr>
                    <w:t>/</w:t>
                  </w:r>
                </w:p>
              </w:tc>
            </w:tr>
          </w:tbl>
          <w:p>
            <w:pPr>
              <w:adjustRightInd w:val="0"/>
              <w:snapToGrid w:val="0"/>
              <w:spacing w:line="400" w:lineRule="exact"/>
              <w:jc w:val="left"/>
              <w:rPr>
                <w:rFonts w:ascii="黑体" w:hAnsi="黑体" w:eastAsia="黑体" w:cs="宋体"/>
                <w:bCs/>
                <w:szCs w:val="21"/>
              </w:rPr>
            </w:pPr>
            <w:r>
              <w:rPr>
                <w:rFonts w:ascii="黑体" w:hAnsi="黑体" w:eastAsia="黑体" w:cs="宋体"/>
                <w:bCs/>
                <w:szCs w:val="21"/>
              </w:rPr>
              <w:t>3</w:t>
            </w:r>
            <w:r>
              <w:rPr>
                <w:rFonts w:hint="eastAsia" w:ascii="黑体" w:hAnsi="黑体" w:eastAsia="黑体" w:cs="宋体"/>
                <w:bCs/>
                <w:szCs w:val="21"/>
              </w:rPr>
              <w:t>、地表水环境</w:t>
            </w:r>
          </w:p>
          <w:p>
            <w:pPr>
              <w:spacing w:line="400" w:lineRule="exact"/>
              <w:ind w:firstLine="420" w:firstLineChars="200"/>
              <w:jc w:val="left"/>
              <w:rPr>
                <w:rFonts w:cs="宋体"/>
                <w:kern w:val="0"/>
                <w:szCs w:val="21"/>
              </w:rPr>
            </w:pPr>
            <w:r>
              <w:rPr>
                <w:rFonts w:hint="eastAsia" w:cs="宋体"/>
                <w:kern w:val="0"/>
                <w:szCs w:val="21"/>
              </w:rPr>
              <w:t>本项目周边地表水体为配气站南面的后巴河，属于后河右岸支流。项目区域评价河段水质满足《地表水环境质量标准》（GB3838-2002）Ⅲ类标准。</w:t>
            </w:r>
          </w:p>
          <w:p>
            <w:pPr>
              <w:spacing w:line="500" w:lineRule="exact"/>
              <w:jc w:val="center"/>
              <w:rPr>
                <w:rFonts w:eastAsia="黑体"/>
                <w:kern w:val="0"/>
                <w:sz w:val="18"/>
                <w:szCs w:val="18"/>
              </w:rPr>
            </w:pPr>
            <w:r>
              <w:rPr>
                <w:rFonts w:eastAsia="黑体"/>
                <w:kern w:val="0"/>
                <w:sz w:val="18"/>
                <w:szCs w:val="18"/>
              </w:rPr>
              <w:t>表</w:t>
            </w:r>
            <w:r>
              <w:rPr>
                <w:rFonts w:hint="eastAsia" w:eastAsia="黑体"/>
                <w:kern w:val="0"/>
                <w:sz w:val="18"/>
                <w:szCs w:val="18"/>
              </w:rPr>
              <w:t>3-10</w:t>
            </w:r>
            <w:r>
              <w:rPr>
                <w:rFonts w:eastAsia="黑体"/>
                <w:kern w:val="0"/>
                <w:sz w:val="18"/>
                <w:szCs w:val="18"/>
              </w:rPr>
              <w:t xml:space="preserve">    地表水环境保护目标</w:t>
            </w:r>
          </w:p>
          <w:tbl>
            <w:tblPr>
              <w:tblStyle w:val="17"/>
              <w:tblW w:w="7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1461"/>
              <w:gridCol w:w="1417"/>
              <w:gridCol w:w="1134"/>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964" w:type="dxa"/>
                  <w:vAlign w:val="center"/>
                </w:tcPr>
                <w:p>
                  <w:pPr>
                    <w:spacing w:line="300" w:lineRule="exact"/>
                    <w:jc w:val="center"/>
                    <w:rPr>
                      <w:b/>
                      <w:bCs/>
                      <w:sz w:val="18"/>
                      <w:szCs w:val="18"/>
                    </w:rPr>
                  </w:pPr>
                  <w:r>
                    <w:rPr>
                      <w:b/>
                      <w:bCs/>
                      <w:sz w:val="18"/>
                      <w:szCs w:val="18"/>
                    </w:rPr>
                    <w:t>环境要素</w:t>
                  </w:r>
                </w:p>
              </w:tc>
              <w:tc>
                <w:tcPr>
                  <w:tcW w:w="1461" w:type="dxa"/>
                  <w:vAlign w:val="center"/>
                </w:tcPr>
                <w:p>
                  <w:pPr>
                    <w:spacing w:line="300" w:lineRule="exact"/>
                    <w:jc w:val="center"/>
                    <w:rPr>
                      <w:b/>
                      <w:bCs/>
                      <w:sz w:val="18"/>
                      <w:szCs w:val="18"/>
                    </w:rPr>
                  </w:pPr>
                  <w:r>
                    <w:rPr>
                      <w:b/>
                      <w:bCs/>
                      <w:sz w:val="18"/>
                      <w:szCs w:val="18"/>
                    </w:rPr>
                    <w:t>保护</w:t>
                  </w:r>
                  <w:r>
                    <w:rPr>
                      <w:rFonts w:hint="eastAsia"/>
                      <w:b/>
                      <w:bCs/>
                      <w:sz w:val="18"/>
                      <w:szCs w:val="18"/>
                    </w:rPr>
                    <w:t>目标</w:t>
                  </w:r>
                </w:p>
              </w:tc>
              <w:tc>
                <w:tcPr>
                  <w:tcW w:w="1417" w:type="dxa"/>
                  <w:vAlign w:val="center"/>
                </w:tcPr>
                <w:p>
                  <w:pPr>
                    <w:spacing w:line="300" w:lineRule="exact"/>
                    <w:ind w:left="-105" w:leftChars="-50" w:right="-105" w:rightChars="-50"/>
                    <w:jc w:val="center"/>
                    <w:rPr>
                      <w:b/>
                      <w:bCs/>
                      <w:sz w:val="18"/>
                      <w:szCs w:val="18"/>
                    </w:rPr>
                  </w:pPr>
                  <w:r>
                    <w:rPr>
                      <w:b/>
                      <w:bCs/>
                      <w:sz w:val="18"/>
                      <w:szCs w:val="18"/>
                    </w:rPr>
                    <w:t>方位</w:t>
                  </w:r>
                  <w:r>
                    <w:rPr>
                      <w:rFonts w:hint="eastAsia"/>
                      <w:b/>
                      <w:bCs/>
                      <w:sz w:val="18"/>
                      <w:szCs w:val="18"/>
                    </w:rPr>
                    <w:t>、</w:t>
                  </w:r>
                  <w:r>
                    <w:rPr>
                      <w:b/>
                      <w:bCs/>
                      <w:sz w:val="18"/>
                      <w:szCs w:val="18"/>
                    </w:rPr>
                    <w:t>距离</w:t>
                  </w:r>
                </w:p>
              </w:tc>
              <w:tc>
                <w:tcPr>
                  <w:tcW w:w="1134" w:type="dxa"/>
                  <w:vAlign w:val="center"/>
                </w:tcPr>
                <w:p>
                  <w:pPr>
                    <w:spacing w:line="300" w:lineRule="exact"/>
                    <w:jc w:val="center"/>
                    <w:rPr>
                      <w:b/>
                      <w:bCs/>
                      <w:sz w:val="18"/>
                      <w:szCs w:val="18"/>
                    </w:rPr>
                  </w:pPr>
                  <w:r>
                    <w:rPr>
                      <w:b/>
                      <w:bCs/>
                      <w:sz w:val="18"/>
                      <w:szCs w:val="18"/>
                    </w:rPr>
                    <w:t>规模</w:t>
                  </w:r>
                </w:p>
              </w:tc>
              <w:tc>
                <w:tcPr>
                  <w:tcW w:w="2865" w:type="dxa"/>
                  <w:vAlign w:val="center"/>
                </w:tcPr>
                <w:p>
                  <w:pPr>
                    <w:spacing w:line="300" w:lineRule="exact"/>
                    <w:jc w:val="center"/>
                    <w:rPr>
                      <w:b/>
                      <w:bCs/>
                      <w:sz w:val="18"/>
                      <w:szCs w:val="18"/>
                    </w:rPr>
                  </w:pPr>
                  <w:r>
                    <w:rPr>
                      <w:b/>
                      <w:bCs/>
                      <w:sz w:val="18"/>
                      <w:szCs w:val="18"/>
                    </w:rPr>
                    <w:t>环境功能要求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64" w:type="dxa"/>
                  <w:vMerge w:val="restart"/>
                  <w:vAlign w:val="center"/>
                </w:tcPr>
                <w:p>
                  <w:pPr>
                    <w:spacing w:line="300" w:lineRule="exact"/>
                    <w:jc w:val="center"/>
                    <w:rPr>
                      <w:sz w:val="18"/>
                      <w:szCs w:val="18"/>
                    </w:rPr>
                  </w:pPr>
                  <w:r>
                    <w:rPr>
                      <w:sz w:val="18"/>
                      <w:szCs w:val="18"/>
                    </w:rPr>
                    <w:t>水环境</w:t>
                  </w:r>
                </w:p>
              </w:tc>
              <w:tc>
                <w:tcPr>
                  <w:tcW w:w="1461" w:type="dxa"/>
                  <w:vAlign w:val="center"/>
                </w:tcPr>
                <w:p>
                  <w:pPr>
                    <w:spacing w:line="300" w:lineRule="exact"/>
                    <w:jc w:val="center"/>
                    <w:rPr>
                      <w:sz w:val="18"/>
                      <w:szCs w:val="18"/>
                    </w:rPr>
                  </w:pPr>
                  <w:r>
                    <w:rPr>
                      <w:sz w:val="18"/>
                      <w:szCs w:val="18"/>
                    </w:rPr>
                    <w:t>后巴河</w:t>
                  </w:r>
                </w:p>
              </w:tc>
              <w:tc>
                <w:tcPr>
                  <w:tcW w:w="1417" w:type="dxa"/>
                  <w:vAlign w:val="center"/>
                </w:tcPr>
                <w:p>
                  <w:pPr>
                    <w:topLinePunct/>
                    <w:adjustRightInd w:val="0"/>
                    <w:snapToGrid w:val="0"/>
                    <w:spacing w:line="300" w:lineRule="exact"/>
                    <w:ind w:left="-105" w:leftChars="-50" w:right="-105" w:rightChars="-50"/>
                    <w:jc w:val="center"/>
                    <w:rPr>
                      <w:kern w:val="0"/>
                      <w:sz w:val="18"/>
                      <w:szCs w:val="18"/>
                    </w:rPr>
                  </w:pPr>
                  <w:r>
                    <w:rPr>
                      <w:rFonts w:hint="eastAsia"/>
                      <w:kern w:val="0"/>
                      <w:sz w:val="18"/>
                      <w:szCs w:val="18"/>
                    </w:rPr>
                    <w:t>南面、2260m</w:t>
                  </w:r>
                </w:p>
              </w:tc>
              <w:tc>
                <w:tcPr>
                  <w:tcW w:w="1134" w:type="dxa"/>
                  <w:vAlign w:val="center"/>
                </w:tcPr>
                <w:p>
                  <w:pPr>
                    <w:topLinePunct/>
                    <w:adjustRightInd w:val="0"/>
                    <w:snapToGrid w:val="0"/>
                    <w:spacing w:line="300" w:lineRule="exact"/>
                    <w:jc w:val="center"/>
                    <w:rPr>
                      <w:kern w:val="0"/>
                      <w:sz w:val="18"/>
                      <w:szCs w:val="18"/>
                    </w:rPr>
                  </w:pPr>
                  <w:r>
                    <w:rPr>
                      <w:kern w:val="0"/>
                      <w:sz w:val="18"/>
                      <w:szCs w:val="18"/>
                    </w:rPr>
                    <w:t>小河</w:t>
                  </w:r>
                </w:p>
              </w:tc>
              <w:tc>
                <w:tcPr>
                  <w:tcW w:w="2865" w:type="dxa"/>
                  <w:vMerge w:val="restart"/>
                  <w:vAlign w:val="center"/>
                </w:tcPr>
                <w:p>
                  <w:pPr>
                    <w:spacing w:line="300" w:lineRule="exact"/>
                    <w:ind w:left="-105" w:leftChars="-50" w:right="-105" w:rightChars="-50"/>
                    <w:rPr>
                      <w:spacing w:val="-4"/>
                      <w:sz w:val="18"/>
                      <w:szCs w:val="18"/>
                    </w:rPr>
                  </w:pPr>
                  <w:r>
                    <w:rPr>
                      <w:rFonts w:hint="eastAsia"/>
                      <w:spacing w:val="-4"/>
                      <w:sz w:val="18"/>
                      <w:szCs w:val="18"/>
                    </w:rPr>
                    <w:t>《地表水环境质量标准》（GB3838-2002）Ⅲ类水域水质标准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64" w:type="dxa"/>
                  <w:vMerge w:val="continue"/>
                  <w:vAlign w:val="center"/>
                </w:tcPr>
                <w:p>
                  <w:pPr>
                    <w:spacing w:line="300" w:lineRule="exact"/>
                    <w:jc w:val="center"/>
                    <w:rPr>
                      <w:sz w:val="18"/>
                      <w:szCs w:val="18"/>
                    </w:rPr>
                  </w:pPr>
                </w:p>
              </w:tc>
              <w:tc>
                <w:tcPr>
                  <w:tcW w:w="1461" w:type="dxa"/>
                  <w:vAlign w:val="center"/>
                </w:tcPr>
                <w:p>
                  <w:pPr>
                    <w:spacing w:line="300" w:lineRule="exact"/>
                    <w:jc w:val="center"/>
                    <w:rPr>
                      <w:sz w:val="18"/>
                      <w:szCs w:val="18"/>
                    </w:rPr>
                  </w:pPr>
                  <w:r>
                    <w:rPr>
                      <w:sz w:val="18"/>
                      <w:szCs w:val="18"/>
                    </w:rPr>
                    <w:t>后河</w:t>
                  </w:r>
                </w:p>
              </w:tc>
              <w:tc>
                <w:tcPr>
                  <w:tcW w:w="1417" w:type="dxa"/>
                  <w:vAlign w:val="center"/>
                </w:tcPr>
                <w:p>
                  <w:pPr>
                    <w:topLinePunct/>
                    <w:adjustRightInd w:val="0"/>
                    <w:snapToGrid w:val="0"/>
                    <w:spacing w:line="300" w:lineRule="exact"/>
                    <w:ind w:left="-105" w:leftChars="-50" w:right="-105" w:rightChars="-50"/>
                    <w:jc w:val="center"/>
                    <w:rPr>
                      <w:kern w:val="0"/>
                      <w:sz w:val="18"/>
                      <w:szCs w:val="18"/>
                    </w:rPr>
                  </w:pPr>
                  <w:r>
                    <w:rPr>
                      <w:rFonts w:hint="eastAsia"/>
                      <w:kern w:val="0"/>
                      <w:sz w:val="18"/>
                      <w:szCs w:val="18"/>
                    </w:rPr>
                    <w:t>东面，5280km</w:t>
                  </w:r>
                </w:p>
              </w:tc>
              <w:tc>
                <w:tcPr>
                  <w:tcW w:w="1134" w:type="dxa"/>
                  <w:vAlign w:val="center"/>
                </w:tcPr>
                <w:p>
                  <w:pPr>
                    <w:topLinePunct/>
                    <w:adjustRightInd w:val="0"/>
                    <w:snapToGrid w:val="0"/>
                    <w:spacing w:line="300" w:lineRule="exact"/>
                    <w:jc w:val="center"/>
                    <w:rPr>
                      <w:kern w:val="0"/>
                      <w:sz w:val="18"/>
                      <w:szCs w:val="18"/>
                    </w:rPr>
                  </w:pPr>
                  <w:r>
                    <w:rPr>
                      <w:kern w:val="0"/>
                      <w:sz w:val="18"/>
                      <w:szCs w:val="18"/>
                    </w:rPr>
                    <w:t>小河</w:t>
                  </w:r>
                </w:p>
              </w:tc>
              <w:tc>
                <w:tcPr>
                  <w:tcW w:w="2865" w:type="dxa"/>
                  <w:vMerge w:val="continue"/>
                  <w:vAlign w:val="center"/>
                </w:tcPr>
                <w:p>
                  <w:pPr>
                    <w:spacing w:line="300" w:lineRule="exact"/>
                    <w:ind w:left="-105" w:leftChars="-50" w:right="-105" w:rightChars="-50"/>
                    <w:rPr>
                      <w:spacing w:val="-4"/>
                      <w:sz w:val="18"/>
                      <w:szCs w:val="18"/>
                    </w:rPr>
                  </w:pPr>
                </w:p>
              </w:tc>
            </w:tr>
          </w:tbl>
          <w:p>
            <w:pPr>
              <w:adjustRightInd w:val="0"/>
              <w:snapToGrid w:val="0"/>
              <w:spacing w:line="400" w:lineRule="exact"/>
              <w:jc w:val="left"/>
              <w:rPr>
                <w:rFonts w:ascii="黑体" w:hAnsi="黑体" w:eastAsia="黑体" w:cs="宋体"/>
                <w:bCs/>
                <w:szCs w:val="21"/>
              </w:rPr>
            </w:pPr>
            <w:r>
              <w:rPr>
                <w:rFonts w:hint="eastAsia" w:ascii="黑体" w:hAnsi="黑体" w:eastAsia="黑体" w:cs="宋体"/>
                <w:bCs/>
                <w:szCs w:val="21"/>
              </w:rPr>
              <w:t>4、地下水环境</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根据调查，项目场界外</w:t>
            </w:r>
            <w:r>
              <w:rPr>
                <w:rFonts w:cs="宋体"/>
                <w:kern w:val="0"/>
                <w:szCs w:val="21"/>
              </w:rPr>
              <w:t>500</w:t>
            </w:r>
            <w:r>
              <w:rPr>
                <w:rFonts w:hint="eastAsia" w:cs="宋体"/>
                <w:kern w:val="0"/>
                <w:szCs w:val="21"/>
              </w:rPr>
              <w:t>米范围内的无地下水集中式饮用水水源和热水、矿泉水、温泉等特殊地下水资源。</w:t>
            </w:r>
          </w:p>
          <w:p>
            <w:pPr>
              <w:adjustRightInd w:val="0"/>
              <w:snapToGrid w:val="0"/>
              <w:spacing w:line="400" w:lineRule="exact"/>
              <w:jc w:val="left"/>
              <w:rPr>
                <w:rFonts w:ascii="黑体" w:hAnsi="黑体" w:eastAsia="黑体" w:cs="宋体"/>
                <w:bCs/>
                <w:szCs w:val="21"/>
              </w:rPr>
            </w:pPr>
            <w:r>
              <w:rPr>
                <w:rFonts w:hint="eastAsia" w:ascii="黑体" w:hAnsi="黑体" w:eastAsia="黑体" w:cs="宋体"/>
                <w:bCs/>
                <w:szCs w:val="21"/>
              </w:rPr>
              <w:t>5、生态环境</w:t>
            </w:r>
          </w:p>
          <w:p>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cs="宋体"/>
                <w:kern w:val="0"/>
                <w:szCs w:val="21"/>
              </w:rPr>
              <w:t>生态保护目标是指受影响的重要物种、生态敏感区以及其他需要保护的物种、种群、生物群落及生态空间等。项目生态环境评价范围应涵盖项目开采活动的直接影响区域和间接区域。本项目为输气管道工程，拟以项目输气管道中心线向两侧外扩300m的范围为生态环境评价范围。根据外环境关系调查，项目生态环境评价范围不涉及受影响的重要物种、生态敏感区以及其他需要保护的物种、种群、生物群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69"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评价</w:t>
            </w:r>
          </w:p>
          <w:p>
            <w:pPr>
              <w:adjustRightInd w:val="0"/>
              <w:snapToGrid w:val="0"/>
              <w:jc w:val="center"/>
              <w:rPr>
                <w:rFonts w:ascii="宋体" w:hAnsi="宋体" w:cs="宋体"/>
                <w:kern w:val="0"/>
                <w:szCs w:val="21"/>
              </w:rPr>
            </w:pPr>
            <w:r>
              <w:rPr>
                <w:rFonts w:hint="eastAsia" w:ascii="宋体" w:hAnsi="宋体" w:cs="宋体"/>
                <w:kern w:val="0"/>
                <w:szCs w:val="21"/>
              </w:rPr>
              <w:t>标准</w:t>
            </w:r>
          </w:p>
        </w:tc>
        <w:tc>
          <w:tcPr>
            <w:tcW w:w="8253" w:type="dxa"/>
            <w:vAlign w:val="center"/>
          </w:tcPr>
          <w:p>
            <w:pPr>
              <w:pStyle w:val="55"/>
              <w:spacing w:line="400" w:lineRule="exact"/>
            </w:pPr>
            <w:r>
              <w:rPr>
                <w:rFonts w:cs="宋体"/>
                <w:kern w:val="0"/>
              </w:rPr>
              <w:t>1</w:t>
            </w:r>
            <w:r>
              <w:rPr>
                <w:rFonts w:hint="eastAsia" w:cs="宋体"/>
                <w:kern w:val="0"/>
              </w:rPr>
              <w:t>、大气环境：</w:t>
            </w:r>
            <w:r>
              <w:rPr>
                <w:b/>
                <w:bCs/>
                <w:sz w:val="18"/>
                <w:szCs w:val="18"/>
              </w:rPr>
              <w:t>SO</w:t>
            </w:r>
            <w:r>
              <w:rPr>
                <w:b/>
                <w:bCs/>
                <w:sz w:val="18"/>
                <w:szCs w:val="18"/>
                <w:vertAlign w:val="subscript"/>
              </w:rPr>
              <w:t>2</w:t>
            </w:r>
            <w:r>
              <w:rPr>
                <w:rFonts w:hint="eastAsia" w:cs="宋体"/>
                <w:kern w:val="0"/>
              </w:rPr>
              <w:t>、</w:t>
            </w:r>
            <w:r>
              <w:rPr>
                <w:b/>
                <w:bCs/>
                <w:sz w:val="18"/>
                <w:szCs w:val="18"/>
              </w:rPr>
              <w:t>NO</w:t>
            </w:r>
            <w:r>
              <w:rPr>
                <w:b/>
                <w:bCs/>
                <w:sz w:val="18"/>
                <w:szCs w:val="18"/>
                <w:vertAlign w:val="subscript"/>
              </w:rPr>
              <w:t>2</w:t>
            </w:r>
            <w:r>
              <w:rPr>
                <w:rFonts w:hint="eastAsia" w:cs="宋体"/>
                <w:kern w:val="0"/>
              </w:rPr>
              <w:t>、</w:t>
            </w:r>
            <w:r>
              <w:rPr>
                <w:b/>
                <w:bCs/>
                <w:sz w:val="18"/>
                <w:szCs w:val="18"/>
              </w:rPr>
              <w:t>PM</w:t>
            </w:r>
            <w:r>
              <w:rPr>
                <w:b/>
                <w:bCs/>
                <w:sz w:val="18"/>
                <w:szCs w:val="18"/>
                <w:vertAlign w:val="subscript"/>
              </w:rPr>
              <w:t>10</w:t>
            </w:r>
            <w:r>
              <w:rPr>
                <w:rFonts w:hint="eastAsia" w:cs="宋体"/>
                <w:kern w:val="0"/>
              </w:rPr>
              <w:t>、</w:t>
            </w:r>
            <w:r>
              <w:rPr>
                <w:b/>
                <w:bCs/>
                <w:sz w:val="18"/>
                <w:szCs w:val="18"/>
              </w:rPr>
              <w:t>PM</w:t>
            </w:r>
            <w:r>
              <w:rPr>
                <w:b/>
                <w:bCs/>
                <w:sz w:val="18"/>
                <w:szCs w:val="18"/>
                <w:vertAlign w:val="subscript"/>
              </w:rPr>
              <w:t>2.5</w:t>
            </w:r>
            <w:r>
              <w:rPr>
                <w:rFonts w:hint="eastAsia" w:cs="宋体"/>
                <w:kern w:val="0"/>
              </w:rPr>
              <w:t>、</w:t>
            </w:r>
            <w:r>
              <w:rPr>
                <w:b/>
                <w:bCs/>
                <w:sz w:val="18"/>
                <w:szCs w:val="18"/>
              </w:rPr>
              <w:t>CO</w:t>
            </w:r>
            <w:r>
              <w:rPr>
                <w:rFonts w:hint="eastAsia" w:cs="宋体"/>
                <w:kern w:val="0"/>
              </w:rPr>
              <w:t>、</w:t>
            </w:r>
            <w:r>
              <w:rPr>
                <w:b/>
                <w:bCs/>
                <w:sz w:val="18"/>
                <w:szCs w:val="18"/>
              </w:rPr>
              <w:t>O</w:t>
            </w:r>
            <w:r>
              <w:rPr>
                <w:b/>
                <w:bCs/>
                <w:sz w:val="18"/>
                <w:szCs w:val="18"/>
                <w:vertAlign w:val="subscript"/>
              </w:rPr>
              <w:t>3</w:t>
            </w:r>
            <w:r>
              <w:rPr>
                <w:rFonts w:hint="eastAsia" w:cs="宋体"/>
                <w:kern w:val="0"/>
              </w:rPr>
              <w:t>、</w:t>
            </w:r>
            <w:r>
              <w:rPr>
                <w:b/>
                <w:bCs/>
                <w:sz w:val="18"/>
                <w:szCs w:val="18"/>
              </w:rPr>
              <w:t>TSP</w:t>
            </w:r>
            <w:r>
              <w:rPr>
                <w:rFonts w:hint="eastAsia" w:cs="宋体"/>
                <w:kern w:val="0"/>
              </w:rPr>
              <w:t>执行《环境空气质量标准》</w:t>
            </w:r>
            <w:r>
              <w:rPr>
                <w:rFonts w:cs="宋体"/>
                <w:kern w:val="0"/>
              </w:rPr>
              <w:t>(GB3095-2012)</w:t>
            </w:r>
            <w:r>
              <w:rPr>
                <w:rFonts w:hint="eastAsia" w:cs="宋体"/>
                <w:kern w:val="0"/>
              </w:rPr>
              <w:t>表</w:t>
            </w:r>
            <w:r>
              <w:rPr>
                <w:rFonts w:cs="宋体"/>
                <w:kern w:val="0"/>
              </w:rPr>
              <w:t>1</w:t>
            </w:r>
            <w:r>
              <w:rPr>
                <w:rFonts w:hint="eastAsia" w:cs="宋体"/>
                <w:kern w:val="0"/>
              </w:rPr>
              <w:t>中的二级标准。非甲烷总烃执行</w:t>
            </w:r>
            <w:r>
              <w:rPr>
                <w:rFonts w:cs="宋体"/>
                <w:kern w:val="0"/>
              </w:rPr>
              <w:t>《</w:t>
            </w:r>
            <w:r>
              <w:rPr>
                <w:rFonts w:hint="eastAsia" w:cs="宋体"/>
                <w:kern w:val="0"/>
              </w:rPr>
              <w:t>大气污染物综合排放标准详解</w:t>
            </w:r>
            <w:r>
              <w:rPr>
                <w:rFonts w:cs="宋体"/>
                <w:kern w:val="0"/>
              </w:rPr>
              <w:t>》中的限值要求。</w:t>
            </w:r>
          </w:p>
          <w:p>
            <w:pPr>
              <w:spacing w:line="400" w:lineRule="exact"/>
              <w:jc w:val="center"/>
              <w:rPr>
                <w:rFonts w:eastAsia="黑体"/>
                <w:bCs/>
                <w:sz w:val="18"/>
                <w:szCs w:val="18"/>
              </w:rPr>
            </w:pPr>
            <w:r>
              <w:rPr>
                <w:rFonts w:hint="eastAsia" w:eastAsia="黑体"/>
                <w:bCs/>
                <w:sz w:val="18"/>
                <w:szCs w:val="18"/>
              </w:rPr>
              <w:t>表3-11  环境空气质量标准限值</w:t>
            </w:r>
          </w:p>
          <w:tbl>
            <w:tblPr>
              <w:tblStyle w:val="17"/>
              <w:tblW w:w="8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851"/>
              <w:gridCol w:w="850"/>
              <w:gridCol w:w="709"/>
              <w:gridCol w:w="567"/>
              <w:gridCol w:w="851"/>
              <w:gridCol w:w="708"/>
              <w:gridCol w:w="851"/>
              <w:gridCol w:w="1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b/>
                      <w:bCs/>
                      <w:sz w:val="18"/>
                      <w:szCs w:val="18"/>
                    </w:rPr>
                  </w:pPr>
                  <w:r>
                    <w:rPr>
                      <w:rFonts w:hint="eastAsia"/>
                      <w:b/>
                      <w:bCs/>
                      <w:sz w:val="18"/>
                      <w:szCs w:val="18"/>
                    </w:rPr>
                    <w:t>指标</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b/>
                      <w:bCs/>
                      <w:sz w:val="18"/>
                      <w:szCs w:val="18"/>
                    </w:rPr>
                  </w:pPr>
                  <w:r>
                    <w:rPr>
                      <w:b/>
                      <w:bCs/>
                      <w:sz w:val="18"/>
                      <w:szCs w:val="18"/>
                    </w:rPr>
                    <w:t>SO</w:t>
                  </w:r>
                  <w:r>
                    <w:rPr>
                      <w:b/>
                      <w:bCs/>
                      <w:sz w:val="18"/>
                      <w:szCs w:val="18"/>
                      <w:vertAlign w:val="subscript"/>
                    </w:rPr>
                    <w:t>2</w:t>
                  </w:r>
                </w:p>
              </w:tc>
              <w:tc>
                <w:tcPr>
                  <w:tcW w:w="850"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b/>
                      <w:bCs/>
                      <w:sz w:val="18"/>
                      <w:szCs w:val="18"/>
                    </w:rPr>
                  </w:pPr>
                  <w:r>
                    <w:rPr>
                      <w:b/>
                      <w:bCs/>
                      <w:sz w:val="18"/>
                      <w:szCs w:val="18"/>
                    </w:rPr>
                    <w:t>NO</w:t>
                  </w:r>
                  <w:r>
                    <w:rPr>
                      <w:b/>
                      <w:bCs/>
                      <w:sz w:val="18"/>
                      <w:szCs w:val="18"/>
                      <w:vertAlign w:val="subscript"/>
                    </w:rPr>
                    <w:t>2</w:t>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b/>
                      <w:bCs/>
                      <w:sz w:val="18"/>
                      <w:szCs w:val="18"/>
                    </w:rPr>
                  </w:pPr>
                  <w:r>
                    <w:rPr>
                      <w:b/>
                      <w:bCs/>
                      <w:sz w:val="18"/>
                      <w:szCs w:val="18"/>
                    </w:rPr>
                    <w:t>PM</w:t>
                  </w:r>
                  <w:r>
                    <w:rPr>
                      <w:b/>
                      <w:bCs/>
                      <w:sz w:val="18"/>
                      <w:szCs w:val="18"/>
                      <w:vertAlign w:val="subscript"/>
                    </w:rPr>
                    <w:t>10</w:t>
                  </w:r>
                </w:p>
              </w:tc>
              <w:tc>
                <w:tcPr>
                  <w:tcW w:w="567"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b/>
                      <w:bCs/>
                      <w:sz w:val="18"/>
                      <w:szCs w:val="18"/>
                    </w:rPr>
                  </w:pPr>
                  <w:r>
                    <w:rPr>
                      <w:b/>
                      <w:bCs/>
                      <w:sz w:val="18"/>
                      <w:szCs w:val="18"/>
                    </w:rPr>
                    <w:t>PM</w:t>
                  </w:r>
                  <w:r>
                    <w:rPr>
                      <w:b/>
                      <w:bCs/>
                      <w:sz w:val="18"/>
                      <w:szCs w:val="18"/>
                      <w:vertAlign w:val="subscript"/>
                    </w:rPr>
                    <w:t>2.5</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b/>
                      <w:bCs/>
                      <w:sz w:val="18"/>
                      <w:szCs w:val="18"/>
                    </w:rPr>
                  </w:pPr>
                  <w:r>
                    <w:rPr>
                      <w:b/>
                      <w:bCs/>
                      <w:sz w:val="18"/>
                      <w:szCs w:val="18"/>
                    </w:rPr>
                    <w:t>CO</w:t>
                  </w:r>
                  <w:r>
                    <w:rPr>
                      <w:rFonts w:hint="eastAsia"/>
                      <w:b/>
                      <w:bCs/>
                      <w:sz w:val="18"/>
                      <w:szCs w:val="18"/>
                      <w:vertAlign w:val="superscript"/>
                    </w:rPr>
                    <w:t>（</w:t>
                  </w:r>
                  <w:r>
                    <w:rPr>
                      <w:b/>
                      <w:bCs/>
                      <w:sz w:val="18"/>
                      <w:szCs w:val="18"/>
                      <w:vertAlign w:val="superscript"/>
                    </w:rPr>
                    <w:t>1</w:t>
                  </w:r>
                  <w:r>
                    <w:rPr>
                      <w:rFonts w:hint="eastAsia"/>
                      <w:b/>
                      <w:bCs/>
                      <w:sz w:val="18"/>
                      <w:szCs w:val="18"/>
                      <w:vertAlign w:val="superscript"/>
                    </w:rPr>
                    <w:t>）</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b/>
                      <w:bCs/>
                      <w:sz w:val="18"/>
                      <w:szCs w:val="18"/>
                    </w:rPr>
                  </w:pPr>
                  <w:r>
                    <w:rPr>
                      <w:b/>
                      <w:bCs/>
                      <w:sz w:val="18"/>
                      <w:szCs w:val="18"/>
                    </w:rPr>
                    <w:t>O</w:t>
                  </w:r>
                  <w:r>
                    <w:rPr>
                      <w:b/>
                      <w:bCs/>
                      <w:sz w:val="18"/>
                      <w:szCs w:val="18"/>
                      <w:vertAlign w:val="subscript"/>
                    </w:rPr>
                    <w:t>3</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b/>
                      <w:bCs/>
                      <w:sz w:val="18"/>
                      <w:szCs w:val="18"/>
                    </w:rPr>
                  </w:pPr>
                  <w:r>
                    <w:rPr>
                      <w:b/>
                      <w:bCs/>
                      <w:sz w:val="18"/>
                      <w:szCs w:val="18"/>
                    </w:rPr>
                    <w:t>TSP</w:t>
                  </w:r>
                </w:p>
              </w:tc>
              <w:tc>
                <w:tcPr>
                  <w:tcW w:w="1681"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b/>
                      <w:bCs/>
                      <w:sz w:val="18"/>
                      <w:szCs w:val="18"/>
                    </w:rPr>
                  </w:pPr>
                  <w:r>
                    <w:rPr>
                      <w:rFonts w:hint="eastAsia"/>
                      <w:b/>
                      <w:bCs/>
                      <w:sz w:val="18"/>
                      <w:szCs w:val="18"/>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rFonts w:hint="eastAsia"/>
                      <w:sz w:val="18"/>
                      <w:szCs w:val="18"/>
                    </w:rPr>
                    <w:t>小时平均</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500</w:t>
                  </w:r>
                </w:p>
              </w:tc>
              <w:tc>
                <w:tcPr>
                  <w:tcW w:w="850"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cr/>
                  </w:r>
                  <w:r>
                    <w:rPr>
                      <w:sz w:val="18"/>
                      <w:szCs w:val="18"/>
                    </w:rPr>
                    <w:t>00</w:t>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w:t>
                  </w:r>
                </w:p>
              </w:tc>
              <w:tc>
                <w:tcPr>
                  <w:tcW w:w="567"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10</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200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w:t>
                  </w:r>
                </w:p>
              </w:tc>
              <w:tc>
                <w:tcPr>
                  <w:tcW w:w="1681" w:type="dxa"/>
                  <w:vMerge w:val="restart"/>
                  <w:tcBorders>
                    <w:top w:val="single" w:color="auto" w:sz="4" w:space="0"/>
                    <w:left w:val="single" w:color="auto" w:sz="4" w:space="0"/>
                    <w:right w:val="single" w:color="auto" w:sz="4" w:space="0"/>
                  </w:tcBorders>
                  <w:vAlign w:val="center"/>
                </w:tcPr>
                <w:p>
                  <w:pPr>
                    <w:spacing w:line="300" w:lineRule="exact"/>
                    <w:ind w:right="-71" w:rightChars="-34"/>
                    <w:jc w:val="center"/>
                    <w:rPr>
                      <w:rFonts w:eastAsia="新宋体"/>
                      <w:sz w:val="18"/>
                      <w:szCs w:val="18"/>
                      <w:vertAlign w:val="superscript"/>
                    </w:rPr>
                  </w:pPr>
                  <w:r>
                    <w:rPr>
                      <w:rFonts w:hint="eastAsia"/>
                      <w:sz w:val="18"/>
                      <w:szCs w:val="18"/>
                    </w:rPr>
                    <w:t>2.0mg</w:t>
                  </w:r>
                  <w:r>
                    <w:rPr>
                      <w:rFonts w:eastAsia="新宋体"/>
                      <w:sz w:val="18"/>
                      <w:szCs w:val="18"/>
                    </w:rPr>
                    <w:t>/m</w:t>
                  </w:r>
                  <w:r>
                    <w:rPr>
                      <w:rFonts w:eastAsia="新宋体"/>
                      <w:sz w:val="18"/>
                      <w:szCs w:val="18"/>
                      <w:vertAlign w:val="superscript"/>
                    </w:rPr>
                    <w:t>3</w:t>
                  </w:r>
                </w:p>
                <w:p>
                  <w:pPr>
                    <w:spacing w:line="300" w:lineRule="exact"/>
                    <w:ind w:right="-71" w:rightChars="-34"/>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rFonts w:hint="eastAsia"/>
                      <w:sz w:val="18"/>
                      <w:szCs w:val="18"/>
                    </w:rPr>
                    <w:t>日平均</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150</w:t>
                  </w:r>
                </w:p>
              </w:tc>
              <w:tc>
                <w:tcPr>
                  <w:tcW w:w="850"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80</w:t>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150</w:t>
                  </w:r>
                </w:p>
              </w:tc>
              <w:tc>
                <w:tcPr>
                  <w:tcW w:w="567"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75</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4</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160</w:t>
                  </w:r>
                  <w:r>
                    <w:rPr>
                      <w:rFonts w:hint="eastAsia"/>
                      <w:sz w:val="18"/>
                      <w:szCs w:val="18"/>
                      <w:vertAlign w:val="superscript"/>
                    </w:rPr>
                    <w:t>（</w:t>
                  </w:r>
                  <w:r>
                    <w:rPr>
                      <w:sz w:val="18"/>
                      <w:szCs w:val="18"/>
                      <w:vertAlign w:val="superscript"/>
                    </w:rPr>
                    <w:t>2</w:t>
                  </w:r>
                  <w:r>
                    <w:rPr>
                      <w:rFonts w:hint="eastAsia"/>
                      <w:sz w:val="18"/>
                      <w:szCs w:val="18"/>
                      <w:vertAlign w:val="superscript"/>
                    </w:rPr>
                    <w:t>）</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300</w:t>
                  </w:r>
                </w:p>
              </w:tc>
              <w:tc>
                <w:tcPr>
                  <w:tcW w:w="1681" w:type="dxa"/>
                  <w:vMerge w:val="continue"/>
                  <w:tcBorders>
                    <w:left w:val="single" w:color="auto" w:sz="4" w:space="0"/>
                    <w:right w:val="single" w:color="auto" w:sz="4" w:space="0"/>
                  </w:tcBorders>
                  <w:vAlign w:val="center"/>
                </w:tcPr>
                <w:p>
                  <w:pPr>
                    <w:spacing w:line="300" w:lineRule="exact"/>
                    <w:ind w:right="-71" w:rightChars="-34"/>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rFonts w:hint="eastAsia"/>
                      <w:sz w:val="18"/>
                      <w:szCs w:val="18"/>
                    </w:rPr>
                    <w:t>年平均</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60</w:t>
                  </w:r>
                </w:p>
              </w:tc>
              <w:tc>
                <w:tcPr>
                  <w:tcW w:w="850"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40</w:t>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70</w:t>
                  </w:r>
                </w:p>
              </w:tc>
              <w:tc>
                <w:tcPr>
                  <w:tcW w:w="567"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35</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sz w:val="18"/>
                      <w:szCs w:val="18"/>
                    </w:rPr>
                    <w:t>200</w:t>
                  </w:r>
                </w:p>
              </w:tc>
              <w:tc>
                <w:tcPr>
                  <w:tcW w:w="1681" w:type="dxa"/>
                  <w:vMerge w:val="continue"/>
                  <w:tcBorders>
                    <w:left w:val="single" w:color="auto" w:sz="4" w:space="0"/>
                    <w:bottom w:val="single" w:color="auto" w:sz="4" w:space="0"/>
                    <w:right w:val="single" w:color="auto" w:sz="4" w:space="0"/>
                  </w:tcBorders>
                  <w:vAlign w:val="center"/>
                </w:tcPr>
                <w:p>
                  <w:pPr>
                    <w:spacing w:line="300" w:lineRule="exact"/>
                    <w:ind w:right="-71" w:rightChars="-34"/>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rFonts w:hint="eastAsia"/>
                      <w:sz w:val="18"/>
                      <w:szCs w:val="18"/>
                    </w:rPr>
                    <w:t>标准</w:t>
                  </w:r>
                </w:p>
              </w:tc>
              <w:tc>
                <w:tcPr>
                  <w:tcW w:w="5387" w:type="dxa"/>
                  <w:gridSpan w:val="7"/>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center"/>
                    <w:rPr>
                      <w:sz w:val="18"/>
                      <w:szCs w:val="18"/>
                    </w:rPr>
                  </w:pPr>
                  <w:r>
                    <w:rPr>
                      <w:rFonts w:hint="eastAsia"/>
                      <w:sz w:val="18"/>
                      <w:szCs w:val="18"/>
                    </w:rPr>
                    <w:t>《环境空气质量标准》</w:t>
                  </w:r>
                  <w:r>
                    <w:rPr>
                      <w:sz w:val="18"/>
                      <w:szCs w:val="18"/>
                    </w:rPr>
                    <w:t>GB3095-2012</w:t>
                  </w:r>
                  <w:r>
                    <w:rPr>
                      <w:rFonts w:hint="eastAsia"/>
                      <w:sz w:val="18"/>
                      <w:szCs w:val="18"/>
                    </w:rPr>
                    <w:t>二级标准</w:t>
                  </w:r>
                </w:p>
              </w:tc>
              <w:tc>
                <w:tcPr>
                  <w:tcW w:w="1681" w:type="dxa"/>
                  <w:vMerge w:val="restart"/>
                  <w:tcBorders>
                    <w:top w:val="single" w:color="auto" w:sz="4" w:space="0"/>
                    <w:left w:val="single" w:color="auto" w:sz="4" w:space="0"/>
                    <w:right w:val="single" w:color="auto" w:sz="4" w:space="0"/>
                  </w:tcBorders>
                  <w:vAlign w:val="center"/>
                </w:tcPr>
                <w:p>
                  <w:pPr>
                    <w:spacing w:line="300" w:lineRule="exact"/>
                    <w:ind w:left="-71" w:leftChars="-34" w:right="-71" w:rightChars="-34"/>
                    <w:jc w:val="center"/>
                    <w:rPr>
                      <w:sz w:val="18"/>
                      <w:szCs w:val="18"/>
                    </w:rPr>
                  </w:pPr>
                  <w:r>
                    <w:rPr>
                      <w:rFonts w:hint="eastAsia" w:cs="宋体"/>
                      <w:kern w:val="0"/>
                      <w:sz w:val="18"/>
                    </w:rPr>
                    <w:t>大气污染物综合排放标准详解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44" w:type="dxa"/>
                  <w:gridSpan w:val="8"/>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rPr>
                      <w:rFonts w:eastAsia="新宋体"/>
                      <w:b/>
                      <w:bCs/>
                      <w:sz w:val="18"/>
                      <w:szCs w:val="18"/>
                    </w:rPr>
                  </w:pPr>
                  <w:r>
                    <w:rPr>
                      <w:rFonts w:hint="eastAsia" w:eastAsia="新宋体"/>
                      <w:b/>
                      <w:bCs/>
                      <w:sz w:val="18"/>
                      <w:szCs w:val="18"/>
                    </w:rPr>
                    <w:t>说明</w:t>
                  </w:r>
                  <w:r>
                    <w:rPr>
                      <w:rFonts w:hint="eastAsia" w:eastAsia="新宋体"/>
                      <w:sz w:val="18"/>
                      <w:szCs w:val="18"/>
                    </w:rPr>
                    <w:t>：（</w:t>
                  </w:r>
                  <w:r>
                    <w:rPr>
                      <w:rFonts w:eastAsia="新宋体"/>
                      <w:sz w:val="18"/>
                      <w:szCs w:val="18"/>
                    </w:rPr>
                    <w:t>1</w:t>
                  </w:r>
                  <w:r>
                    <w:rPr>
                      <w:rFonts w:hint="eastAsia" w:eastAsia="新宋体"/>
                      <w:sz w:val="18"/>
                      <w:szCs w:val="18"/>
                    </w:rPr>
                    <w:t>）</w:t>
                  </w:r>
                  <w:r>
                    <w:rPr>
                      <w:rFonts w:eastAsia="新宋体"/>
                      <w:sz w:val="18"/>
                      <w:szCs w:val="18"/>
                    </w:rPr>
                    <w:t>CO</w:t>
                  </w:r>
                  <w:r>
                    <w:rPr>
                      <w:rFonts w:hint="eastAsia" w:eastAsia="新宋体"/>
                      <w:sz w:val="18"/>
                      <w:szCs w:val="18"/>
                    </w:rPr>
                    <w:t>单位为</w:t>
                  </w:r>
                  <w:r>
                    <w:rPr>
                      <w:rFonts w:eastAsia="新宋体"/>
                      <w:sz w:val="18"/>
                      <w:szCs w:val="18"/>
                    </w:rPr>
                    <w:t>mg/m</w:t>
                  </w:r>
                  <w:r>
                    <w:rPr>
                      <w:rFonts w:eastAsia="新宋体"/>
                      <w:sz w:val="18"/>
                      <w:szCs w:val="18"/>
                      <w:vertAlign w:val="superscript"/>
                    </w:rPr>
                    <w:t>3</w:t>
                  </w:r>
                  <w:r>
                    <w:rPr>
                      <w:rFonts w:hint="eastAsia" w:eastAsia="新宋体"/>
                      <w:sz w:val="18"/>
                      <w:szCs w:val="18"/>
                    </w:rPr>
                    <w:t>，其余单位均为</w:t>
                  </w:r>
                  <w:r>
                    <w:rPr>
                      <w:rFonts w:eastAsia="新宋体"/>
                      <w:sz w:val="18"/>
                      <w:szCs w:val="18"/>
                    </w:rPr>
                    <w:t>ug/m</w:t>
                  </w:r>
                  <w:r>
                    <w:rPr>
                      <w:rFonts w:eastAsia="新宋体"/>
                      <w:sz w:val="18"/>
                      <w:szCs w:val="18"/>
                      <w:vertAlign w:val="superscript"/>
                    </w:rPr>
                    <w:t>3</w:t>
                  </w:r>
                  <w:r>
                    <w:rPr>
                      <w:rFonts w:hint="eastAsia" w:eastAsia="新宋体"/>
                      <w:sz w:val="18"/>
                      <w:szCs w:val="18"/>
                    </w:rPr>
                    <w:t>；（</w:t>
                  </w:r>
                  <w:r>
                    <w:rPr>
                      <w:rFonts w:eastAsia="新宋体"/>
                      <w:sz w:val="18"/>
                      <w:szCs w:val="18"/>
                    </w:rPr>
                    <w:t>2</w:t>
                  </w:r>
                  <w:r>
                    <w:rPr>
                      <w:rFonts w:hint="eastAsia" w:eastAsia="新宋体"/>
                      <w:sz w:val="18"/>
                      <w:szCs w:val="18"/>
                    </w:rPr>
                    <w:t>）为日最大</w:t>
                  </w:r>
                  <w:r>
                    <w:rPr>
                      <w:rFonts w:eastAsia="新宋体"/>
                      <w:sz w:val="18"/>
                      <w:szCs w:val="18"/>
                    </w:rPr>
                    <w:t>8h</w:t>
                  </w:r>
                  <w:r>
                    <w:rPr>
                      <w:rFonts w:hint="eastAsia" w:eastAsia="新宋体"/>
                      <w:sz w:val="18"/>
                      <w:szCs w:val="18"/>
                    </w:rPr>
                    <w:t>平均值</w:t>
                  </w:r>
                  <w:r>
                    <w:rPr>
                      <w:rFonts w:hint="eastAsia"/>
                      <w:sz w:val="18"/>
                      <w:szCs w:val="18"/>
                    </w:rPr>
                    <w:t>。</w:t>
                  </w:r>
                </w:p>
              </w:tc>
              <w:tc>
                <w:tcPr>
                  <w:tcW w:w="1681" w:type="dxa"/>
                  <w:vMerge w:val="continue"/>
                  <w:tcBorders>
                    <w:left w:val="single" w:color="auto" w:sz="4" w:space="0"/>
                    <w:bottom w:val="single" w:color="auto" w:sz="4" w:space="0"/>
                    <w:right w:val="single" w:color="auto" w:sz="4" w:space="0"/>
                  </w:tcBorders>
                  <w:vAlign w:val="center"/>
                </w:tcPr>
                <w:p>
                  <w:pPr>
                    <w:spacing w:line="300" w:lineRule="exact"/>
                    <w:ind w:right="-71" w:rightChars="-34"/>
                    <w:rPr>
                      <w:rFonts w:eastAsia="新宋体"/>
                      <w:b/>
                      <w:bCs/>
                      <w:sz w:val="18"/>
                      <w:szCs w:val="18"/>
                    </w:rPr>
                  </w:pPr>
                </w:p>
              </w:tc>
            </w:tr>
          </w:tbl>
          <w:p>
            <w:pPr>
              <w:autoSpaceDE w:val="0"/>
              <w:autoSpaceDN w:val="0"/>
              <w:adjustRightInd w:val="0"/>
              <w:snapToGrid w:val="0"/>
              <w:spacing w:line="400" w:lineRule="exact"/>
              <w:jc w:val="left"/>
              <w:rPr>
                <w:rFonts w:cs="宋体"/>
                <w:kern w:val="0"/>
                <w:szCs w:val="21"/>
              </w:rPr>
            </w:pPr>
            <w:r>
              <w:rPr>
                <w:rFonts w:cs="宋体"/>
                <w:kern w:val="0"/>
                <w:szCs w:val="21"/>
              </w:rPr>
              <w:t>2</w:t>
            </w:r>
            <w:r>
              <w:rPr>
                <w:rFonts w:hint="eastAsia" w:cs="宋体"/>
                <w:kern w:val="0"/>
                <w:szCs w:val="21"/>
              </w:rPr>
              <w:t>、地表水环境：《地表水环境质量标准》</w:t>
            </w:r>
            <w:r>
              <w:rPr>
                <w:rFonts w:cs="宋体"/>
                <w:kern w:val="0"/>
                <w:szCs w:val="21"/>
              </w:rPr>
              <w:t>(GB3838-2002)</w:t>
            </w:r>
            <w:r>
              <w:rPr>
                <w:rFonts w:hint="eastAsia" w:cs="宋体"/>
                <w:kern w:val="0"/>
                <w:szCs w:val="21"/>
              </w:rPr>
              <w:t>中的</w:t>
            </w:r>
            <w:r>
              <w:rPr>
                <w:rFonts w:cs="宋体"/>
                <w:kern w:val="0"/>
                <w:szCs w:val="21"/>
              </w:rPr>
              <w:t>Ⅲ</w:t>
            </w:r>
            <w:r>
              <w:rPr>
                <w:rFonts w:hint="eastAsia" w:cs="宋体"/>
                <w:kern w:val="0"/>
                <w:szCs w:val="21"/>
              </w:rPr>
              <w:t>类水域标准。</w:t>
            </w:r>
          </w:p>
          <w:p>
            <w:pPr>
              <w:spacing w:line="400" w:lineRule="exact"/>
              <w:jc w:val="center"/>
              <w:rPr>
                <w:rFonts w:eastAsia="黑体"/>
                <w:bCs/>
                <w:sz w:val="18"/>
                <w:szCs w:val="18"/>
              </w:rPr>
            </w:pPr>
            <w:r>
              <w:rPr>
                <w:rFonts w:hint="eastAsia" w:eastAsia="黑体"/>
                <w:bCs/>
                <w:sz w:val="18"/>
                <w:szCs w:val="18"/>
              </w:rPr>
              <w:t>表3-12   地表水环境质量标准限值（单位：</w:t>
            </w:r>
            <w:r>
              <w:rPr>
                <w:rFonts w:eastAsia="黑体"/>
                <w:bCs/>
                <w:sz w:val="18"/>
                <w:szCs w:val="18"/>
              </w:rPr>
              <w:t>mg/L</w:t>
            </w:r>
            <w:r>
              <w:rPr>
                <w:rFonts w:hint="eastAsia" w:eastAsia="黑体"/>
                <w:bCs/>
                <w:sz w:val="18"/>
                <w:szCs w:val="18"/>
              </w:rPr>
              <w:t>，</w:t>
            </w:r>
            <w:r>
              <w:rPr>
                <w:rFonts w:eastAsia="黑体"/>
                <w:bCs/>
                <w:sz w:val="18"/>
                <w:szCs w:val="18"/>
              </w:rPr>
              <w:t>pH</w:t>
            </w:r>
            <w:r>
              <w:rPr>
                <w:rFonts w:hint="eastAsia" w:eastAsia="黑体"/>
                <w:bCs/>
                <w:sz w:val="18"/>
                <w:szCs w:val="18"/>
              </w:rPr>
              <w:t>为无量纲）</w:t>
            </w:r>
          </w:p>
          <w:tbl>
            <w:tblPr>
              <w:tblStyle w:val="17"/>
              <w:tblW w:w="7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6"/>
              <w:gridCol w:w="584"/>
              <w:gridCol w:w="813"/>
              <w:gridCol w:w="1045"/>
              <w:gridCol w:w="1072"/>
              <w:gridCol w:w="1072"/>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2006"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b/>
                      <w:bCs/>
                      <w:sz w:val="18"/>
                      <w:szCs w:val="18"/>
                    </w:rPr>
                  </w:pPr>
                  <w:r>
                    <w:rPr>
                      <w:rFonts w:hint="eastAsia"/>
                      <w:b/>
                      <w:bCs/>
                      <w:sz w:val="18"/>
                      <w:szCs w:val="18"/>
                    </w:rPr>
                    <w:t>项</w:t>
                  </w:r>
                  <w:r>
                    <w:rPr>
                      <w:b/>
                      <w:bCs/>
                      <w:sz w:val="18"/>
                      <w:szCs w:val="18"/>
                    </w:rPr>
                    <w:t xml:space="preserve">    </w:t>
                  </w:r>
                  <w:r>
                    <w:rPr>
                      <w:rFonts w:hint="eastAsia"/>
                      <w:b/>
                      <w:bCs/>
                      <w:sz w:val="18"/>
                      <w:szCs w:val="18"/>
                    </w:rPr>
                    <w:t>目</w:t>
                  </w:r>
                </w:p>
              </w:tc>
              <w:tc>
                <w:tcPr>
                  <w:tcW w:w="584"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b/>
                      <w:bCs/>
                      <w:sz w:val="18"/>
                      <w:szCs w:val="18"/>
                    </w:rPr>
                  </w:pPr>
                  <w:r>
                    <w:rPr>
                      <w:b/>
                      <w:bCs/>
                      <w:sz w:val="18"/>
                      <w:szCs w:val="18"/>
                    </w:rPr>
                    <w:t>pH</w:t>
                  </w:r>
                </w:p>
              </w:tc>
              <w:tc>
                <w:tcPr>
                  <w:tcW w:w="813"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b/>
                      <w:bCs/>
                      <w:sz w:val="18"/>
                      <w:szCs w:val="18"/>
                    </w:rPr>
                  </w:pPr>
                  <w:r>
                    <w:rPr>
                      <w:b/>
                      <w:bCs/>
                      <w:sz w:val="18"/>
                      <w:szCs w:val="18"/>
                    </w:rPr>
                    <w:t>COD</w:t>
                  </w:r>
                  <w:r>
                    <w:rPr>
                      <w:b/>
                      <w:bCs/>
                      <w:sz w:val="18"/>
                      <w:szCs w:val="18"/>
                      <w:vertAlign w:val="subscript"/>
                    </w:rPr>
                    <w:t>cr</w:t>
                  </w:r>
                </w:p>
              </w:tc>
              <w:tc>
                <w:tcPr>
                  <w:tcW w:w="1045"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b/>
                      <w:bCs/>
                      <w:sz w:val="18"/>
                      <w:szCs w:val="18"/>
                    </w:rPr>
                  </w:pPr>
                  <w:r>
                    <w:rPr>
                      <w:b/>
                      <w:bCs/>
                      <w:sz w:val="18"/>
                      <w:szCs w:val="18"/>
                    </w:rPr>
                    <w:t>BOD</w:t>
                  </w:r>
                  <w:r>
                    <w:rPr>
                      <w:b/>
                      <w:bCs/>
                      <w:sz w:val="18"/>
                      <w:szCs w:val="18"/>
                      <w:vertAlign w:val="subscript"/>
                    </w:rPr>
                    <w:t>5</w:t>
                  </w:r>
                </w:p>
              </w:tc>
              <w:tc>
                <w:tcPr>
                  <w:tcW w:w="1072"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b/>
                      <w:bCs/>
                      <w:sz w:val="18"/>
                      <w:szCs w:val="18"/>
                    </w:rPr>
                  </w:pPr>
                  <w:r>
                    <w:rPr>
                      <w:b/>
                      <w:bCs/>
                      <w:sz w:val="18"/>
                      <w:szCs w:val="18"/>
                    </w:rPr>
                    <w:t>NH</w:t>
                  </w:r>
                  <w:r>
                    <w:rPr>
                      <w:b/>
                      <w:bCs/>
                      <w:sz w:val="18"/>
                      <w:szCs w:val="18"/>
                      <w:vertAlign w:val="subscript"/>
                    </w:rPr>
                    <w:t>3</w:t>
                  </w:r>
                  <w:r>
                    <w:rPr>
                      <w:b/>
                      <w:bCs/>
                      <w:sz w:val="18"/>
                      <w:szCs w:val="18"/>
                    </w:rPr>
                    <w:t>-N</w:t>
                  </w:r>
                </w:p>
              </w:tc>
              <w:tc>
                <w:tcPr>
                  <w:tcW w:w="1072"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b/>
                      <w:bCs/>
                      <w:sz w:val="18"/>
                      <w:szCs w:val="18"/>
                    </w:rPr>
                  </w:pPr>
                  <w:r>
                    <w:rPr>
                      <w:rFonts w:hint="eastAsia"/>
                      <w:b/>
                      <w:bCs/>
                      <w:sz w:val="18"/>
                      <w:szCs w:val="18"/>
                    </w:rPr>
                    <w:t>石油类</w:t>
                  </w:r>
                </w:p>
              </w:tc>
              <w:tc>
                <w:tcPr>
                  <w:tcW w:w="1403"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b/>
                      <w:bCs/>
                      <w:sz w:val="18"/>
                      <w:szCs w:val="18"/>
                    </w:rPr>
                  </w:pPr>
                  <w:r>
                    <w:rPr>
                      <w:rFonts w:hint="eastAsia"/>
                      <w:b/>
                      <w:bCs/>
                      <w:sz w:val="18"/>
                      <w:szCs w:val="18"/>
                    </w:rPr>
                    <w:t>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2006"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rFonts w:hint="eastAsia"/>
                      <w:sz w:val="18"/>
                      <w:szCs w:val="18"/>
                    </w:rPr>
                    <w:t>环境质量标准限值</w:t>
                  </w:r>
                </w:p>
              </w:tc>
              <w:tc>
                <w:tcPr>
                  <w:tcW w:w="584"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sz w:val="18"/>
                      <w:szCs w:val="18"/>
                    </w:rPr>
                    <w:t>6</w:t>
                  </w:r>
                  <w:r>
                    <w:rPr>
                      <w:rFonts w:hint="eastAsia"/>
                      <w:sz w:val="18"/>
                      <w:szCs w:val="18"/>
                    </w:rPr>
                    <w:t>～</w:t>
                  </w:r>
                  <w:r>
                    <w:rPr>
                      <w:sz w:val="18"/>
                      <w:szCs w:val="18"/>
                    </w:rPr>
                    <w:t>9</w:t>
                  </w:r>
                </w:p>
              </w:tc>
              <w:tc>
                <w:tcPr>
                  <w:tcW w:w="813"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sz w:val="18"/>
                      <w:szCs w:val="18"/>
                    </w:rPr>
                    <w:t>≤20.0</w:t>
                  </w:r>
                </w:p>
              </w:tc>
              <w:tc>
                <w:tcPr>
                  <w:tcW w:w="1045"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sz w:val="18"/>
                      <w:szCs w:val="18"/>
                    </w:rPr>
                    <w:t>≤4.0</w:t>
                  </w:r>
                </w:p>
              </w:tc>
              <w:tc>
                <w:tcPr>
                  <w:tcW w:w="1072"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sz w:val="18"/>
                      <w:szCs w:val="18"/>
                    </w:rPr>
                    <w:t>≤1.0</w:t>
                  </w:r>
                </w:p>
              </w:tc>
              <w:tc>
                <w:tcPr>
                  <w:tcW w:w="1072"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sz w:val="18"/>
                      <w:szCs w:val="18"/>
                    </w:rPr>
                    <w:t>≤0.5</w:t>
                  </w:r>
                </w:p>
              </w:tc>
              <w:tc>
                <w:tcPr>
                  <w:tcW w:w="1403"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center"/>
                    <w:rPr>
                      <w:sz w:val="18"/>
                      <w:szCs w:val="18"/>
                    </w:rPr>
                  </w:pPr>
                  <w:r>
                    <w:rPr>
                      <w:sz w:val="18"/>
                      <w:szCs w:val="18"/>
                    </w:rPr>
                    <w:t>≤10000</w:t>
                  </w:r>
                  <w:r>
                    <w:rPr>
                      <w:rFonts w:hint="eastAsia"/>
                      <w:sz w:val="18"/>
                      <w:szCs w:val="18"/>
                    </w:rPr>
                    <w:t>个</w:t>
                  </w:r>
                  <w:r>
                    <w:rPr>
                      <w:sz w:val="18"/>
                      <w:szCs w:val="18"/>
                    </w:rPr>
                    <w:t>/L</w:t>
                  </w:r>
                </w:p>
              </w:tc>
            </w:tr>
          </w:tbl>
          <w:p>
            <w:pPr>
              <w:autoSpaceDE w:val="0"/>
              <w:autoSpaceDN w:val="0"/>
              <w:adjustRightInd w:val="0"/>
              <w:snapToGrid w:val="0"/>
              <w:spacing w:line="400" w:lineRule="exact"/>
              <w:jc w:val="left"/>
              <w:rPr>
                <w:rFonts w:cs="宋体"/>
                <w:kern w:val="0"/>
                <w:szCs w:val="21"/>
              </w:rPr>
            </w:pPr>
            <w:r>
              <w:rPr>
                <w:rFonts w:cs="宋体"/>
                <w:kern w:val="0"/>
                <w:szCs w:val="21"/>
              </w:rPr>
              <w:t>3</w:t>
            </w:r>
            <w:r>
              <w:rPr>
                <w:rFonts w:hint="eastAsia" w:cs="宋体"/>
                <w:kern w:val="0"/>
                <w:szCs w:val="21"/>
              </w:rPr>
              <w:t>、声环境：《声环境质量标准》</w:t>
            </w:r>
            <w:r>
              <w:rPr>
                <w:rFonts w:cs="宋体"/>
                <w:kern w:val="0"/>
                <w:szCs w:val="21"/>
              </w:rPr>
              <w:t>(GB3096-2008)</w:t>
            </w:r>
            <w:r>
              <w:rPr>
                <w:rFonts w:hint="eastAsia" w:cs="宋体"/>
                <w:kern w:val="0"/>
                <w:szCs w:val="21"/>
              </w:rPr>
              <w:t>中的3类标准。</w:t>
            </w:r>
          </w:p>
          <w:p>
            <w:pPr>
              <w:autoSpaceDE w:val="0"/>
              <w:autoSpaceDN w:val="0"/>
              <w:adjustRightInd w:val="0"/>
              <w:snapToGrid w:val="0"/>
              <w:spacing w:line="400" w:lineRule="exact"/>
              <w:ind w:firstLine="420" w:firstLineChars="200"/>
              <w:jc w:val="center"/>
              <w:rPr>
                <w:rFonts w:cs="宋体"/>
                <w:kern w:val="0"/>
                <w:szCs w:val="21"/>
              </w:rPr>
            </w:pPr>
            <w:r>
              <w:rPr>
                <w:rFonts w:cs="宋体"/>
                <w:kern w:val="0"/>
                <w:szCs w:val="21"/>
              </w:rPr>
              <w:t>LAeq</w:t>
            </w:r>
            <w:r>
              <w:rPr>
                <w:rFonts w:hint="eastAsia" w:cs="宋体"/>
                <w:kern w:val="0"/>
                <w:szCs w:val="21"/>
              </w:rPr>
              <w:t>：昼间</w:t>
            </w:r>
            <w:r>
              <w:rPr>
                <w:rFonts w:cs="宋体"/>
                <w:kern w:val="0"/>
                <w:szCs w:val="21"/>
              </w:rPr>
              <w:t>&lt;6</w:t>
            </w:r>
            <w:r>
              <w:rPr>
                <w:rFonts w:hint="eastAsia" w:cs="宋体"/>
                <w:kern w:val="0"/>
                <w:szCs w:val="21"/>
              </w:rPr>
              <w:t>5</w:t>
            </w:r>
            <w:r>
              <w:rPr>
                <w:rFonts w:cs="宋体"/>
                <w:kern w:val="0"/>
                <w:szCs w:val="21"/>
              </w:rPr>
              <w:t xml:space="preserve">dB(A)    </w:t>
            </w:r>
            <w:r>
              <w:rPr>
                <w:rFonts w:hint="eastAsia" w:cs="宋体"/>
                <w:kern w:val="0"/>
                <w:szCs w:val="21"/>
              </w:rPr>
              <w:t>夜间</w:t>
            </w:r>
            <w:r>
              <w:rPr>
                <w:rFonts w:cs="宋体"/>
                <w:kern w:val="0"/>
                <w:szCs w:val="21"/>
              </w:rPr>
              <w:t>&lt;5</w:t>
            </w:r>
            <w:r>
              <w:rPr>
                <w:rFonts w:hint="eastAsia" w:cs="宋体"/>
                <w:kern w:val="0"/>
                <w:szCs w:val="21"/>
              </w:rPr>
              <w:t>5</w:t>
            </w:r>
            <w:r>
              <w:rPr>
                <w:rFonts w:cs="宋体"/>
                <w:kern w:val="0"/>
                <w:szCs w:val="21"/>
              </w:rPr>
              <w:t>dB(A)</w:t>
            </w:r>
          </w:p>
          <w:p>
            <w:pPr>
              <w:autoSpaceDE w:val="0"/>
              <w:autoSpaceDN w:val="0"/>
              <w:adjustRightInd w:val="0"/>
              <w:snapToGrid w:val="0"/>
              <w:spacing w:line="400" w:lineRule="exact"/>
              <w:jc w:val="left"/>
              <w:rPr>
                <w:rFonts w:cs="宋体"/>
                <w:kern w:val="0"/>
                <w:szCs w:val="21"/>
              </w:rPr>
            </w:pPr>
            <w:r>
              <w:rPr>
                <w:rFonts w:hint="eastAsia" w:cs="宋体"/>
                <w:kern w:val="0"/>
                <w:szCs w:val="21"/>
              </w:rPr>
              <w:t>4、大气污染物：</w:t>
            </w:r>
          </w:p>
          <w:p>
            <w:pPr>
              <w:autoSpaceDE w:val="0"/>
              <w:autoSpaceDN w:val="0"/>
              <w:adjustRightInd w:val="0"/>
              <w:snapToGrid w:val="0"/>
              <w:spacing w:line="400" w:lineRule="exact"/>
              <w:ind w:firstLine="420" w:firstLineChars="200"/>
              <w:jc w:val="left"/>
              <w:rPr>
                <w:rFonts w:cs="宋体"/>
                <w:kern w:val="0"/>
                <w:szCs w:val="21"/>
              </w:rPr>
            </w:pPr>
            <w:r>
              <w:rPr>
                <w:rFonts w:cs="宋体"/>
                <w:kern w:val="0"/>
                <w:szCs w:val="21"/>
              </w:rPr>
              <w:t>施工期扬尘排放满足《四川省施工场地扬尘排放标准》（DB51/2682-2020）中表1相关标准。</w:t>
            </w:r>
          </w:p>
          <w:p>
            <w:pPr>
              <w:spacing w:line="400" w:lineRule="exact"/>
              <w:jc w:val="center"/>
              <w:rPr>
                <w:rFonts w:eastAsia="黑体"/>
                <w:bCs/>
                <w:sz w:val="18"/>
                <w:szCs w:val="18"/>
              </w:rPr>
            </w:pPr>
            <w:r>
              <w:rPr>
                <w:rFonts w:eastAsia="黑体"/>
                <w:bCs/>
                <w:sz w:val="18"/>
                <w:szCs w:val="18"/>
              </w:rPr>
              <w:t>表</w:t>
            </w:r>
            <w:r>
              <w:rPr>
                <w:rFonts w:hint="eastAsia" w:eastAsia="黑体"/>
                <w:bCs/>
                <w:sz w:val="18"/>
                <w:szCs w:val="18"/>
              </w:rPr>
              <w:t>3-13</w:t>
            </w:r>
            <w:r>
              <w:rPr>
                <w:rFonts w:eastAsia="黑体"/>
                <w:bCs/>
                <w:sz w:val="18"/>
                <w:szCs w:val="18"/>
              </w:rPr>
              <w:t xml:space="preserve">  四川省施工场地扬尘排放标准</w:t>
            </w:r>
          </w:p>
          <w:tbl>
            <w:tblPr>
              <w:tblStyle w:val="1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778"/>
              <w:gridCol w:w="1920"/>
              <w:gridCol w:w="2268"/>
              <w:gridCol w:w="1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9" w:hRule="atLeast"/>
              </w:trPr>
              <w:tc>
                <w:tcPr>
                  <w:tcW w:w="1326" w:type="dxa"/>
                  <w:tcBorders>
                    <w:top w:val="single" w:color="auto" w:sz="12" w:space="0"/>
                    <w:left w:val="nil"/>
                    <w:bottom w:val="single" w:color="auto" w:sz="4" w:space="0"/>
                    <w:right w:val="single" w:color="auto" w:sz="4" w:space="0"/>
                  </w:tcBorders>
                  <w:vAlign w:val="center"/>
                </w:tcPr>
                <w:p>
                  <w:pPr>
                    <w:jc w:val="center"/>
                    <w:rPr>
                      <w:b/>
                      <w:bCs/>
                      <w:sz w:val="18"/>
                      <w:szCs w:val="18"/>
                    </w:rPr>
                  </w:pPr>
                  <w:r>
                    <w:rPr>
                      <w:rFonts w:ascii="宋体" w:hAnsi="宋体"/>
                      <w:b/>
                      <w:bCs/>
                      <w:sz w:val="18"/>
                      <w:szCs w:val="18"/>
                    </w:rPr>
                    <w:t>监测项目</w:t>
                  </w:r>
                </w:p>
              </w:tc>
              <w:tc>
                <w:tcPr>
                  <w:tcW w:w="778" w:type="dxa"/>
                  <w:tcBorders>
                    <w:top w:val="single" w:color="auto" w:sz="12" w:space="0"/>
                    <w:left w:val="single" w:color="auto" w:sz="4" w:space="0"/>
                    <w:bottom w:val="single" w:color="auto" w:sz="4" w:space="0"/>
                    <w:right w:val="single" w:color="auto" w:sz="4" w:space="0"/>
                  </w:tcBorders>
                  <w:vAlign w:val="center"/>
                </w:tcPr>
                <w:p>
                  <w:pPr>
                    <w:jc w:val="center"/>
                    <w:rPr>
                      <w:b/>
                      <w:bCs/>
                      <w:sz w:val="18"/>
                      <w:szCs w:val="18"/>
                    </w:rPr>
                  </w:pPr>
                  <w:r>
                    <w:rPr>
                      <w:rFonts w:ascii="宋体" w:hAnsi="宋体"/>
                      <w:b/>
                      <w:bCs/>
                      <w:sz w:val="18"/>
                      <w:szCs w:val="18"/>
                    </w:rPr>
                    <w:t>区域</w:t>
                  </w:r>
                </w:p>
              </w:tc>
              <w:tc>
                <w:tcPr>
                  <w:tcW w:w="1920" w:type="dxa"/>
                  <w:tcBorders>
                    <w:top w:val="single" w:color="auto" w:sz="12" w:space="0"/>
                    <w:left w:val="single" w:color="auto" w:sz="4" w:space="0"/>
                    <w:bottom w:val="single" w:color="auto" w:sz="4" w:space="0"/>
                    <w:right w:val="single" w:color="auto" w:sz="4" w:space="0"/>
                  </w:tcBorders>
                  <w:vAlign w:val="center"/>
                </w:tcPr>
                <w:p>
                  <w:pPr>
                    <w:jc w:val="center"/>
                    <w:rPr>
                      <w:b/>
                      <w:bCs/>
                      <w:sz w:val="18"/>
                      <w:szCs w:val="18"/>
                    </w:rPr>
                  </w:pPr>
                  <w:r>
                    <w:rPr>
                      <w:rFonts w:ascii="宋体" w:hAnsi="宋体"/>
                      <w:b/>
                      <w:bCs/>
                      <w:sz w:val="18"/>
                      <w:szCs w:val="18"/>
                    </w:rPr>
                    <w:t>施工阶段</w:t>
                  </w:r>
                </w:p>
              </w:tc>
              <w:tc>
                <w:tcPr>
                  <w:tcW w:w="2268" w:type="dxa"/>
                  <w:tcBorders>
                    <w:top w:val="single" w:color="auto" w:sz="12" w:space="0"/>
                    <w:left w:val="single" w:color="auto" w:sz="4" w:space="0"/>
                    <w:bottom w:val="single" w:color="auto" w:sz="4" w:space="0"/>
                    <w:right w:val="single" w:color="auto" w:sz="4" w:space="0"/>
                  </w:tcBorders>
                  <w:vAlign w:val="center"/>
                </w:tcPr>
                <w:p>
                  <w:pPr>
                    <w:jc w:val="center"/>
                    <w:rPr>
                      <w:b/>
                      <w:bCs/>
                      <w:sz w:val="18"/>
                      <w:szCs w:val="18"/>
                    </w:rPr>
                  </w:pPr>
                  <w:r>
                    <w:rPr>
                      <w:rFonts w:ascii="宋体" w:hAnsi="宋体"/>
                      <w:b/>
                      <w:bCs/>
                      <w:sz w:val="18"/>
                      <w:szCs w:val="18"/>
                    </w:rPr>
                    <w:t>监测点排放限值（</w:t>
                  </w:r>
                  <w:r>
                    <w:rPr>
                      <w:b/>
                      <w:bCs/>
                      <w:sz w:val="18"/>
                      <w:szCs w:val="18"/>
                    </w:rPr>
                    <w:t>μg/m</w:t>
                  </w:r>
                  <w:r>
                    <w:rPr>
                      <w:b/>
                      <w:bCs/>
                      <w:sz w:val="18"/>
                      <w:szCs w:val="18"/>
                      <w:vertAlign w:val="superscript"/>
                    </w:rPr>
                    <w:t>3</w:t>
                  </w:r>
                  <w:r>
                    <w:rPr>
                      <w:rFonts w:ascii="宋体" w:hAnsi="宋体"/>
                      <w:b/>
                      <w:bCs/>
                      <w:sz w:val="18"/>
                      <w:szCs w:val="18"/>
                    </w:rPr>
                    <w:t>）</w:t>
                  </w:r>
                </w:p>
              </w:tc>
              <w:tc>
                <w:tcPr>
                  <w:tcW w:w="1634" w:type="dxa"/>
                  <w:tcBorders>
                    <w:top w:val="single" w:color="auto" w:sz="12" w:space="0"/>
                    <w:left w:val="single" w:color="auto" w:sz="4" w:space="0"/>
                    <w:bottom w:val="single" w:color="auto" w:sz="4" w:space="0"/>
                    <w:right w:val="nil"/>
                  </w:tcBorders>
                  <w:vAlign w:val="center"/>
                </w:tcPr>
                <w:p>
                  <w:pPr>
                    <w:jc w:val="center"/>
                    <w:rPr>
                      <w:b/>
                      <w:bCs/>
                      <w:sz w:val="18"/>
                      <w:szCs w:val="18"/>
                    </w:rPr>
                  </w:pPr>
                  <w:r>
                    <w:rPr>
                      <w:rFonts w:ascii="宋体" w:hAnsi="宋体"/>
                      <w:b/>
                      <w:bCs/>
                      <w:sz w:val="18"/>
                      <w:szCs w:val="18"/>
                    </w:rPr>
                    <w:t>监测时间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326" w:type="dxa"/>
                  <w:vMerge w:val="restart"/>
                  <w:tcBorders>
                    <w:top w:val="single" w:color="auto" w:sz="4" w:space="0"/>
                    <w:left w:val="nil"/>
                    <w:bottom w:val="single" w:color="auto" w:sz="4" w:space="0"/>
                    <w:right w:val="single" w:color="auto" w:sz="4" w:space="0"/>
                  </w:tcBorders>
                  <w:vAlign w:val="center"/>
                </w:tcPr>
                <w:p>
                  <w:pPr>
                    <w:jc w:val="center"/>
                    <w:rPr>
                      <w:sz w:val="18"/>
                      <w:szCs w:val="18"/>
                    </w:rPr>
                  </w:pPr>
                  <w:r>
                    <w:rPr>
                      <w:rFonts w:ascii="宋体" w:hAnsi="宋体"/>
                      <w:sz w:val="18"/>
                      <w:szCs w:val="18"/>
                    </w:rPr>
                    <w:t>总悬浮颗粒物（</w:t>
                  </w:r>
                  <w:r>
                    <w:rPr>
                      <w:sz w:val="18"/>
                      <w:szCs w:val="18"/>
                    </w:rPr>
                    <w:t>TSP</w:t>
                  </w:r>
                  <w:r>
                    <w:rPr>
                      <w:rFonts w:ascii="宋体" w:hAnsi="宋体"/>
                      <w:sz w:val="18"/>
                      <w:szCs w:val="18"/>
                    </w:rPr>
                    <w:t>）</w:t>
                  </w:r>
                </w:p>
              </w:tc>
              <w:tc>
                <w:tcPr>
                  <w:tcW w:w="778"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ascii="宋体" w:hAnsi="宋体"/>
                      <w:sz w:val="18"/>
                      <w:szCs w:val="18"/>
                    </w:rPr>
                    <w:t>达州</w:t>
                  </w:r>
                  <w:r>
                    <w:rPr>
                      <w:rFonts w:ascii="宋体" w:hAnsi="宋体"/>
                      <w:sz w:val="18"/>
                      <w:szCs w:val="18"/>
                    </w:rPr>
                    <w:t>市</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ascii="宋体" w:hAnsi="宋体"/>
                      <w:sz w:val="18"/>
                      <w:szCs w:val="18"/>
                    </w:rPr>
                    <w:t>拆除工程</w:t>
                  </w:r>
                  <w:r>
                    <w:rPr>
                      <w:sz w:val="18"/>
                      <w:szCs w:val="18"/>
                    </w:rPr>
                    <w:t>/</w:t>
                  </w:r>
                  <w:r>
                    <w:rPr>
                      <w:rFonts w:ascii="宋体" w:hAnsi="宋体"/>
                      <w:sz w:val="18"/>
                      <w:szCs w:val="18"/>
                    </w:rPr>
                    <w:t>土方开挖</w:t>
                  </w:r>
                  <w:r>
                    <w:rPr>
                      <w:sz w:val="18"/>
                      <w:szCs w:val="18"/>
                    </w:rPr>
                    <w:t>/</w:t>
                  </w:r>
                  <w:r>
                    <w:rPr>
                      <w:rFonts w:ascii="宋体" w:hAnsi="宋体"/>
                      <w:sz w:val="18"/>
                      <w:szCs w:val="18"/>
                    </w:rPr>
                    <w:t>土方回填阶段</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600</w:t>
                  </w:r>
                </w:p>
              </w:tc>
              <w:tc>
                <w:tcPr>
                  <w:tcW w:w="1634" w:type="dxa"/>
                  <w:vMerge w:val="restart"/>
                  <w:tcBorders>
                    <w:top w:val="single" w:color="auto" w:sz="4" w:space="0"/>
                    <w:left w:val="single" w:color="auto" w:sz="4" w:space="0"/>
                    <w:bottom w:val="single" w:color="auto" w:sz="4" w:space="0"/>
                    <w:right w:val="nil"/>
                  </w:tcBorders>
                  <w:vAlign w:val="center"/>
                </w:tcPr>
                <w:p>
                  <w:pPr>
                    <w:jc w:val="center"/>
                    <w:rPr>
                      <w:sz w:val="18"/>
                      <w:szCs w:val="18"/>
                    </w:rPr>
                  </w:pPr>
                  <w:r>
                    <w:rPr>
                      <w:rFonts w:ascii="宋体" w:hAnsi="宋体"/>
                      <w:sz w:val="18"/>
                      <w:szCs w:val="18"/>
                    </w:rPr>
                    <w:t>自监测起持续</w:t>
                  </w:r>
                  <w:r>
                    <w:rPr>
                      <w:sz w:val="18"/>
                      <w:szCs w:val="18"/>
                    </w:rPr>
                    <w:t>15</w:t>
                  </w:r>
                  <w:r>
                    <w:rPr>
                      <w:rFonts w:ascii="宋体" w:hAnsi="宋体"/>
                      <w:sz w:val="18"/>
                      <w:szCs w:val="18"/>
                    </w:rPr>
                    <w:t>分钟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326" w:type="dxa"/>
                  <w:vMerge w:val="continue"/>
                  <w:tcBorders>
                    <w:top w:val="single" w:color="auto" w:sz="4" w:space="0"/>
                    <w:left w:val="nil"/>
                    <w:bottom w:val="single" w:color="auto" w:sz="4" w:space="0"/>
                    <w:right w:val="single" w:color="auto" w:sz="4" w:space="0"/>
                  </w:tcBorders>
                  <w:vAlign w:val="center"/>
                </w:tcPr>
                <w:p>
                  <w:pPr>
                    <w:widowControl/>
                    <w:jc w:val="left"/>
                    <w:rPr>
                      <w:sz w:val="18"/>
                      <w:szCs w:val="18"/>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1920" w:type="dxa"/>
                  <w:tcBorders>
                    <w:top w:val="single" w:color="auto" w:sz="4" w:space="0"/>
                    <w:left w:val="single" w:color="auto" w:sz="4" w:space="0"/>
                    <w:bottom w:val="single" w:color="auto" w:sz="12" w:space="0"/>
                    <w:right w:val="single" w:color="auto" w:sz="4" w:space="0"/>
                  </w:tcBorders>
                  <w:vAlign w:val="center"/>
                </w:tcPr>
                <w:p>
                  <w:pPr>
                    <w:jc w:val="center"/>
                    <w:rPr>
                      <w:sz w:val="18"/>
                      <w:szCs w:val="18"/>
                    </w:rPr>
                  </w:pPr>
                  <w:r>
                    <w:rPr>
                      <w:rFonts w:ascii="宋体" w:hAnsi="宋体"/>
                      <w:sz w:val="18"/>
                      <w:szCs w:val="18"/>
                    </w:rPr>
                    <w:t>其他工程阶段</w:t>
                  </w:r>
                </w:p>
              </w:tc>
              <w:tc>
                <w:tcPr>
                  <w:tcW w:w="2268" w:type="dxa"/>
                  <w:tcBorders>
                    <w:top w:val="single" w:color="auto" w:sz="4" w:space="0"/>
                    <w:left w:val="single" w:color="auto" w:sz="4" w:space="0"/>
                    <w:bottom w:val="single" w:color="auto" w:sz="12" w:space="0"/>
                    <w:right w:val="single" w:color="auto" w:sz="4" w:space="0"/>
                  </w:tcBorders>
                  <w:vAlign w:val="center"/>
                </w:tcPr>
                <w:p>
                  <w:pPr>
                    <w:jc w:val="center"/>
                    <w:rPr>
                      <w:sz w:val="18"/>
                      <w:szCs w:val="18"/>
                    </w:rPr>
                  </w:pPr>
                  <w:r>
                    <w:rPr>
                      <w:sz w:val="18"/>
                      <w:szCs w:val="18"/>
                    </w:rPr>
                    <w:t>250</w:t>
                  </w:r>
                </w:p>
              </w:tc>
              <w:tc>
                <w:tcPr>
                  <w:tcW w:w="1634" w:type="dxa"/>
                  <w:vMerge w:val="continue"/>
                  <w:tcBorders>
                    <w:top w:val="single" w:color="auto" w:sz="4" w:space="0"/>
                    <w:left w:val="single" w:color="auto" w:sz="4" w:space="0"/>
                    <w:bottom w:val="single" w:color="auto" w:sz="4" w:space="0"/>
                    <w:right w:val="nil"/>
                  </w:tcBorders>
                  <w:vAlign w:val="center"/>
                </w:tcPr>
                <w:p>
                  <w:pPr>
                    <w:widowControl/>
                    <w:jc w:val="left"/>
                    <w:rPr>
                      <w:sz w:val="18"/>
                      <w:szCs w:val="18"/>
                    </w:rPr>
                  </w:pPr>
                </w:p>
              </w:tc>
            </w:tr>
          </w:tbl>
          <w:p>
            <w:pPr>
              <w:autoSpaceDE w:val="0"/>
              <w:autoSpaceDN w:val="0"/>
              <w:adjustRightInd w:val="0"/>
              <w:snapToGrid w:val="0"/>
              <w:spacing w:line="400" w:lineRule="exact"/>
              <w:jc w:val="left"/>
              <w:rPr>
                <w:rFonts w:cs="宋体"/>
                <w:kern w:val="0"/>
                <w:szCs w:val="21"/>
              </w:rPr>
            </w:pPr>
            <w:r>
              <w:rPr>
                <w:rFonts w:cs="宋体"/>
                <w:kern w:val="0"/>
                <w:szCs w:val="21"/>
              </w:rPr>
              <w:t xml:space="preserve">营运期无组织排放的挥发性有机污染物废气污染物执行《挥发性有机物无组织排放控制标准》（GB37822-2019）表A.1的无组织排放特别限值； </w:t>
            </w:r>
          </w:p>
          <w:p>
            <w:pPr>
              <w:pStyle w:val="16"/>
              <w:adjustRightInd w:val="0"/>
              <w:snapToGrid w:val="0"/>
              <w:spacing w:after="0"/>
              <w:ind w:left="0" w:leftChars="0" w:right="1470" w:firstLine="360"/>
              <w:jc w:val="center"/>
              <w:outlineLvl w:val="4"/>
              <w:rPr>
                <w:b/>
                <w:sz w:val="19"/>
              </w:rPr>
            </w:pPr>
            <w:r>
              <w:rPr>
                <w:rFonts w:eastAsia="黑体"/>
                <w:bCs/>
                <w:sz w:val="18"/>
                <w:szCs w:val="18"/>
              </w:rPr>
              <w:t>表</w:t>
            </w:r>
            <w:r>
              <w:rPr>
                <w:rFonts w:hint="eastAsia" w:eastAsia="黑体"/>
                <w:bCs/>
                <w:sz w:val="18"/>
                <w:szCs w:val="18"/>
              </w:rPr>
              <w:t>3-14</w:t>
            </w:r>
            <w:r>
              <w:rPr>
                <w:rFonts w:eastAsia="黑体"/>
                <w:bCs/>
                <w:sz w:val="18"/>
                <w:szCs w:val="18"/>
              </w:rPr>
              <w:t xml:space="preserve">  挥发性有机物无组织排放控制标准   </w:t>
            </w:r>
            <w:r>
              <w:rPr>
                <w:rFonts w:ascii="宋体" w:hAnsi="宋体"/>
                <w:b/>
                <w:bCs/>
                <w:sz w:val="19"/>
              </w:rPr>
              <w:t>单位</w:t>
            </w:r>
            <w:r>
              <w:rPr>
                <w:b/>
                <w:sz w:val="19"/>
              </w:rPr>
              <w:t>mg/m</w:t>
            </w:r>
            <w:r>
              <w:rPr>
                <w:b/>
                <w:sz w:val="19"/>
                <w:vertAlign w:val="superscript"/>
              </w:rPr>
              <w:t>3</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45"/>
              <w:gridCol w:w="1686"/>
              <w:gridCol w:w="2440"/>
              <w:gridCol w:w="18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72" w:type="pct"/>
                  <w:tcBorders>
                    <w:top w:val="single" w:color="auto" w:sz="12" w:space="0"/>
                    <w:left w:val="nil"/>
                    <w:bottom w:val="single" w:color="auto" w:sz="4" w:space="0"/>
                    <w:right w:val="single" w:color="auto" w:sz="4" w:space="0"/>
                  </w:tcBorders>
                  <w:vAlign w:val="center"/>
                </w:tcPr>
                <w:p>
                  <w:pPr>
                    <w:jc w:val="center"/>
                    <w:rPr>
                      <w:b/>
                      <w:sz w:val="18"/>
                      <w:szCs w:val="21"/>
                    </w:rPr>
                  </w:pPr>
                  <w:r>
                    <w:rPr>
                      <w:rFonts w:ascii="宋体" w:hAnsi="宋体"/>
                      <w:b/>
                      <w:sz w:val="18"/>
                    </w:rPr>
                    <w:t>污染物项目</w:t>
                  </w:r>
                </w:p>
              </w:tc>
              <w:tc>
                <w:tcPr>
                  <w:tcW w:w="1049" w:type="pct"/>
                  <w:tcBorders>
                    <w:top w:val="single" w:color="auto" w:sz="12" w:space="0"/>
                    <w:left w:val="single" w:color="auto" w:sz="4" w:space="0"/>
                    <w:bottom w:val="single" w:color="auto" w:sz="4" w:space="0"/>
                    <w:right w:val="single" w:color="auto" w:sz="4" w:space="0"/>
                  </w:tcBorders>
                  <w:vAlign w:val="center"/>
                </w:tcPr>
                <w:p>
                  <w:pPr>
                    <w:jc w:val="center"/>
                    <w:rPr>
                      <w:b/>
                      <w:sz w:val="18"/>
                      <w:szCs w:val="21"/>
                    </w:rPr>
                  </w:pPr>
                  <w:r>
                    <w:rPr>
                      <w:rFonts w:ascii="宋体" w:hAnsi="宋体"/>
                      <w:b/>
                      <w:sz w:val="18"/>
                    </w:rPr>
                    <w:t>特别排放限值</w:t>
                  </w:r>
                </w:p>
              </w:tc>
              <w:tc>
                <w:tcPr>
                  <w:tcW w:w="1518" w:type="pct"/>
                  <w:tcBorders>
                    <w:top w:val="single" w:color="auto" w:sz="12" w:space="0"/>
                    <w:left w:val="single" w:color="auto" w:sz="4" w:space="0"/>
                    <w:bottom w:val="single" w:color="auto" w:sz="4" w:space="0"/>
                    <w:right w:val="single" w:color="auto" w:sz="4" w:space="0"/>
                  </w:tcBorders>
                  <w:vAlign w:val="center"/>
                </w:tcPr>
                <w:p>
                  <w:pPr>
                    <w:jc w:val="center"/>
                    <w:rPr>
                      <w:b/>
                      <w:sz w:val="18"/>
                      <w:szCs w:val="21"/>
                    </w:rPr>
                  </w:pPr>
                  <w:r>
                    <w:rPr>
                      <w:rFonts w:ascii="宋体" w:hAnsi="宋体"/>
                      <w:b/>
                      <w:sz w:val="18"/>
                    </w:rPr>
                    <w:t>限值含义</w:t>
                  </w:r>
                </w:p>
              </w:tc>
              <w:tc>
                <w:tcPr>
                  <w:tcW w:w="1159" w:type="pct"/>
                  <w:tcBorders>
                    <w:top w:val="single" w:color="auto" w:sz="12" w:space="0"/>
                    <w:left w:val="single" w:color="auto" w:sz="4" w:space="0"/>
                    <w:bottom w:val="single" w:color="auto" w:sz="4" w:space="0"/>
                    <w:right w:val="nil"/>
                  </w:tcBorders>
                  <w:vAlign w:val="center"/>
                </w:tcPr>
                <w:p>
                  <w:pPr>
                    <w:jc w:val="center"/>
                    <w:rPr>
                      <w:b/>
                      <w:sz w:val="18"/>
                      <w:szCs w:val="21"/>
                    </w:rPr>
                  </w:pPr>
                  <w:r>
                    <w:rPr>
                      <w:rFonts w:ascii="宋体" w:hAnsi="宋体"/>
                      <w:b/>
                      <w:sz w:val="18"/>
                    </w:rPr>
                    <w:t>无组织排放监控点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72" w:type="pct"/>
                  <w:vMerge w:val="restart"/>
                  <w:tcBorders>
                    <w:top w:val="single" w:color="auto" w:sz="4" w:space="0"/>
                    <w:left w:val="nil"/>
                    <w:bottom w:val="single" w:color="auto" w:sz="4" w:space="0"/>
                    <w:right w:val="single" w:color="auto" w:sz="4" w:space="0"/>
                  </w:tcBorders>
                  <w:vAlign w:val="center"/>
                </w:tcPr>
                <w:p>
                  <w:pPr>
                    <w:jc w:val="center"/>
                    <w:rPr>
                      <w:sz w:val="18"/>
                      <w:szCs w:val="21"/>
                    </w:rPr>
                  </w:pPr>
                  <w:r>
                    <w:rPr>
                      <w:sz w:val="18"/>
                    </w:rPr>
                    <w:t>VOCs</w:t>
                  </w:r>
                  <w:r>
                    <w:rPr>
                      <w:rFonts w:hint="eastAsia" w:ascii="宋体" w:hAnsi="宋体"/>
                      <w:sz w:val="18"/>
                    </w:rPr>
                    <w:t>（以非甲烷总体计）</w:t>
                  </w:r>
                </w:p>
              </w:tc>
              <w:tc>
                <w:tcPr>
                  <w:tcW w:w="1049" w:type="pct"/>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sz w:val="18"/>
                    </w:rPr>
                    <w:t>6</w:t>
                  </w:r>
                </w:p>
              </w:tc>
              <w:tc>
                <w:tcPr>
                  <w:tcW w:w="1518" w:type="pct"/>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ascii="宋体" w:hAnsi="宋体"/>
                      <w:sz w:val="18"/>
                    </w:rPr>
                    <w:t>监控点处</w:t>
                  </w:r>
                  <w:r>
                    <w:rPr>
                      <w:sz w:val="18"/>
                    </w:rPr>
                    <w:t>1h</w:t>
                  </w:r>
                  <w:r>
                    <w:rPr>
                      <w:rFonts w:ascii="宋体" w:hAnsi="宋体"/>
                      <w:sz w:val="18"/>
                    </w:rPr>
                    <w:t>平均浓度值</w:t>
                  </w:r>
                </w:p>
              </w:tc>
              <w:tc>
                <w:tcPr>
                  <w:tcW w:w="1159" w:type="pct"/>
                  <w:vMerge w:val="restart"/>
                  <w:tcBorders>
                    <w:top w:val="single" w:color="auto" w:sz="4" w:space="0"/>
                    <w:left w:val="single" w:color="auto" w:sz="4" w:space="0"/>
                    <w:bottom w:val="single" w:color="auto" w:sz="4" w:space="0"/>
                    <w:right w:val="nil"/>
                  </w:tcBorders>
                  <w:vAlign w:val="center"/>
                </w:tcPr>
                <w:p>
                  <w:pPr>
                    <w:jc w:val="center"/>
                    <w:rPr>
                      <w:sz w:val="18"/>
                      <w:szCs w:val="21"/>
                    </w:rPr>
                  </w:pPr>
                  <w:r>
                    <w:rPr>
                      <w:rFonts w:ascii="宋体" w:hAnsi="宋体"/>
                      <w:sz w:val="18"/>
                    </w:rPr>
                    <w:t>在厂区内设置监控点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4" w:type="dxa"/>
                  <w:vMerge w:val="continue"/>
                  <w:tcBorders>
                    <w:top w:val="single" w:color="auto" w:sz="4" w:space="0"/>
                    <w:left w:val="nil"/>
                    <w:bottom w:val="single" w:color="auto" w:sz="4" w:space="0"/>
                    <w:right w:val="single" w:color="auto" w:sz="4" w:space="0"/>
                  </w:tcBorders>
                  <w:vAlign w:val="center"/>
                </w:tcPr>
                <w:p>
                  <w:pPr>
                    <w:widowControl/>
                    <w:jc w:val="left"/>
                    <w:rPr>
                      <w:sz w:val="18"/>
                      <w:szCs w:val="21"/>
                    </w:rPr>
                  </w:pPr>
                </w:p>
              </w:tc>
              <w:tc>
                <w:tcPr>
                  <w:tcW w:w="1049" w:type="pct"/>
                  <w:tcBorders>
                    <w:top w:val="single" w:color="auto" w:sz="4" w:space="0"/>
                    <w:left w:val="single" w:color="auto" w:sz="4" w:space="0"/>
                    <w:bottom w:val="single" w:color="auto" w:sz="12" w:space="0"/>
                    <w:right w:val="single" w:color="auto" w:sz="4" w:space="0"/>
                  </w:tcBorders>
                  <w:vAlign w:val="center"/>
                </w:tcPr>
                <w:p>
                  <w:pPr>
                    <w:jc w:val="center"/>
                    <w:rPr>
                      <w:sz w:val="18"/>
                      <w:szCs w:val="21"/>
                    </w:rPr>
                  </w:pPr>
                  <w:r>
                    <w:rPr>
                      <w:sz w:val="18"/>
                    </w:rPr>
                    <w:t>20</w:t>
                  </w:r>
                </w:p>
              </w:tc>
              <w:tc>
                <w:tcPr>
                  <w:tcW w:w="1518" w:type="pct"/>
                  <w:tcBorders>
                    <w:top w:val="single" w:color="auto" w:sz="4" w:space="0"/>
                    <w:left w:val="single" w:color="auto" w:sz="4" w:space="0"/>
                    <w:bottom w:val="single" w:color="auto" w:sz="12" w:space="0"/>
                    <w:right w:val="single" w:color="auto" w:sz="4" w:space="0"/>
                  </w:tcBorders>
                  <w:vAlign w:val="center"/>
                </w:tcPr>
                <w:p>
                  <w:pPr>
                    <w:jc w:val="center"/>
                    <w:rPr>
                      <w:sz w:val="18"/>
                      <w:szCs w:val="21"/>
                    </w:rPr>
                  </w:pPr>
                  <w:r>
                    <w:rPr>
                      <w:rFonts w:ascii="宋体" w:hAnsi="宋体"/>
                      <w:sz w:val="18"/>
                    </w:rPr>
                    <w:t>监控点处任意一次浓度值</w:t>
                  </w:r>
                </w:p>
              </w:tc>
              <w:tc>
                <w:tcPr>
                  <w:tcW w:w="2052" w:type="dxa"/>
                  <w:vMerge w:val="continue"/>
                  <w:tcBorders>
                    <w:top w:val="single" w:color="auto" w:sz="4" w:space="0"/>
                    <w:left w:val="single" w:color="auto" w:sz="4" w:space="0"/>
                    <w:bottom w:val="single" w:color="auto" w:sz="4" w:space="0"/>
                    <w:right w:val="nil"/>
                  </w:tcBorders>
                  <w:vAlign w:val="center"/>
                </w:tcPr>
                <w:p>
                  <w:pPr>
                    <w:widowControl/>
                    <w:jc w:val="left"/>
                    <w:rPr>
                      <w:sz w:val="18"/>
                      <w:szCs w:val="21"/>
                    </w:rPr>
                  </w:pPr>
                </w:p>
              </w:tc>
            </w:tr>
          </w:tbl>
          <w:p>
            <w:pPr>
              <w:autoSpaceDE w:val="0"/>
              <w:autoSpaceDN w:val="0"/>
              <w:adjustRightInd w:val="0"/>
              <w:snapToGrid w:val="0"/>
              <w:spacing w:line="400" w:lineRule="exact"/>
              <w:jc w:val="left"/>
              <w:rPr>
                <w:rFonts w:cs="宋体"/>
                <w:kern w:val="0"/>
                <w:szCs w:val="21"/>
              </w:rPr>
            </w:pPr>
            <w:r>
              <w:rPr>
                <w:rFonts w:hint="eastAsia" w:cs="宋体"/>
                <w:kern w:val="0"/>
                <w:szCs w:val="21"/>
              </w:rPr>
              <w:t>5、废水：</w:t>
            </w:r>
            <w:r>
              <w:rPr>
                <w:rFonts w:cs="宋体"/>
                <w:kern w:val="0"/>
                <w:szCs w:val="21"/>
              </w:rPr>
              <w:t>项目施工期废水收集处理后全部回用不外排。生产废水收集至排污池，生活污水设化粪池预处理后，一同委托专业机构定期拉运至园区污水处理厂处理</w:t>
            </w:r>
            <w:r>
              <w:rPr>
                <w:rFonts w:hint="eastAsia" w:cs="宋体"/>
                <w:kern w:val="0"/>
                <w:szCs w:val="21"/>
              </w:rPr>
              <w:t>。</w:t>
            </w:r>
          </w:p>
          <w:p>
            <w:pPr>
              <w:autoSpaceDE w:val="0"/>
              <w:autoSpaceDN w:val="0"/>
              <w:adjustRightInd w:val="0"/>
              <w:snapToGrid w:val="0"/>
              <w:spacing w:line="400" w:lineRule="exact"/>
              <w:jc w:val="left"/>
              <w:rPr>
                <w:rFonts w:cs="宋体"/>
                <w:kern w:val="0"/>
                <w:szCs w:val="21"/>
              </w:rPr>
            </w:pPr>
            <w:r>
              <w:rPr>
                <w:rFonts w:hint="eastAsia" w:cs="宋体"/>
                <w:kern w:val="0"/>
                <w:szCs w:val="21"/>
              </w:rPr>
              <w:t>6、固体废物：一般工业固废贮存执行《一般工业固体废物贮存和填埋污染控制标准》（GB18599-2020）的规定；危废贮存执行《危险废物贮存污染控制标准》（GB18597-2023）的规定。</w:t>
            </w:r>
          </w:p>
          <w:p>
            <w:pPr>
              <w:autoSpaceDE w:val="0"/>
              <w:autoSpaceDN w:val="0"/>
              <w:adjustRightInd w:val="0"/>
              <w:snapToGrid w:val="0"/>
              <w:spacing w:line="400" w:lineRule="exact"/>
              <w:jc w:val="left"/>
              <w:rPr>
                <w:rFonts w:cs="宋体"/>
                <w:kern w:val="0"/>
                <w:szCs w:val="21"/>
              </w:rPr>
            </w:pPr>
            <w:r>
              <w:rPr>
                <w:rFonts w:hint="eastAsia" w:cs="宋体"/>
                <w:kern w:val="0"/>
                <w:szCs w:val="21"/>
              </w:rPr>
              <w:t>7、施工期噪声执行《建筑施工场界环境噪声排放标准》（</w:t>
            </w:r>
            <w:r>
              <w:rPr>
                <w:rFonts w:cs="宋体"/>
                <w:kern w:val="0"/>
                <w:szCs w:val="21"/>
              </w:rPr>
              <w:t>GB12523-2011</w:t>
            </w:r>
            <w:r>
              <w:rPr>
                <w:rFonts w:hint="eastAsia" w:cs="宋体"/>
                <w:kern w:val="0"/>
                <w:szCs w:val="21"/>
              </w:rPr>
              <w:t>）排放限值要求。</w:t>
            </w:r>
          </w:p>
          <w:p>
            <w:pPr>
              <w:autoSpaceDE w:val="0"/>
              <w:autoSpaceDN w:val="0"/>
              <w:adjustRightInd w:val="0"/>
              <w:snapToGrid w:val="0"/>
              <w:spacing w:line="400" w:lineRule="exact"/>
              <w:ind w:firstLine="420" w:firstLineChars="200"/>
              <w:jc w:val="center"/>
              <w:rPr>
                <w:rFonts w:cs="宋体"/>
                <w:kern w:val="0"/>
                <w:szCs w:val="21"/>
              </w:rPr>
            </w:pPr>
            <w:r>
              <w:rPr>
                <w:rFonts w:cs="宋体"/>
                <w:kern w:val="0"/>
                <w:szCs w:val="21"/>
              </w:rPr>
              <w:t>LAeq</w:t>
            </w:r>
            <w:r>
              <w:rPr>
                <w:rFonts w:hint="eastAsia" w:cs="宋体"/>
                <w:kern w:val="0"/>
                <w:szCs w:val="21"/>
              </w:rPr>
              <w:t>：昼间</w:t>
            </w:r>
            <w:r>
              <w:rPr>
                <w:rFonts w:cs="宋体"/>
                <w:kern w:val="0"/>
                <w:szCs w:val="21"/>
              </w:rPr>
              <w:t xml:space="preserve">&lt;70dB(A)     </w:t>
            </w:r>
            <w:r>
              <w:rPr>
                <w:rFonts w:hint="eastAsia" w:cs="宋体"/>
                <w:kern w:val="0"/>
                <w:szCs w:val="21"/>
              </w:rPr>
              <w:t>夜间</w:t>
            </w:r>
            <w:r>
              <w:rPr>
                <w:rFonts w:cs="宋体"/>
                <w:kern w:val="0"/>
                <w:szCs w:val="21"/>
              </w:rPr>
              <w:t>&lt;55dB(A)</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营运期噪声执行《工业企业厂界环境噪声排放标准》</w:t>
            </w:r>
            <w:r>
              <w:rPr>
                <w:rFonts w:cs="宋体"/>
                <w:kern w:val="0"/>
                <w:szCs w:val="21"/>
              </w:rPr>
              <w:t>(GBl2348-2008)</w:t>
            </w:r>
            <w:r>
              <w:rPr>
                <w:rFonts w:hint="eastAsia" w:cs="宋体"/>
                <w:kern w:val="0"/>
                <w:szCs w:val="21"/>
              </w:rPr>
              <w:t>3类标准。</w:t>
            </w:r>
          </w:p>
          <w:p>
            <w:pPr>
              <w:autoSpaceDE w:val="0"/>
              <w:autoSpaceDN w:val="0"/>
              <w:adjustRightInd w:val="0"/>
              <w:snapToGrid w:val="0"/>
              <w:spacing w:line="400" w:lineRule="exact"/>
              <w:ind w:firstLine="420" w:firstLineChars="200"/>
              <w:jc w:val="center"/>
              <w:rPr>
                <w:rFonts w:ascii="宋体" w:hAnsi="宋体" w:cs="宋体"/>
                <w:kern w:val="0"/>
                <w:szCs w:val="21"/>
              </w:rPr>
            </w:pPr>
            <w:r>
              <w:rPr>
                <w:rFonts w:cs="宋体"/>
                <w:kern w:val="0"/>
                <w:szCs w:val="21"/>
              </w:rPr>
              <w:t>LAeq</w:t>
            </w:r>
            <w:r>
              <w:rPr>
                <w:rFonts w:hint="eastAsia" w:cs="宋体"/>
                <w:kern w:val="0"/>
                <w:szCs w:val="21"/>
              </w:rPr>
              <w:t>：昼间</w:t>
            </w:r>
            <w:r>
              <w:rPr>
                <w:rFonts w:cs="宋体"/>
                <w:kern w:val="0"/>
                <w:szCs w:val="21"/>
              </w:rPr>
              <w:t>&lt;6</w:t>
            </w:r>
            <w:r>
              <w:rPr>
                <w:rFonts w:hint="eastAsia" w:cs="宋体"/>
                <w:kern w:val="0"/>
                <w:szCs w:val="21"/>
              </w:rPr>
              <w:t>5</w:t>
            </w:r>
            <w:r>
              <w:rPr>
                <w:rFonts w:cs="宋体"/>
                <w:kern w:val="0"/>
                <w:szCs w:val="21"/>
              </w:rPr>
              <w:t xml:space="preserve">dB(A)     </w:t>
            </w:r>
            <w:r>
              <w:rPr>
                <w:rFonts w:hint="eastAsia" w:cs="宋体"/>
                <w:kern w:val="0"/>
                <w:szCs w:val="21"/>
              </w:rPr>
              <w:t>夜间</w:t>
            </w:r>
            <w:r>
              <w:rPr>
                <w:rFonts w:cs="宋体"/>
                <w:kern w:val="0"/>
                <w:szCs w:val="21"/>
              </w:rPr>
              <w:t>&lt;5</w:t>
            </w:r>
            <w:r>
              <w:rPr>
                <w:rFonts w:hint="eastAsia" w:cs="宋体"/>
                <w:kern w:val="0"/>
                <w:szCs w:val="21"/>
              </w:rPr>
              <w:t>5</w:t>
            </w:r>
            <w:r>
              <w:rPr>
                <w:rFonts w:cs="宋体"/>
                <w:kern w:val="0"/>
                <w:szCs w:val="21"/>
              </w:rPr>
              <w:t>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669" w:type="dxa"/>
            <w:vAlign w:val="center"/>
          </w:tcPr>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r>
              <w:rPr>
                <w:rFonts w:hint="eastAsia" w:ascii="宋体" w:hAnsi="宋体" w:cs="宋体"/>
                <w:kern w:val="0"/>
                <w:szCs w:val="21"/>
              </w:rPr>
              <w:t>其他</w:t>
            </w: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p>
          <w:p>
            <w:pPr>
              <w:pStyle w:val="2"/>
            </w:pPr>
          </w:p>
          <w:p>
            <w:pPr>
              <w:pStyle w:val="2"/>
            </w:pPr>
          </w:p>
          <w:p>
            <w:pPr>
              <w:pStyle w:val="2"/>
            </w:pPr>
          </w:p>
        </w:tc>
        <w:tc>
          <w:tcPr>
            <w:tcW w:w="8253" w:type="dxa"/>
            <w:vAlign w:val="center"/>
          </w:tcPr>
          <w:p>
            <w:pPr>
              <w:adjustRightInd w:val="0"/>
              <w:snapToGrid w:val="0"/>
              <w:spacing w:line="400" w:lineRule="exact"/>
              <w:ind w:firstLine="420" w:firstLineChars="200"/>
              <w:rPr>
                <w:szCs w:val="21"/>
              </w:rPr>
            </w:pPr>
            <w:r>
              <w:rPr>
                <w:rFonts w:hint="eastAsia"/>
                <w:szCs w:val="21"/>
              </w:rPr>
              <w:t>无</w:t>
            </w:r>
          </w:p>
          <w:p>
            <w:pPr>
              <w:adjustRightInd w:val="0"/>
              <w:snapToGrid w:val="0"/>
              <w:spacing w:line="400" w:lineRule="exact"/>
              <w:jc w:val="center"/>
              <w:rPr>
                <w:szCs w:val="21"/>
              </w:rPr>
            </w:pPr>
          </w:p>
          <w:p>
            <w:pPr>
              <w:adjustRightInd w:val="0"/>
              <w:snapToGrid w:val="0"/>
              <w:spacing w:line="400" w:lineRule="exact"/>
              <w:jc w:val="center"/>
              <w:rPr>
                <w:szCs w:val="21"/>
              </w:rPr>
            </w:pPr>
          </w:p>
          <w:p>
            <w:pPr>
              <w:adjustRightInd w:val="0"/>
              <w:snapToGrid w:val="0"/>
              <w:spacing w:line="100" w:lineRule="exact"/>
              <w:jc w:val="center"/>
              <w:rPr>
                <w:rFonts w:ascii="宋体" w:hAnsi="宋体" w:cs="宋体"/>
                <w:kern w:val="0"/>
                <w:szCs w:val="21"/>
              </w:rPr>
            </w:pPr>
          </w:p>
          <w:p>
            <w:pPr>
              <w:adjustRightInd w:val="0"/>
              <w:snapToGrid w:val="0"/>
              <w:spacing w:line="100" w:lineRule="exact"/>
              <w:jc w:val="center"/>
              <w:rPr>
                <w:rFonts w:ascii="宋体" w:hAnsi="宋体" w:cs="宋体"/>
                <w:kern w:val="0"/>
                <w:szCs w:val="21"/>
              </w:rPr>
            </w:pPr>
          </w:p>
          <w:p>
            <w:pPr>
              <w:adjustRightInd w:val="0"/>
              <w:snapToGrid w:val="0"/>
              <w:spacing w:line="100" w:lineRule="exact"/>
              <w:jc w:val="center"/>
              <w:rPr>
                <w:rFonts w:ascii="宋体" w:hAnsi="宋体" w:cs="宋体"/>
                <w:kern w:val="0"/>
                <w:szCs w:val="21"/>
              </w:rPr>
            </w:pPr>
          </w:p>
          <w:p>
            <w:pPr>
              <w:adjustRightInd w:val="0"/>
              <w:snapToGrid w:val="0"/>
              <w:spacing w:line="100" w:lineRule="exact"/>
              <w:jc w:val="center"/>
              <w:rPr>
                <w:rFonts w:ascii="宋体" w:hAnsi="宋体" w:cs="宋体"/>
                <w:kern w:val="0"/>
                <w:szCs w:val="21"/>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after="0" w:line="100" w:lineRule="exact"/>
            </w:pPr>
          </w:p>
          <w:p>
            <w:pPr>
              <w:pStyle w:val="2"/>
              <w:spacing w:after="0" w:line="100" w:lineRule="exact"/>
            </w:pPr>
          </w:p>
          <w:p>
            <w:pPr>
              <w:pStyle w:val="2"/>
              <w:spacing w:after="0" w:line="100" w:lineRule="exact"/>
            </w:pPr>
          </w:p>
        </w:tc>
      </w:tr>
    </w:tbl>
    <w:p>
      <w:pPr>
        <w:pStyle w:val="14"/>
        <w:adjustRightInd w:val="0"/>
        <w:snapToGrid w:val="0"/>
        <w:spacing w:before="0" w:beforeAutospacing="0" w:after="0" w:afterAutospacing="0" w:line="14" w:lineRule="auto"/>
        <w:jc w:val="center"/>
        <w:rPr>
          <w:rFonts w:ascii="黑体" w:hAnsi="黑体" w:eastAsia="黑体"/>
          <w:snapToGrid w:val="0"/>
          <w:kern w:val="2"/>
          <w:sz w:val="36"/>
          <w:szCs w:val="36"/>
        </w:rPr>
      </w:pPr>
    </w:p>
    <w:p>
      <w:pPr>
        <w:pStyle w:val="14"/>
        <w:jc w:val="center"/>
        <w:outlineLvl w:val="0"/>
        <w:rPr>
          <w:rFonts w:ascii="黑体" w:hAnsi="黑体" w:eastAsia="黑体"/>
          <w:snapToGrid w:val="0"/>
          <w:sz w:val="30"/>
          <w:szCs w:val="30"/>
        </w:rPr>
      </w:pPr>
      <w:r>
        <w:rPr>
          <w:rFonts w:ascii="黑体" w:hAnsi="黑体" w:eastAsia="黑体"/>
          <w:snapToGrid w:val="0"/>
          <w:kern w:val="2"/>
          <w:sz w:val="36"/>
          <w:szCs w:val="36"/>
        </w:rPr>
        <w:br w:type="page"/>
      </w:r>
      <w:r>
        <w:rPr>
          <w:rFonts w:hint="eastAsia" w:ascii="黑体" w:hAnsi="黑体" w:eastAsia="黑体"/>
          <w:snapToGrid w:val="0"/>
          <w:sz w:val="30"/>
          <w:szCs w:val="30"/>
        </w:rPr>
        <w:t>四、生态环境影响分析</w:t>
      </w:r>
    </w:p>
    <w:tbl>
      <w:tblPr>
        <w:tblStyle w:val="17"/>
        <w:tblW w:w="88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9"/>
        <w:gridCol w:w="80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006" w:hRule="atLeast"/>
          <w:jc w:val="center"/>
        </w:trPr>
        <w:tc>
          <w:tcPr>
            <w:tcW w:w="759" w:type="dxa"/>
            <w:tcMar>
              <w:left w:w="28" w:type="dxa"/>
              <w:right w:w="28" w:type="dxa"/>
            </w:tcMar>
            <w:vAlign w:val="center"/>
          </w:tcPr>
          <w:p>
            <w:pPr>
              <w:pStyle w:val="14"/>
              <w:adjustRightInd w:val="0"/>
              <w:snapToGrid w:val="0"/>
              <w:spacing w:before="0" w:beforeAutospacing="0" w:after="0" w:afterAutospacing="0"/>
              <w:jc w:val="center"/>
              <w:rPr>
                <w:rFonts w:cs="宋体"/>
                <w:bCs/>
                <w:spacing w:val="10"/>
                <w:kern w:val="2"/>
                <w:sz w:val="21"/>
                <w:szCs w:val="21"/>
              </w:rPr>
            </w:pPr>
            <w:bookmarkStart w:id="3" w:name="_Hlk49796138"/>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r>
              <w:rPr>
                <w:rFonts w:hint="eastAsia" w:cs="宋体"/>
                <w:bCs/>
                <w:spacing w:val="10"/>
                <w:kern w:val="2"/>
                <w:sz w:val="21"/>
                <w:szCs w:val="21"/>
              </w:rPr>
              <w:t>施工期生态环境影响分析</w:t>
            </w:r>
            <w:bookmarkEnd w:id="3"/>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r>
              <w:rPr>
                <w:rFonts w:hint="eastAsia" w:cs="宋体"/>
                <w:bCs/>
                <w:spacing w:val="10"/>
                <w:kern w:val="2"/>
                <w:sz w:val="21"/>
                <w:szCs w:val="21"/>
              </w:rPr>
              <w:t>施工期生态环境影响分析</w:t>
            </w: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r>
              <w:rPr>
                <w:rFonts w:hint="eastAsia" w:cs="宋体"/>
                <w:bCs/>
                <w:spacing w:val="10"/>
                <w:kern w:val="2"/>
                <w:sz w:val="21"/>
                <w:szCs w:val="21"/>
              </w:rPr>
              <w:t>施工期生态环境影响分析</w:t>
            </w: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tc>
        <w:tc>
          <w:tcPr>
            <w:tcW w:w="8080" w:type="dxa"/>
          </w:tcPr>
          <w:p>
            <w:pPr>
              <w:topLinePunct/>
              <w:adjustRightInd w:val="0"/>
              <w:spacing w:line="400" w:lineRule="exact"/>
              <w:ind w:firstLine="2" w:firstLineChars="1"/>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本项目为天然气管网建设项目，施工活动主要包括管道敷设施工。施工影响范围主要为管道敷设沿线，施工活动所产生的大气污染、水污染、噪声污染对区域自然、生态环境及居民生活有一定影响。其中以生态影响比较显著。本次评价不包括工程施工中管道 X 射线探伤检测的辐射评价。</w:t>
            </w:r>
          </w:p>
          <w:p>
            <w:pPr>
              <w:topLinePunct/>
              <w:adjustRightInd w:val="0"/>
              <w:spacing w:line="400" w:lineRule="exact"/>
              <w:jc w:val="left"/>
              <w:rPr>
                <w:rFonts w:asciiTheme="minorEastAsia" w:hAnsiTheme="minorEastAsia" w:eastAsiaTheme="minorEastAsia"/>
                <w:b/>
                <w:bCs/>
                <w:szCs w:val="28"/>
                <w:lang w:val="zh-CN"/>
              </w:rPr>
            </w:pPr>
            <w:r>
              <w:rPr>
                <w:rFonts w:asciiTheme="minorEastAsia" w:hAnsiTheme="minorEastAsia" w:eastAsiaTheme="minorEastAsia"/>
                <w:b/>
                <w:bCs/>
                <w:szCs w:val="28"/>
                <w:lang w:val="zh-CN"/>
              </w:rPr>
              <w:t>1、生态环境影响分析</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①工程建设占用土地影响</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项目输气管线采用挖沟建设的方法。管线不新增永久占地，主要敷设在已建道路边绿化带内，管线工程建设无永久性占地，项目施工作业带临时性占地约22.95hm</w:t>
            </w:r>
            <w:r>
              <w:rPr>
                <w:rFonts w:hint="eastAsia" w:asciiTheme="minorEastAsia" w:hAnsiTheme="minorEastAsia" w:eastAsiaTheme="minorEastAsia"/>
                <w:bCs/>
                <w:szCs w:val="28"/>
                <w:vertAlign w:val="superscript"/>
                <w:lang w:val="zh-CN"/>
              </w:rPr>
              <w:t>2</w:t>
            </w:r>
            <w:r>
              <w:rPr>
                <w:rFonts w:hint="eastAsia" w:asciiTheme="minorEastAsia" w:hAnsiTheme="minorEastAsia" w:eastAsiaTheme="minorEastAsia"/>
                <w:bCs/>
                <w:szCs w:val="28"/>
                <w:lang w:val="zh-CN"/>
              </w:rPr>
              <w:t>，主要用于管道挖掘土的堆积，堆管、设备及材料存放用地等。项目临时占地仅在施工期及以后较短时间内影响土地的利用，经过一定恢复期后，土地的利用状况不会发生改变，仍可以保持原有的使用功能。</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配气站总用地面积6595.33m</w:t>
            </w:r>
            <w:r>
              <w:rPr>
                <w:rFonts w:hint="eastAsia" w:asciiTheme="minorEastAsia" w:hAnsiTheme="minorEastAsia" w:eastAsiaTheme="minorEastAsia"/>
                <w:bCs/>
                <w:szCs w:val="28"/>
                <w:vertAlign w:val="superscript"/>
                <w:lang w:val="zh-CN"/>
              </w:rPr>
              <w:t>2</w:t>
            </w:r>
            <w:r>
              <w:rPr>
                <w:rFonts w:hint="eastAsia" w:asciiTheme="minorEastAsia" w:hAnsiTheme="minorEastAsia" w:eastAsiaTheme="minorEastAsia"/>
                <w:bCs/>
                <w:szCs w:val="28"/>
                <w:lang w:val="zh-CN"/>
              </w:rPr>
              <w:t>，建筑面积</w:t>
            </w:r>
            <w:r>
              <w:rPr>
                <w:rFonts w:hint="eastAsia" w:asciiTheme="minorEastAsia" w:hAnsiTheme="minorEastAsia" w:eastAsiaTheme="minorEastAsia"/>
                <w:bCs/>
                <w:szCs w:val="28"/>
              </w:rPr>
              <w:t>472.08</w:t>
            </w:r>
            <w:r>
              <w:rPr>
                <w:rFonts w:hint="eastAsia" w:asciiTheme="minorEastAsia" w:hAnsiTheme="minorEastAsia" w:eastAsiaTheme="minorEastAsia"/>
                <w:bCs/>
                <w:szCs w:val="28"/>
                <w:lang w:val="zh-CN"/>
              </w:rPr>
              <w:t>m</w:t>
            </w:r>
            <w:r>
              <w:rPr>
                <w:rFonts w:hint="eastAsia" w:asciiTheme="minorEastAsia" w:hAnsiTheme="minorEastAsia" w:eastAsiaTheme="minorEastAsia"/>
                <w:bCs/>
                <w:szCs w:val="28"/>
                <w:vertAlign w:val="superscript"/>
                <w:lang w:val="zh-CN"/>
              </w:rPr>
              <w:t>2</w:t>
            </w:r>
            <w:r>
              <w:rPr>
                <w:rFonts w:hint="eastAsia" w:asciiTheme="minorEastAsia" w:hAnsiTheme="minorEastAsia" w:eastAsiaTheme="minorEastAsia"/>
                <w:bCs/>
                <w:szCs w:val="28"/>
                <w:lang w:val="zh-CN"/>
              </w:rPr>
              <w:t>，永久占地改变土地原有使用功能，也会对农业生态环境产生一定的影响。</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②对土壤环境的影响</w:t>
            </w:r>
          </w:p>
          <w:p>
            <w:pPr>
              <w:topLinePunct/>
              <w:adjustRightInd w:val="0"/>
              <w:spacing w:line="400" w:lineRule="exact"/>
              <w:ind w:firstLine="422" w:firstLineChars="200"/>
              <w:jc w:val="left"/>
              <w:rPr>
                <w:rFonts w:asciiTheme="minorEastAsia" w:hAnsiTheme="minorEastAsia" w:eastAsiaTheme="minorEastAsia"/>
                <w:b/>
                <w:bCs/>
                <w:szCs w:val="28"/>
                <w:lang w:val="zh-CN"/>
              </w:rPr>
            </w:pPr>
            <w:r>
              <w:rPr>
                <w:rFonts w:hint="eastAsia" w:asciiTheme="minorEastAsia" w:hAnsiTheme="minorEastAsia" w:eastAsiaTheme="minorEastAsia"/>
                <w:b/>
                <w:bCs/>
                <w:szCs w:val="28"/>
                <w:lang w:val="zh-CN"/>
              </w:rPr>
              <w:t>本项目施工期对土壤环境的影响表现在：</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a.破坏土壤结构</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土壤结构的形成需要漫长的时间，土壤结构是土壤质量好坏的重要指标,</w:t>
            </w:r>
            <w:r>
              <w:rPr>
                <w:rFonts w:hint="eastAsia"/>
              </w:rPr>
              <w:t xml:space="preserve"> </w:t>
            </w:r>
            <w:r>
              <w:rPr>
                <w:rFonts w:hint="eastAsia" w:asciiTheme="minorEastAsia" w:hAnsiTheme="minorEastAsia" w:eastAsiaTheme="minorEastAsia"/>
                <w:bCs/>
                <w:szCs w:val="28"/>
                <w:lang w:val="zh-CN"/>
              </w:rPr>
              <w:t>土壤结构的形成需要漫长的时间，土壤结构是土壤质量好坏的重要指标，特别是团粒结构是土壤质量的重要指标，团粒结构占的比重越高，表示土壤质量越好，团粒结构一旦被破坏，恢复需要较长时间，而且比较困难。施工过程中对土地的开挖和填埋，容易破坏团粒结构，千扰团粒结构的自然形成过程施工过程中的机械碾压、人员践踏等活动都会对土壤结构产生不良影响。</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b.破坏土壤层次，改变土壤质地</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管道开挖和回填过程中。必然会对土壤产生扰动和破坏。使不同质地的土体产生混合。特别是耕层土壤被混合后。直接影响植物的生长。</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c.影响土壤的紧实度</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在施工机械作业中，机械设备的碾压，施工人员的践踏使土壤紧实度增高,</w:t>
            </w:r>
            <w:r>
              <w:rPr>
                <w:rFonts w:hint="eastAsia"/>
              </w:rPr>
              <w:t xml:space="preserve"> </w:t>
            </w:r>
            <w:r>
              <w:rPr>
                <w:rFonts w:hint="eastAsia" w:asciiTheme="minorEastAsia" w:hAnsiTheme="minorEastAsia" w:eastAsiaTheme="minorEastAsia"/>
                <w:bCs/>
                <w:szCs w:val="28"/>
                <w:lang w:val="zh-CN"/>
              </w:rPr>
              <w:t>影响地表水的入渗，土体过于紧实不利于作物的生长。</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d.土壤养分流失</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在土壤刨面中各个土层中，就养分状况而言，表土层(腐殖质层、耕作层)有机质、全氮、全磷均较其他层次高。施工作业对原有的土体构型产生扰动，使土壤性质发生变化，土壤养分状况受到影响，从而影响植物的生长。根据国内外有关资料，管道工程对土壤养分的影响与土壤本身的理化性质和施工作业方式密切相关。在实行分层堆放、分层覆土的措施下，土壤的有机质将下降30%-40%，土壤养分下降30%-50%，其中全氮下降43%左右，磷素下降40%，钾素下降43%。这表明即使是对表层土实行分层堆放和分层覆土，也难以保证管道工程完工后覆土表层土的养分不至于流失。若不实行分层堆放和分层覆土，则土壤养分流失量更大。而在实际操作中，如果施工队伍素质较差，管理又不善的话，就不易做到表土的分层堆放和分层覆土，管道工程造成的土壤养分流失就更加明显</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e.管道施工临时占地的影响</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管道施工临时占地约1.07hm</w:t>
            </w:r>
            <w:r>
              <w:rPr>
                <w:rFonts w:hint="eastAsia" w:asciiTheme="minorEastAsia" w:hAnsiTheme="minorEastAsia" w:eastAsiaTheme="minorEastAsia"/>
                <w:bCs/>
                <w:szCs w:val="28"/>
                <w:vertAlign w:val="superscript"/>
                <w:lang w:val="zh-CN"/>
              </w:rPr>
              <w:t>2</w:t>
            </w:r>
            <w:r>
              <w:rPr>
                <w:rFonts w:hint="eastAsia" w:asciiTheme="minorEastAsia" w:hAnsiTheme="minorEastAsia" w:eastAsiaTheme="minorEastAsia"/>
                <w:bCs/>
                <w:szCs w:val="28"/>
                <w:lang w:val="zh-CN"/>
              </w:rPr>
              <w:t>，因施工过程中机械碾压，施工人员践踏土体被扰动，临时占用的土壤环境、肥力水平都会受到较大影响。</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f.对土壤生物的影响</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由于上述土壤理化性质和土体构型的改变，使土壤中的微生物、原生动物及其它节肢动物、环节动物、软体动物的栖息环境改变。由于本施工区无珍稀土壤生物，且施工带影响宽度仅为</w:t>
            </w:r>
            <w:r>
              <w:rPr>
                <w:rFonts w:hint="eastAsia" w:asciiTheme="minorEastAsia" w:hAnsiTheme="minorEastAsia" w:eastAsiaTheme="minorEastAsia"/>
                <w:bCs/>
                <w:szCs w:val="28"/>
              </w:rPr>
              <w:t>9</w:t>
            </w:r>
            <w:r>
              <w:rPr>
                <w:rFonts w:hint="eastAsia" w:asciiTheme="minorEastAsia" w:hAnsiTheme="minorEastAsia" w:eastAsiaTheme="minorEastAsia"/>
                <w:bCs/>
                <w:szCs w:val="28"/>
                <w:lang w:val="zh-CN"/>
              </w:rPr>
              <w:t>m,所以土壤生物的生态平衡很快会恢复。</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③植被破坏</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本项目管网铺设过程中对临时占用的土地绿化破坏较大本项目沿线占地范围内未发现有国家重点保护植物和古树名木的分布。从植被分布现状调查的结果看，受本项目直接影响的植被类型主要是一般常见植物，其生长范围广、适应性强。总体看，施工期植被损失面积不大，且项目将通过植被恢复来弥补损失的生物量。因此项目建设不会对生态系统稳定性和完整性产生明显不利影响，区域生态结构不会变化，总体上是稳定的。</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④陆生动物</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项目工程区基本不存在大型的动物，无珍稀野生动物。一般来说，由于区域人类活动频繁，即使存在大型动物，也会自行迁徒，因此只有地表及地下浅层的小型动物受到损失，工程建设对动物生境影响较小。</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⑤水土流失</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本项目可能发生水土流失的施工阶段主要是管道敷设过程地面开挖阶段。在施工场地挖方地段，新增水土流失主要是由于原生土石及地貌受到扰动，土体凝聚力减弱，可蚀性增强，加之原地表植被破坏，失去植被的抗侵蚀能力，填方地段则是堆积体相对松散，容易在雨水和重力作用下发生水力侵蚀和垮塌等重力侵蚀，半填半挖地段兼有上述二者的土壤侵蚀特点。</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项目在施工过程中应加强管理，减小因管网施工带来的水土流失。施工场地应注意土方的合理堆置，在跨沟渠处施工应与沟渠保持一定距离，并且加装挡板防止土方流入沟渠。建筑材料及未及时清运的弃方在大风大雨天气要用篷布遮盖。</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本项目在施工过程中，开挖土石方部分用于回填做管线覆盖，部分则运输至当地政府指定的建筑垃圾填埋场处置。施工中产生的弃土方，在雨季或大风天气情况下，会造成水土流失现象。</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⑥生态系统稳定性分析</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生态系统的稳定性是指生态系统在受到外来干扰时维持和恢复原有状态的能力。例如，森林被部分砍伐后，能通过自我更新和演替逐渐复原。但森林若被过量砍伐也将难以恢复。现以植被群落结构、绿当量两项指标来评价分析生态系统稳定性。</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从调查可知，在管线附近没有发现珍稀植物。施工期管沟开挖、下管等过程中一些沿线植被往往遭到破坏，改变了原植被群落数量，但由于施工期短开挖的管沟面积小，仅有少量荒草地也将在施工结束后进行复垦，因此原植被群落种类组成不会发生明显改变。</w:t>
            </w:r>
          </w:p>
          <w:p>
            <w:pPr>
              <w:topLinePunct/>
              <w:adjustRightInd w:val="0"/>
              <w:spacing w:line="400" w:lineRule="exact"/>
              <w:jc w:val="left"/>
              <w:rPr>
                <w:rFonts w:asciiTheme="minorEastAsia" w:hAnsiTheme="minorEastAsia" w:eastAsiaTheme="minorEastAsia"/>
                <w:b/>
                <w:bCs/>
                <w:szCs w:val="28"/>
                <w:lang w:val="zh-CN"/>
              </w:rPr>
            </w:pPr>
            <w:r>
              <w:rPr>
                <w:rFonts w:hint="eastAsia" w:asciiTheme="minorEastAsia" w:hAnsiTheme="minorEastAsia" w:eastAsiaTheme="minorEastAsia"/>
                <w:b/>
                <w:bCs/>
                <w:szCs w:val="28"/>
                <w:lang w:val="zh-CN"/>
              </w:rPr>
              <w:t>2、大气环境影响分析</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本项目建设施工期间的大气污染物主要为扬尘。根据国内外有关资料，施工期扬尘起尘量与许多因数有关。起尘量主要包括两类:挖沟机开挖起尘量和施工渣土堆场起尘量，属无组织面源排放，源强不易确定，主要是通过管理来进行控制，尽量减少扬尘排放量，在土壤湿度较大的情况下，其影响区域在150m 范围内。</w:t>
            </w:r>
          </w:p>
          <w:p>
            <w:pPr>
              <w:topLinePunct/>
              <w:adjustRightInd w:val="0"/>
              <w:spacing w:line="400" w:lineRule="exact"/>
              <w:ind w:firstLine="420" w:firstLineChars="200"/>
              <w:jc w:val="left"/>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(1)洒水抑尘</w:t>
            </w:r>
          </w:p>
          <w:p>
            <w:pPr>
              <w:topLinePunct/>
              <w:adjustRightInd w:val="0"/>
              <w:spacing w:line="400" w:lineRule="exact"/>
              <w:ind w:firstLine="420" w:firstLineChars="200"/>
              <w:jc w:val="center"/>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如果在施工期内对开挖路面实施洒水抑尘，每天洒水4-5次，可使扬尘减少70% 左右。下表为施工场地洒水抑尘的试验结果。由该表数据可看出对施工场地实施每天洒水4-5次进行抑尘，可有效地控制施工扬尘，并可将TSP污染距离缩小到20-50m 范围。</w:t>
            </w:r>
          </w:p>
          <w:p>
            <w:pPr>
              <w:topLinePunct/>
              <w:adjustRightInd w:val="0"/>
              <w:spacing w:line="400" w:lineRule="exact"/>
              <w:ind w:firstLine="360" w:firstLineChars="200"/>
              <w:jc w:val="center"/>
              <w:rPr>
                <w:rFonts w:ascii="黑体" w:hAnsi="黑体" w:eastAsia="黑体"/>
                <w:bCs/>
                <w:sz w:val="18"/>
                <w:szCs w:val="28"/>
                <w:vertAlign w:val="superscript"/>
                <w:lang w:val="zh-CN"/>
              </w:rPr>
            </w:pPr>
            <w:r>
              <w:rPr>
                <w:rFonts w:hint="eastAsia" w:ascii="黑体" w:hAnsi="黑体" w:eastAsia="黑体"/>
                <w:bCs/>
                <w:sz w:val="18"/>
                <w:szCs w:val="28"/>
                <w:lang w:val="zh-CN"/>
              </w:rPr>
              <w:t>表4-1  施工期场地洒水抑尘试验结果 单位：mg/m</w:t>
            </w:r>
            <w:r>
              <w:rPr>
                <w:rFonts w:hint="eastAsia" w:ascii="黑体" w:hAnsi="黑体" w:eastAsia="黑体"/>
                <w:bCs/>
                <w:sz w:val="18"/>
                <w:szCs w:val="28"/>
                <w:vertAlign w:val="superscript"/>
                <w:lang w:val="zh-CN"/>
              </w:rPr>
              <w:t>3</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983"/>
              <w:gridCol w:w="1190"/>
              <w:gridCol w:w="1190"/>
              <w:gridCol w:w="1190"/>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381" w:type="dxa"/>
                  <w:gridSpan w:val="2"/>
                </w:tcPr>
                <w:p>
                  <w:pPr>
                    <w:topLinePunct/>
                    <w:adjustRightInd w:val="0"/>
                    <w:spacing w:line="300" w:lineRule="exact"/>
                    <w:jc w:val="center"/>
                    <w:rPr>
                      <w:rFonts w:eastAsiaTheme="minorEastAsia"/>
                      <w:bCs/>
                      <w:sz w:val="18"/>
                      <w:szCs w:val="28"/>
                      <w:lang w:val="zh-CN"/>
                    </w:rPr>
                  </w:pPr>
                  <w:r>
                    <w:rPr>
                      <w:rFonts w:hint="eastAsia" w:eastAsiaTheme="minorEastAsia"/>
                      <w:bCs/>
                      <w:sz w:val="18"/>
                      <w:szCs w:val="28"/>
                      <w:lang w:val="zh-CN"/>
                    </w:rPr>
                    <w:t>距离（m）</w:t>
                  </w:r>
                </w:p>
              </w:tc>
              <w:tc>
                <w:tcPr>
                  <w:tcW w:w="1190" w:type="dxa"/>
                </w:tcPr>
                <w:p>
                  <w:pPr>
                    <w:topLinePunct/>
                    <w:adjustRightInd w:val="0"/>
                    <w:spacing w:line="300" w:lineRule="exact"/>
                    <w:jc w:val="center"/>
                    <w:rPr>
                      <w:rFonts w:eastAsiaTheme="minorEastAsia"/>
                      <w:bCs/>
                      <w:sz w:val="18"/>
                      <w:szCs w:val="28"/>
                      <w:lang w:val="zh-CN"/>
                    </w:rPr>
                  </w:pPr>
                  <w:r>
                    <w:rPr>
                      <w:rFonts w:hint="eastAsia" w:eastAsiaTheme="minorEastAsia"/>
                      <w:bCs/>
                      <w:sz w:val="18"/>
                      <w:szCs w:val="28"/>
                      <w:lang w:val="zh-CN"/>
                    </w:rPr>
                    <w:t>5</w:t>
                  </w:r>
                </w:p>
              </w:tc>
              <w:tc>
                <w:tcPr>
                  <w:tcW w:w="1190" w:type="dxa"/>
                </w:tcPr>
                <w:p>
                  <w:pPr>
                    <w:topLinePunct/>
                    <w:adjustRightInd w:val="0"/>
                    <w:spacing w:line="300" w:lineRule="exact"/>
                    <w:jc w:val="center"/>
                    <w:rPr>
                      <w:rFonts w:eastAsiaTheme="minorEastAsia"/>
                      <w:bCs/>
                      <w:sz w:val="18"/>
                      <w:szCs w:val="28"/>
                      <w:lang w:val="zh-CN"/>
                    </w:rPr>
                  </w:pPr>
                  <w:r>
                    <w:rPr>
                      <w:rFonts w:hint="eastAsia" w:eastAsiaTheme="minorEastAsia"/>
                      <w:bCs/>
                      <w:sz w:val="18"/>
                      <w:szCs w:val="28"/>
                      <w:lang w:val="zh-CN"/>
                    </w:rPr>
                    <w:t>20</w:t>
                  </w:r>
                </w:p>
              </w:tc>
              <w:tc>
                <w:tcPr>
                  <w:tcW w:w="1190" w:type="dxa"/>
                </w:tcPr>
                <w:p>
                  <w:pPr>
                    <w:topLinePunct/>
                    <w:adjustRightInd w:val="0"/>
                    <w:spacing w:line="300" w:lineRule="exact"/>
                    <w:jc w:val="center"/>
                    <w:rPr>
                      <w:rFonts w:eastAsiaTheme="minorEastAsia"/>
                      <w:bCs/>
                      <w:sz w:val="18"/>
                      <w:szCs w:val="28"/>
                      <w:lang w:val="zh-CN"/>
                    </w:rPr>
                  </w:pPr>
                  <w:r>
                    <w:rPr>
                      <w:rFonts w:hint="eastAsia" w:eastAsiaTheme="minorEastAsia"/>
                      <w:bCs/>
                      <w:sz w:val="18"/>
                      <w:szCs w:val="28"/>
                      <w:lang w:val="zh-CN"/>
                    </w:rPr>
                    <w:t>50</w:t>
                  </w:r>
                </w:p>
              </w:tc>
              <w:tc>
                <w:tcPr>
                  <w:tcW w:w="1191" w:type="dxa"/>
                </w:tcPr>
                <w:p>
                  <w:pPr>
                    <w:topLinePunct/>
                    <w:adjustRightInd w:val="0"/>
                    <w:spacing w:line="300" w:lineRule="exact"/>
                    <w:jc w:val="center"/>
                    <w:rPr>
                      <w:rFonts w:eastAsiaTheme="minorEastAsia"/>
                      <w:bCs/>
                      <w:sz w:val="18"/>
                      <w:szCs w:val="28"/>
                      <w:lang w:val="zh-CN"/>
                    </w:rPr>
                  </w:pPr>
                  <w:r>
                    <w:rPr>
                      <w:rFonts w:hint="eastAsia" w:eastAsiaTheme="minorEastAsia"/>
                      <w:bCs/>
                      <w:sz w:val="18"/>
                      <w:szCs w:val="28"/>
                      <w:lang w:val="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398" w:type="dxa"/>
                </w:tcPr>
                <w:p>
                  <w:pPr>
                    <w:topLinePunct/>
                    <w:adjustRightInd w:val="0"/>
                    <w:spacing w:line="300" w:lineRule="exact"/>
                    <w:jc w:val="center"/>
                    <w:rPr>
                      <w:rFonts w:eastAsiaTheme="minorEastAsia"/>
                      <w:bCs/>
                      <w:sz w:val="18"/>
                      <w:szCs w:val="28"/>
                      <w:lang w:val="zh-CN"/>
                    </w:rPr>
                  </w:pPr>
                  <w:r>
                    <w:rPr>
                      <w:rFonts w:hint="eastAsia" w:eastAsiaTheme="minorEastAsia"/>
                      <w:bCs/>
                      <w:sz w:val="18"/>
                      <w:szCs w:val="28"/>
                      <w:lang w:val="zh-CN"/>
                    </w:rPr>
                    <w:t>TSP小时平均</w:t>
                  </w:r>
                </w:p>
              </w:tc>
              <w:tc>
                <w:tcPr>
                  <w:tcW w:w="983" w:type="dxa"/>
                </w:tcPr>
                <w:p>
                  <w:pPr>
                    <w:topLinePunct/>
                    <w:adjustRightInd w:val="0"/>
                    <w:spacing w:line="300" w:lineRule="exact"/>
                    <w:jc w:val="center"/>
                    <w:rPr>
                      <w:rFonts w:eastAsiaTheme="minorEastAsia"/>
                      <w:bCs/>
                      <w:sz w:val="18"/>
                      <w:szCs w:val="28"/>
                      <w:lang w:val="zh-CN"/>
                    </w:rPr>
                  </w:pPr>
                  <w:r>
                    <w:rPr>
                      <w:rFonts w:hint="eastAsia" w:eastAsiaTheme="minorEastAsia"/>
                      <w:bCs/>
                      <w:sz w:val="18"/>
                      <w:szCs w:val="28"/>
                      <w:lang w:val="zh-CN"/>
                    </w:rPr>
                    <w:t>不洒水</w:t>
                  </w:r>
                </w:p>
              </w:tc>
              <w:tc>
                <w:tcPr>
                  <w:tcW w:w="1190" w:type="dxa"/>
                </w:tcPr>
                <w:p>
                  <w:pPr>
                    <w:topLinePunct/>
                    <w:adjustRightInd w:val="0"/>
                    <w:spacing w:line="300" w:lineRule="exact"/>
                    <w:jc w:val="center"/>
                    <w:rPr>
                      <w:rFonts w:eastAsiaTheme="minorEastAsia"/>
                      <w:bCs/>
                      <w:sz w:val="18"/>
                      <w:szCs w:val="28"/>
                      <w:lang w:val="zh-CN"/>
                    </w:rPr>
                  </w:pPr>
                  <w:r>
                    <w:rPr>
                      <w:rFonts w:hint="eastAsia" w:eastAsiaTheme="minorEastAsia"/>
                      <w:bCs/>
                      <w:sz w:val="18"/>
                      <w:szCs w:val="28"/>
                      <w:lang w:val="zh-CN"/>
                    </w:rPr>
                    <w:t>10.14</w:t>
                  </w:r>
                </w:p>
              </w:tc>
              <w:tc>
                <w:tcPr>
                  <w:tcW w:w="1190" w:type="dxa"/>
                </w:tcPr>
                <w:p>
                  <w:pPr>
                    <w:topLinePunct/>
                    <w:adjustRightInd w:val="0"/>
                    <w:spacing w:line="300" w:lineRule="exact"/>
                    <w:jc w:val="center"/>
                    <w:rPr>
                      <w:rFonts w:eastAsiaTheme="minorEastAsia"/>
                      <w:bCs/>
                      <w:sz w:val="18"/>
                      <w:szCs w:val="28"/>
                      <w:lang w:val="zh-CN"/>
                    </w:rPr>
                  </w:pPr>
                  <w:r>
                    <w:rPr>
                      <w:rFonts w:hint="eastAsia" w:eastAsiaTheme="minorEastAsia"/>
                      <w:bCs/>
                      <w:sz w:val="18"/>
                      <w:szCs w:val="28"/>
                      <w:lang w:val="zh-CN"/>
                    </w:rPr>
                    <w:t>2.89</w:t>
                  </w:r>
                </w:p>
              </w:tc>
              <w:tc>
                <w:tcPr>
                  <w:tcW w:w="1190" w:type="dxa"/>
                </w:tcPr>
                <w:p>
                  <w:pPr>
                    <w:topLinePunct/>
                    <w:adjustRightInd w:val="0"/>
                    <w:spacing w:line="300" w:lineRule="exact"/>
                    <w:jc w:val="center"/>
                    <w:rPr>
                      <w:rFonts w:eastAsiaTheme="minorEastAsia"/>
                      <w:bCs/>
                      <w:sz w:val="18"/>
                      <w:szCs w:val="28"/>
                      <w:lang w:val="zh-CN"/>
                    </w:rPr>
                  </w:pPr>
                  <w:r>
                    <w:rPr>
                      <w:rFonts w:hint="eastAsia" w:eastAsiaTheme="minorEastAsia"/>
                      <w:bCs/>
                      <w:sz w:val="18"/>
                      <w:szCs w:val="28"/>
                      <w:lang w:val="zh-CN"/>
                    </w:rPr>
                    <w:t>1.15</w:t>
                  </w:r>
                </w:p>
              </w:tc>
              <w:tc>
                <w:tcPr>
                  <w:tcW w:w="1191" w:type="dxa"/>
                </w:tcPr>
                <w:p>
                  <w:pPr>
                    <w:topLinePunct/>
                    <w:adjustRightInd w:val="0"/>
                    <w:spacing w:line="300" w:lineRule="exact"/>
                    <w:jc w:val="center"/>
                    <w:rPr>
                      <w:rFonts w:eastAsiaTheme="minorEastAsia"/>
                      <w:bCs/>
                      <w:sz w:val="18"/>
                      <w:szCs w:val="28"/>
                      <w:lang w:val="zh-CN"/>
                    </w:rPr>
                  </w:pPr>
                  <w:r>
                    <w:rPr>
                      <w:rFonts w:hint="eastAsia" w:eastAsiaTheme="minorEastAsia"/>
                      <w:bCs/>
                      <w:sz w:val="18"/>
                      <w:szCs w:val="28"/>
                      <w:lang w:val="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398" w:type="dxa"/>
                </w:tcPr>
                <w:p>
                  <w:pPr>
                    <w:topLinePunct/>
                    <w:adjustRightInd w:val="0"/>
                    <w:spacing w:line="300" w:lineRule="exact"/>
                    <w:jc w:val="center"/>
                    <w:rPr>
                      <w:rFonts w:eastAsiaTheme="minorEastAsia"/>
                      <w:bCs/>
                      <w:sz w:val="18"/>
                      <w:szCs w:val="28"/>
                      <w:lang w:val="zh-CN"/>
                    </w:rPr>
                  </w:pPr>
                  <w:r>
                    <w:rPr>
                      <w:rFonts w:hint="eastAsia" w:eastAsiaTheme="minorEastAsia"/>
                      <w:bCs/>
                      <w:sz w:val="18"/>
                      <w:szCs w:val="28"/>
                      <w:lang w:val="zh-CN"/>
                    </w:rPr>
                    <w:t>浓度</w:t>
                  </w:r>
                </w:p>
              </w:tc>
              <w:tc>
                <w:tcPr>
                  <w:tcW w:w="983" w:type="dxa"/>
                </w:tcPr>
                <w:p>
                  <w:pPr>
                    <w:topLinePunct/>
                    <w:adjustRightInd w:val="0"/>
                    <w:spacing w:line="300" w:lineRule="exact"/>
                    <w:jc w:val="center"/>
                    <w:rPr>
                      <w:rFonts w:eastAsiaTheme="minorEastAsia"/>
                      <w:bCs/>
                      <w:sz w:val="18"/>
                      <w:szCs w:val="28"/>
                      <w:lang w:val="zh-CN"/>
                    </w:rPr>
                  </w:pPr>
                  <w:r>
                    <w:rPr>
                      <w:rFonts w:hint="eastAsia" w:eastAsiaTheme="minorEastAsia"/>
                      <w:bCs/>
                      <w:sz w:val="18"/>
                      <w:szCs w:val="28"/>
                      <w:lang w:val="zh-CN"/>
                    </w:rPr>
                    <w:t xml:space="preserve">洒水 </w:t>
                  </w:r>
                </w:p>
              </w:tc>
              <w:tc>
                <w:tcPr>
                  <w:tcW w:w="1190" w:type="dxa"/>
                </w:tcPr>
                <w:p>
                  <w:pPr>
                    <w:topLinePunct/>
                    <w:adjustRightInd w:val="0"/>
                    <w:spacing w:line="300" w:lineRule="exact"/>
                    <w:jc w:val="center"/>
                    <w:rPr>
                      <w:rFonts w:eastAsiaTheme="minorEastAsia"/>
                      <w:bCs/>
                      <w:sz w:val="18"/>
                      <w:szCs w:val="28"/>
                      <w:lang w:val="zh-CN"/>
                    </w:rPr>
                  </w:pPr>
                  <w:r>
                    <w:rPr>
                      <w:rFonts w:hint="eastAsia" w:eastAsiaTheme="minorEastAsia"/>
                      <w:bCs/>
                      <w:sz w:val="18"/>
                      <w:szCs w:val="28"/>
                      <w:lang w:val="zh-CN"/>
                    </w:rPr>
                    <w:t>2.01</w:t>
                  </w:r>
                </w:p>
              </w:tc>
              <w:tc>
                <w:tcPr>
                  <w:tcW w:w="1190" w:type="dxa"/>
                </w:tcPr>
                <w:p>
                  <w:pPr>
                    <w:topLinePunct/>
                    <w:adjustRightInd w:val="0"/>
                    <w:spacing w:line="300" w:lineRule="exact"/>
                    <w:jc w:val="center"/>
                    <w:rPr>
                      <w:rFonts w:eastAsiaTheme="minorEastAsia"/>
                      <w:bCs/>
                      <w:sz w:val="18"/>
                      <w:szCs w:val="28"/>
                      <w:lang w:val="zh-CN"/>
                    </w:rPr>
                  </w:pPr>
                  <w:r>
                    <w:rPr>
                      <w:rFonts w:hint="eastAsia" w:eastAsiaTheme="minorEastAsia"/>
                      <w:bCs/>
                      <w:sz w:val="18"/>
                      <w:szCs w:val="28"/>
                      <w:lang w:val="zh-CN"/>
                    </w:rPr>
                    <w:t>1.40</w:t>
                  </w:r>
                </w:p>
              </w:tc>
              <w:tc>
                <w:tcPr>
                  <w:tcW w:w="1190" w:type="dxa"/>
                </w:tcPr>
                <w:p>
                  <w:pPr>
                    <w:topLinePunct/>
                    <w:adjustRightInd w:val="0"/>
                    <w:spacing w:line="300" w:lineRule="exact"/>
                    <w:jc w:val="center"/>
                    <w:rPr>
                      <w:rFonts w:eastAsiaTheme="minorEastAsia"/>
                      <w:bCs/>
                      <w:sz w:val="18"/>
                      <w:szCs w:val="28"/>
                      <w:lang w:val="zh-CN"/>
                    </w:rPr>
                  </w:pPr>
                  <w:r>
                    <w:rPr>
                      <w:rFonts w:hint="eastAsia" w:eastAsiaTheme="minorEastAsia"/>
                      <w:bCs/>
                      <w:sz w:val="18"/>
                      <w:szCs w:val="28"/>
                      <w:lang w:val="zh-CN"/>
                    </w:rPr>
                    <w:t>0.67</w:t>
                  </w:r>
                </w:p>
              </w:tc>
              <w:tc>
                <w:tcPr>
                  <w:tcW w:w="1191" w:type="dxa"/>
                </w:tcPr>
                <w:p>
                  <w:pPr>
                    <w:topLinePunct/>
                    <w:adjustRightInd w:val="0"/>
                    <w:spacing w:line="300" w:lineRule="exact"/>
                    <w:jc w:val="center"/>
                    <w:rPr>
                      <w:rFonts w:eastAsiaTheme="minorEastAsia"/>
                      <w:bCs/>
                      <w:sz w:val="18"/>
                      <w:szCs w:val="28"/>
                      <w:lang w:val="zh-CN"/>
                    </w:rPr>
                  </w:pPr>
                  <w:r>
                    <w:rPr>
                      <w:rFonts w:hint="eastAsia" w:eastAsiaTheme="minorEastAsia"/>
                      <w:bCs/>
                      <w:sz w:val="18"/>
                      <w:szCs w:val="28"/>
                      <w:lang w:val="zh-CN"/>
                    </w:rPr>
                    <w:t>0.60</w:t>
                  </w:r>
                </w:p>
              </w:tc>
            </w:tr>
          </w:tbl>
          <w:p>
            <w:pPr>
              <w:tabs>
                <w:tab w:val="left" w:pos="0"/>
              </w:tabs>
              <w:spacing w:line="400" w:lineRule="exact"/>
              <w:ind w:firstLine="420" w:firstLineChars="200"/>
              <w:jc w:val="left"/>
            </w:pPr>
            <w:r>
              <w:rPr>
                <w:rFonts w:hint="eastAsia"/>
              </w:rPr>
              <w:t>(2)施工扬尘的另一种重要产生方式是建筑材料的露天堆放作业，这类扬尘的主要特点是受作业时风速大小的影响显著。因此，禁止在大风天气时进行此类作业以及减少建筑材料的露天堆放。</w:t>
            </w:r>
          </w:p>
          <w:p>
            <w:pPr>
              <w:tabs>
                <w:tab w:val="left" w:pos="0"/>
              </w:tabs>
              <w:spacing w:line="400" w:lineRule="exact"/>
              <w:ind w:firstLine="420" w:firstLineChars="200"/>
              <w:jc w:val="left"/>
            </w:pPr>
            <w:r>
              <w:rPr>
                <w:rFonts w:hint="eastAsia"/>
              </w:rPr>
              <w:t>(3)同时，由于项目开挖采用人工与机械相结合的开挖方式，开挖过程中不涉及大型机械施工，施工路段不涉及交通运输，因此项目在建设期对场地及时清扫和洒水，能够有效降低开挖过程扬尘对周围大气环境的影响。</w:t>
            </w:r>
          </w:p>
          <w:p>
            <w:pPr>
              <w:tabs>
                <w:tab w:val="left" w:pos="0"/>
              </w:tabs>
              <w:spacing w:line="400" w:lineRule="exact"/>
              <w:ind w:firstLine="420" w:firstLineChars="200"/>
              <w:jc w:val="left"/>
            </w:pPr>
            <w:r>
              <w:rPr>
                <w:rFonts w:hint="eastAsia"/>
              </w:rPr>
              <w:t>(4)施工期大气污染控制方案</w:t>
            </w:r>
          </w:p>
          <w:p>
            <w:pPr>
              <w:tabs>
                <w:tab w:val="left" w:pos="0"/>
              </w:tabs>
              <w:spacing w:line="400" w:lineRule="exact"/>
              <w:ind w:firstLine="420" w:firstLineChars="200"/>
              <w:jc w:val="left"/>
            </w:pPr>
            <w:r>
              <w:rPr>
                <w:rFonts w:hint="eastAsia"/>
              </w:rPr>
              <w:t>施工防止扬尘污染，减少施工粉尘对区域大气环境的影响程度。项目所在地的相关管理部门对施工场地必须规范管理、文明施工，确保建设工地不制尘，减少施工期对环境的影响。</w:t>
            </w:r>
          </w:p>
          <w:p>
            <w:pPr>
              <w:tabs>
                <w:tab w:val="left" w:pos="0"/>
              </w:tabs>
              <w:spacing w:line="400" w:lineRule="exact"/>
              <w:ind w:firstLine="420" w:firstLineChars="200"/>
              <w:jc w:val="left"/>
            </w:pPr>
            <w:r>
              <w:rPr>
                <w:rFonts w:hint="eastAsia"/>
              </w:rPr>
              <w:t>施工现场严格执行《四川省灰霾污染防治实施方案》，推行施工现场文明施工标准化管理，施工现场必须做到“六必须”“六不准”。“六必须”：必须湿法作业、必须打围作业、必须硬化道路、必须设置冲洗设施设备、必须配齐保洁人员、必须定时清扫施工现场。“六不准”：不准车辆带泥出门、不准运渣车辆超载、不准高空抛撒建渣不准现场搅拌混凝土、不准场地积水、不准现场焚烧废弃物。</w:t>
            </w:r>
          </w:p>
          <w:p>
            <w:pPr>
              <w:tabs>
                <w:tab w:val="left" w:pos="0"/>
              </w:tabs>
              <w:spacing w:line="400" w:lineRule="exact"/>
              <w:ind w:firstLine="420" w:firstLineChars="200"/>
              <w:jc w:val="left"/>
            </w:pPr>
            <w:r>
              <w:rPr>
                <w:rFonts w:hint="eastAsia"/>
              </w:rPr>
              <w:t>(5)应加强管理，文明施工，将施工期间对周围的环境影响降到最低。</w:t>
            </w:r>
          </w:p>
          <w:p>
            <w:pPr>
              <w:tabs>
                <w:tab w:val="left" w:pos="0"/>
              </w:tabs>
              <w:spacing w:line="400" w:lineRule="exact"/>
              <w:ind w:firstLine="420" w:firstLineChars="200"/>
              <w:jc w:val="left"/>
            </w:pPr>
            <w:r>
              <w:rPr>
                <w:rFonts w:hint="eastAsia"/>
              </w:rPr>
              <w:t>(6)综上，在采取以上治理措施后，施工期对大气环境的影响较小。</w:t>
            </w:r>
          </w:p>
          <w:p>
            <w:pPr>
              <w:tabs>
                <w:tab w:val="left" w:pos="0"/>
              </w:tabs>
              <w:spacing w:line="400" w:lineRule="exact"/>
              <w:jc w:val="left"/>
              <w:rPr>
                <w:b/>
              </w:rPr>
            </w:pPr>
            <w:r>
              <w:rPr>
                <w:b/>
              </w:rPr>
              <w:t>3、水环境影响分析</w:t>
            </w:r>
          </w:p>
          <w:p>
            <w:pPr>
              <w:tabs>
                <w:tab w:val="left" w:pos="0"/>
              </w:tabs>
              <w:spacing w:line="400" w:lineRule="exact"/>
              <w:ind w:firstLine="420" w:firstLineChars="200"/>
              <w:jc w:val="left"/>
            </w:pPr>
            <w:r>
              <w:rPr>
                <w:rFonts w:hint="eastAsia"/>
              </w:rPr>
              <w:t>施工期主要为当地人员建设，施工人员食宿均不在工地，用排水量较小本项目依托沿线农户现有的生活污水设施。</w:t>
            </w:r>
          </w:p>
          <w:p>
            <w:pPr>
              <w:tabs>
                <w:tab w:val="left" w:pos="0"/>
              </w:tabs>
              <w:spacing w:line="400" w:lineRule="exact"/>
              <w:ind w:firstLine="420" w:firstLineChars="200"/>
              <w:jc w:val="left"/>
            </w:pPr>
            <w:r>
              <w:rPr>
                <w:rFonts w:hint="eastAsia"/>
              </w:rPr>
              <w:t>本环评要求禁止雨天开挖土石方，且暴雨时项目在施工区设置挡水设施避免地面径流对施工区浮土的冲刷。采取以上措施可以减少雨季施工的污水产生量，项目施工不会对当地地表水环境造成较大影响。</w:t>
            </w:r>
          </w:p>
          <w:p>
            <w:pPr>
              <w:tabs>
                <w:tab w:val="left" w:pos="0"/>
              </w:tabs>
              <w:spacing w:line="400" w:lineRule="exact"/>
              <w:jc w:val="left"/>
              <w:rPr>
                <w:b/>
              </w:rPr>
            </w:pPr>
            <w:r>
              <w:rPr>
                <w:b/>
              </w:rPr>
              <w:t>4、声环境影响分析</w:t>
            </w:r>
          </w:p>
          <w:p>
            <w:pPr>
              <w:tabs>
                <w:tab w:val="left" w:pos="0"/>
              </w:tabs>
              <w:spacing w:line="400" w:lineRule="exact"/>
              <w:ind w:firstLine="420" w:firstLineChars="200"/>
              <w:jc w:val="left"/>
            </w:pPr>
            <w:r>
              <w:rPr>
                <w:rFonts w:hint="eastAsia"/>
              </w:rPr>
              <w:t>项目施工管沟开挖、敷设采用人工与机械结合方式作业，因此项目产噪不大。在落实以下环保措施：管线施工时需禁止在夜间和午休施工，在中高考期间禁止施工在施工前期，应提前做好公示公告，求得周边群众的谅解。由于本项目管线穿越在某个区域范围内施工时间较短，影响也是暂时的，在加强管理和合理安排施工时间后，施工期声环境影响控制在开挖沿线近距离范围内，满足《建筑施工场界环境噪声排放标准》 (GB12523-2011) 标准限值要求。同时，项目施工期短，噪声影响随着施工期的结束而结束，对外环境影响很小。</w:t>
            </w:r>
          </w:p>
          <w:p>
            <w:pPr>
              <w:tabs>
                <w:tab w:val="left" w:pos="0"/>
              </w:tabs>
              <w:spacing w:line="400" w:lineRule="exact"/>
              <w:jc w:val="left"/>
              <w:rPr>
                <w:b/>
              </w:rPr>
            </w:pPr>
            <w:r>
              <w:rPr>
                <w:b/>
              </w:rPr>
              <w:t>5、固体废物影响分析</w:t>
            </w:r>
          </w:p>
          <w:p>
            <w:pPr>
              <w:tabs>
                <w:tab w:val="left" w:pos="0"/>
              </w:tabs>
              <w:spacing w:line="400" w:lineRule="exact"/>
              <w:ind w:firstLine="420" w:firstLineChars="200"/>
              <w:jc w:val="left"/>
            </w:pPr>
            <w:r>
              <w:rPr>
                <w:rFonts w:hint="eastAsia"/>
              </w:rPr>
              <w:t>施工期产生的固体废物主要是生活垃圾、施工废料以及工程弃土、弃渣。</w:t>
            </w:r>
          </w:p>
          <w:p>
            <w:pPr>
              <w:tabs>
                <w:tab w:val="left" w:pos="0"/>
              </w:tabs>
              <w:spacing w:line="400" w:lineRule="exact"/>
              <w:ind w:firstLine="420" w:firstLineChars="200"/>
              <w:jc w:val="left"/>
            </w:pPr>
            <w:r>
              <w:rPr>
                <w:rFonts w:hint="eastAsia"/>
              </w:rPr>
              <w:t>①生活垃圾：施工期每人每天生活垃圾按0.5kg计，每天施工人员约20人，生活垃圾产生量约10kg/d；施工人员的生活垃圾集中收集后送当地环卫部门统一处置。</w:t>
            </w:r>
          </w:p>
          <w:p>
            <w:pPr>
              <w:tabs>
                <w:tab w:val="left" w:pos="0"/>
              </w:tabs>
              <w:spacing w:line="400" w:lineRule="exact"/>
              <w:ind w:firstLine="420" w:firstLineChars="200"/>
              <w:jc w:val="left"/>
            </w:pPr>
            <w:r>
              <w:rPr>
                <w:rFonts w:hint="eastAsia"/>
              </w:rPr>
              <w:t>②施工废料：本工程管道运至施工现场前，已进行了相应的防腐处理。因此，施工废料主要包括废包装材料、废焊条，清管所产生的少量铁屑、粉尘，以及施工过程中产生的废混凝土、废金属等。根据类比调查，施工废料的产生量约0.2t/km，则本工程施工过程中产生的施工废料量1.2t。施工废料全部回收利用，不外排。清管产生的固体废物全部交环卫部门处理。</w:t>
            </w:r>
          </w:p>
          <w:p>
            <w:pPr>
              <w:tabs>
                <w:tab w:val="left" w:pos="0"/>
              </w:tabs>
              <w:spacing w:line="400" w:lineRule="exact"/>
              <w:ind w:firstLine="420" w:firstLineChars="200"/>
              <w:jc w:val="left"/>
            </w:pPr>
            <w:r>
              <w:rPr>
                <w:rFonts w:hint="eastAsia"/>
              </w:rPr>
              <w:t>③工程弃土、弃渣</w:t>
            </w:r>
          </w:p>
          <w:p>
            <w:pPr>
              <w:tabs>
                <w:tab w:val="left" w:pos="0"/>
              </w:tabs>
              <w:spacing w:line="400" w:lineRule="exact"/>
              <w:ind w:firstLine="420" w:firstLineChars="200"/>
              <w:jc w:val="left"/>
            </w:pPr>
            <w:r>
              <w:rPr>
                <w:rFonts w:hint="eastAsia"/>
              </w:rPr>
              <w:t>施工过程中土石方主要来自管沟开挖、穿越、修建施工便道、输气工艺站场。本工程在建设中土石方量依据各类施工工艺分段进行调配，按照地貌单元及不同施工工艺分别进行平衡，尽量做到土石方平衡。</w:t>
            </w:r>
          </w:p>
          <w:p>
            <w:pPr>
              <w:tabs>
                <w:tab w:val="left" w:pos="0"/>
              </w:tabs>
              <w:spacing w:line="400" w:lineRule="exact"/>
              <w:ind w:firstLine="420" w:firstLineChars="200"/>
              <w:jc w:val="left"/>
            </w:pPr>
            <w:r>
              <w:rPr>
                <w:rFonts w:hint="eastAsia"/>
              </w:rPr>
              <w:t>A.在耕作区开挖时，熟土（表层耕作土）和生土（下层土）分开堆放，管沟回填按生、熟土顺序填放，保护耕作层。回填后管沟上方留有自然沉降余量（高出地面0.3m～0.5m），多余土方就近平整。</w:t>
            </w:r>
          </w:p>
          <w:p>
            <w:pPr>
              <w:tabs>
                <w:tab w:val="left" w:pos="0"/>
              </w:tabs>
              <w:spacing w:line="400" w:lineRule="exact"/>
              <w:ind w:firstLine="420" w:firstLineChars="200"/>
              <w:jc w:val="left"/>
            </w:pPr>
            <w:r>
              <w:rPr>
                <w:rFonts w:hint="eastAsia"/>
              </w:rPr>
              <w:t>B.河流大开挖穿越时，会产生多余土方。该部分多余土方主要为泥土和碎石，用于地方乡道建设填料或道路护坡，无弃方。</w:t>
            </w:r>
          </w:p>
          <w:p>
            <w:pPr>
              <w:tabs>
                <w:tab w:val="left" w:pos="0"/>
              </w:tabs>
              <w:spacing w:line="400" w:lineRule="exact"/>
              <w:ind w:firstLine="420" w:firstLineChars="200"/>
              <w:jc w:val="left"/>
            </w:pPr>
            <w:r>
              <w:rPr>
                <w:rFonts w:hint="eastAsia"/>
              </w:rPr>
              <w:t>C.围堰大开挖在枯水期施工，围堰工程量小且标准较低。开挖时需要在河流的上下游修筑围堰，土料取于河流两侧作业带管沟，施工完毕后对围堰进行拆除，将围堰用土还原河流两侧作业带管沟内，无弃方。</w:t>
            </w:r>
          </w:p>
          <w:p>
            <w:pPr>
              <w:tabs>
                <w:tab w:val="left" w:pos="0"/>
              </w:tabs>
              <w:spacing w:line="400" w:lineRule="exact"/>
              <w:ind w:firstLine="420" w:firstLineChars="200"/>
              <w:jc w:val="left"/>
            </w:pPr>
            <w:r>
              <w:rPr>
                <w:rFonts w:hint="eastAsia"/>
              </w:rPr>
              <w:t>D.采用开挖加套管穿越公路、沿道路路面敷设时，会产生多余弃方。该部分多余土方主要为土方、水泥渣和碎石，用于地方乡道建设填料或道路护坡，不能利用的送园区弃土场处置。</w:t>
            </w:r>
          </w:p>
          <w:p>
            <w:pPr>
              <w:tabs>
                <w:tab w:val="left" w:pos="0"/>
              </w:tabs>
              <w:spacing w:line="400" w:lineRule="exact"/>
              <w:ind w:firstLine="420" w:firstLineChars="200"/>
              <w:jc w:val="left"/>
            </w:pPr>
            <w:r>
              <w:rPr>
                <w:rFonts w:hint="eastAsia"/>
              </w:rPr>
              <w:t>F.输气站场设在地形平坦处，基本实现挖填平衡，无弃土弃渣场，所需客土及砂石料商业采购。</w:t>
            </w:r>
          </w:p>
          <w:p>
            <w:pPr>
              <w:tabs>
                <w:tab w:val="left" w:pos="0"/>
              </w:tabs>
              <w:spacing w:line="400" w:lineRule="exact"/>
              <w:jc w:val="left"/>
            </w:pPr>
            <w:r>
              <w:rPr>
                <w:b/>
              </w:rPr>
              <w:t>6、社会及交通影响分析</w:t>
            </w:r>
          </w:p>
          <w:p>
            <w:pPr>
              <w:tabs>
                <w:tab w:val="left" w:pos="0"/>
              </w:tabs>
              <w:spacing w:line="400" w:lineRule="exact"/>
              <w:ind w:firstLine="420" w:firstLineChars="200"/>
              <w:jc w:val="left"/>
              <w:rPr>
                <w:spacing w:val="-2"/>
              </w:rPr>
            </w:pPr>
            <w:r>
              <w:rPr>
                <w:rFonts w:hint="eastAsia"/>
              </w:rPr>
              <w:t>本项目管道敷设涉及的范围主要是已建道路边绿化带，施工过程不占用交通要道，主要影响为在道路处施工时开挖路段对当地居民的出行造成一定的影响，施工过程中产生的噪声也会对周围居民的日常生活生产造成一定的影响。建设单位应制定好施工</w:t>
            </w:r>
            <w:r>
              <w:rPr>
                <w:rFonts w:hint="eastAsia"/>
                <w:spacing w:val="-2"/>
              </w:rPr>
              <w:t>方案和计划，并提前向社会公布，把施工对周围居民的生活和出行造成的影响降到最低。</w:t>
            </w:r>
          </w:p>
          <w:p>
            <w:pPr>
              <w:tabs>
                <w:tab w:val="left" w:pos="0"/>
              </w:tabs>
              <w:spacing w:line="400" w:lineRule="exact"/>
              <w:ind w:firstLine="412" w:firstLineChars="200"/>
              <w:jc w:val="left"/>
              <w:rPr>
                <w:spacing w:val="-2"/>
              </w:rPr>
            </w:pPr>
            <w:r>
              <w:rPr>
                <w:rFonts w:hint="eastAsia"/>
                <w:spacing w:val="-2"/>
              </w:rPr>
              <w:t>项目管道施工是分段进行，造成的影响也是局部和暂时的，随着施工的结束，造成的影响也将消除，通过加强和周围居民的沟通，施工期的社会和交通影响是可接受的。</w:t>
            </w:r>
          </w:p>
          <w:p>
            <w:pPr>
              <w:tabs>
                <w:tab w:val="left" w:pos="0"/>
              </w:tabs>
              <w:spacing w:line="400" w:lineRule="exact"/>
              <w:ind w:firstLine="420" w:firstLineChars="200"/>
              <w:jc w:val="left"/>
            </w:pPr>
            <w:r>
              <w:rPr>
                <w:rFonts w:hint="eastAsia"/>
              </w:rPr>
              <w:t>综上分析，施工期废气、废水、噪声以及固废环境影响随着施工期的结束而消失，不会对周边环境产生持续性的影响。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59" w:type="dxa"/>
            <w:tcMar>
              <w:left w:w="28" w:type="dxa"/>
              <w:right w:w="28" w:type="dxa"/>
            </w:tcMar>
            <w:vAlign w:val="center"/>
          </w:tcPr>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r>
              <w:rPr>
                <w:rFonts w:hint="eastAsia" w:cs="宋体"/>
                <w:bCs/>
                <w:spacing w:val="10"/>
                <w:kern w:val="2"/>
                <w:sz w:val="21"/>
                <w:szCs w:val="21"/>
              </w:rPr>
              <w:t>运营期生态环境影响分析</w:t>
            </w: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r>
              <w:rPr>
                <w:rFonts w:hint="eastAsia" w:cs="宋体"/>
                <w:bCs/>
                <w:spacing w:val="10"/>
                <w:kern w:val="2"/>
                <w:sz w:val="21"/>
                <w:szCs w:val="21"/>
              </w:rPr>
              <w:t>运营期生态环境影响分析</w:t>
            </w: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r>
              <w:rPr>
                <w:rFonts w:hint="eastAsia" w:cs="宋体"/>
                <w:bCs/>
                <w:spacing w:val="10"/>
                <w:kern w:val="2"/>
                <w:sz w:val="21"/>
                <w:szCs w:val="21"/>
              </w:rPr>
              <w:t>运营期生态环境影响分析</w:t>
            </w: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p>
            <w:pPr>
              <w:pStyle w:val="14"/>
              <w:adjustRightInd w:val="0"/>
              <w:snapToGrid w:val="0"/>
              <w:spacing w:before="0" w:beforeAutospacing="0" w:after="0" w:afterAutospacing="0"/>
              <w:jc w:val="center"/>
              <w:rPr>
                <w:rFonts w:cs="宋体"/>
                <w:bCs/>
                <w:spacing w:val="10"/>
                <w:kern w:val="2"/>
                <w:sz w:val="21"/>
                <w:szCs w:val="21"/>
              </w:rPr>
            </w:pPr>
          </w:p>
        </w:tc>
        <w:tc>
          <w:tcPr>
            <w:tcW w:w="8080" w:type="dxa"/>
          </w:tcPr>
          <w:p>
            <w:pPr>
              <w:widowControl/>
              <w:spacing w:line="400" w:lineRule="exact"/>
            </w:pPr>
            <w:r>
              <w:rPr>
                <w:rFonts w:hint="eastAsia"/>
                <w:b/>
              </w:rPr>
              <w:t>1、大气环境影响分析</w:t>
            </w:r>
          </w:p>
          <w:p>
            <w:pPr>
              <w:widowControl/>
              <w:spacing w:line="400" w:lineRule="exact"/>
              <w:ind w:firstLine="420" w:firstLineChars="200"/>
            </w:pPr>
            <w:r>
              <w:rPr>
                <w:rFonts w:hint="eastAsia"/>
              </w:rPr>
              <w:t>根据本评价分析，项目建成后全线采用密闭输气工艺，在生产运行初期不会出现天然气泄露情况。经过长期的生产运行后，配气站内各类装置设备可能会因密闭材料的腐蚀、损耗或接头松动等原因引起天然气泄漏。但是，由于项目所处区域较开阔，其泄漏出的甲烷稀释扩散很快，对环境的影响是可接受的，对站内、站外敏感点的影响是可以接受的。</w:t>
            </w:r>
          </w:p>
          <w:p>
            <w:pPr>
              <w:widowControl/>
              <w:spacing w:line="400" w:lineRule="exact"/>
              <w:ind w:firstLine="420" w:firstLineChars="200"/>
            </w:pPr>
            <w:r>
              <w:rPr>
                <w:rFonts w:hint="eastAsia"/>
              </w:rPr>
              <w:t>此外。系统超压、设备检修等情况，会排放一定量天然气。由于天然气排放量少(约100m</w:t>
            </w:r>
            <w:r>
              <w:rPr>
                <w:rFonts w:hint="eastAsia"/>
                <w:vertAlign w:val="superscript"/>
              </w:rPr>
              <w:t>3</w:t>
            </w:r>
            <w:r>
              <w:rPr>
                <w:rFonts w:hint="eastAsia"/>
              </w:rPr>
              <w:t>/a)，为间歇排放，又不含H</w:t>
            </w:r>
            <w:r>
              <w:rPr>
                <w:rFonts w:hint="eastAsia"/>
                <w:vertAlign w:val="subscript"/>
              </w:rPr>
              <w:t>2</w:t>
            </w:r>
            <w:r>
              <w:rPr>
                <w:rFonts w:hint="eastAsia"/>
              </w:rPr>
              <w:t>S，且天然气比重较轻，相对比重为0.7513(对空气)，其配气站内通过12m高的放空管排放后悔迅速排入大气，不会形成聚集，不会对周边环境构成明显的危害。</w:t>
            </w:r>
          </w:p>
          <w:p>
            <w:pPr>
              <w:widowControl/>
              <w:spacing w:line="400" w:lineRule="exact"/>
              <w:rPr>
                <w:b/>
              </w:rPr>
            </w:pPr>
            <w:r>
              <w:rPr>
                <w:rFonts w:hint="eastAsia"/>
                <w:b/>
              </w:rPr>
              <w:t>2、废水环境影响分析</w:t>
            </w:r>
          </w:p>
          <w:p>
            <w:pPr>
              <w:widowControl/>
              <w:spacing w:line="400" w:lineRule="exact"/>
              <w:ind w:firstLine="420" w:firstLineChars="200"/>
            </w:pPr>
            <w:r>
              <w:rPr>
                <w:rFonts w:hint="eastAsia"/>
              </w:rPr>
              <w:t>营运期废水主要为站场清管作业废水、分离器、过滤器设备检修产生废检修废水。</w:t>
            </w:r>
          </w:p>
          <w:p>
            <w:pPr>
              <w:widowControl/>
              <w:spacing w:line="400" w:lineRule="exact"/>
              <w:ind w:firstLine="420" w:firstLineChars="200"/>
            </w:pPr>
            <w:r>
              <w:rPr>
                <w:rFonts w:hint="eastAsia"/>
              </w:rPr>
              <w:t>①生活污水：普光化工专线配气站为有人值守站，值守人员产生的生活污水设化粪池预处理后，定期由周边农户拉运施肥。后期园区污水管网接通后，接入园区污水管网，最终进入园区污水处理厂处理。</w:t>
            </w:r>
          </w:p>
          <w:p>
            <w:pPr>
              <w:widowControl/>
              <w:spacing w:line="400" w:lineRule="exact"/>
              <w:ind w:firstLine="420" w:firstLineChars="200"/>
            </w:pPr>
            <w:r>
              <w:rPr>
                <w:rFonts w:hint="eastAsia"/>
              </w:rPr>
              <w:t>②清管废水：营运期生产废水主要有站场站内过滤设备、汇管、计量设备等的排污以及接收清管器过程中排出的少量残液和定期（约每月1次）清洗过滤分离器和清管接收装置产生的清洗废水。</w:t>
            </w:r>
          </w:p>
          <w:p>
            <w:pPr>
              <w:widowControl/>
              <w:spacing w:line="400" w:lineRule="exact"/>
              <w:ind w:firstLine="420" w:firstLineChars="200"/>
            </w:pPr>
            <w:r>
              <w:rPr>
                <w:rFonts w:hint="eastAsia"/>
              </w:rPr>
              <w:t>定期（约每月1次）清洗过滤分离器和清管接收装置产生的清洗废水，含有少量铁锈类和石油类物质，排入站内污水收集池，定期交由委托单位拉运至园区污水处理厂，经处理后达标排放。过滤设备、汇管、计量设备等的排污以及接收清管器过程中排出的少量残液排入站场内防渗排污池，定期拉运处置。</w:t>
            </w:r>
          </w:p>
          <w:p>
            <w:pPr>
              <w:widowControl/>
              <w:spacing w:line="400" w:lineRule="exact"/>
              <w:rPr>
                <w:b/>
              </w:rPr>
            </w:pPr>
            <w:r>
              <w:rPr>
                <w:b/>
              </w:rPr>
              <w:t>3、噪声环境影响分析</w:t>
            </w:r>
          </w:p>
          <w:p>
            <w:pPr>
              <w:widowControl/>
              <w:spacing w:line="400" w:lineRule="exact"/>
              <w:ind w:firstLine="420" w:firstLineChars="200"/>
            </w:pPr>
            <w:r>
              <w:rPr>
                <w:rFonts w:hint="eastAsia"/>
              </w:rPr>
              <w:t>根据本评价分析，本项目噪声主要来自管线、发电机、设备的气流摩擦噪声，气流摩擦噪声大小与天然气产量有关。根据类比调查，噪声级约65-85dB(A)。</w:t>
            </w:r>
          </w:p>
          <w:p>
            <w:pPr>
              <w:widowControl/>
              <w:spacing w:line="400" w:lineRule="exact"/>
              <w:ind w:firstLine="420" w:firstLineChars="200"/>
            </w:pPr>
            <w:r>
              <w:rPr>
                <w:rFonts w:hint="eastAsia"/>
              </w:rPr>
              <w:t>由于项目噪声源主要集中在配气站工艺装置区，为此，项目为有效控制噪声，首先在平面布置时进行合理布局，控制气流速度，减少配气站工艺管线的弯头、三通等管建，降低站内噪声:其次，选用高效低噪声的分离器和调压设备，同时发电机房安装防火隔音门、采用密闭围护结构等措施。通过采取这些噪声控制措施后，噪声源声级值能降至60dB(A)。此外，站场设置围墙，一是确保站场的安全，二是起到隔声作用。经过上述治理措施后，木项目厂界噪声通过距离衰减作用后可降至50dB(A)，厂界噪声均能达到《工业企业厂界环境噪声排放标准》(GB12348 2008)3类标准的要求，不会对周边环境产生明显影响</w:t>
            </w:r>
          </w:p>
          <w:p>
            <w:pPr>
              <w:widowControl/>
              <w:spacing w:line="400" w:lineRule="exact"/>
              <w:rPr>
                <w:b/>
              </w:rPr>
            </w:pPr>
            <w:r>
              <w:rPr>
                <w:rFonts w:hint="eastAsia"/>
                <w:b/>
              </w:rPr>
              <w:t>4、固体废物的境影响分析</w:t>
            </w:r>
          </w:p>
          <w:p>
            <w:pPr>
              <w:widowControl/>
              <w:spacing w:line="400" w:lineRule="exact"/>
              <w:ind w:firstLine="420" w:firstLineChars="200"/>
            </w:pPr>
            <w:r>
              <w:rPr>
                <w:rFonts w:hint="eastAsia"/>
              </w:rPr>
              <w:t>（1）项目运营期间，清管作业时将产生极少量的废渣，主要为氧化铁粉和粉尘，属于一般工业固废。管道每年一般清管1次，全线密闭清管通球，清管固废产生量极少，在每次清管作业时将产生10kg的废渣，本工程普光化工园区配气站废渣最大产生量为10kg/a。产生的清管废渣（废物类别及代码：900-999-99）存于排污罐中，定期外运，运输中通过密闭或罐装外运，防止运输途中散落。</w:t>
            </w:r>
          </w:p>
          <w:p>
            <w:pPr>
              <w:widowControl/>
              <w:spacing w:line="400" w:lineRule="exact"/>
              <w:ind w:firstLine="420" w:firstLineChars="200"/>
            </w:pPr>
            <w:r>
              <w:rPr>
                <w:rFonts w:hint="eastAsia"/>
              </w:rPr>
              <w:t>（2）分离器检修粉末分离器检修废渣主要污染物为粉末，检修时将产生少量的固体粉末，一般每次产生粉末量为5kg，一年检修4次，产生量为20kg/a，主要成分为机械杂质和氧化铁粉末。该部分检修废渣（废物类别及代码：900-999-99）存于配气站的排污罐中，定期外运，运输中通过密闭或罐装外运，防止运输途中散落。</w:t>
            </w:r>
          </w:p>
          <w:p>
            <w:pPr>
              <w:widowControl/>
              <w:spacing w:line="400" w:lineRule="exact"/>
              <w:ind w:firstLine="420" w:firstLineChars="200"/>
            </w:pPr>
            <w:r>
              <w:rPr>
                <w:rFonts w:hint="eastAsia"/>
              </w:rPr>
              <w:t>（3）废滤芯分离器检修将产生废滤芯，设备设施刷漆产生的废油漆桶，交由具有危废资质单位收集处理。</w:t>
            </w:r>
          </w:p>
          <w:p>
            <w:pPr>
              <w:widowControl/>
              <w:spacing w:line="400" w:lineRule="exact"/>
              <w:rPr>
                <w:b/>
              </w:rPr>
            </w:pPr>
            <w:r>
              <w:rPr>
                <w:rFonts w:hint="eastAsia"/>
                <w:b/>
              </w:rPr>
              <w:t>5、地下水、土壤环境影响分析</w:t>
            </w:r>
          </w:p>
          <w:p>
            <w:pPr>
              <w:widowControl/>
              <w:spacing w:line="400" w:lineRule="exact"/>
              <w:ind w:firstLine="420" w:firstLineChars="200"/>
            </w:pPr>
            <w:r>
              <w:rPr>
                <w:rFonts w:hint="eastAsia"/>
              </w:rPr>
              <w:t>本次评价要求建设单位采取以下地下水污染防治措施:</w:t>
            </w:r>
          </w:p>
          <w:p>
            <w:pPr>
              <w:widowControl/>
              <w:spacing w:line="400" w:lineRule="exact"/>
              <w:ind w:firstLine="420" w:firstLineChars="200"/>
            </w:pPr>
            <w:r>
              <w:rPr>
                <w:rFonts w:hint="eastAsia"/>
              </w:rPr>
              <w:t>①整个厂区按照分区防渗的要求，将其分为般防渗区 (工艺区、综合值班房)、重点防渗区(污水池、化粪池、隔油池)；其中对于一般防渗区，其地面进行硬化。</w:t>
            </w:r>
          </w:p>
          <w:p>
            <w:pPr>
              <w:widowControl/>
              <w:spacing w:line="400" w:lineRule="exact"/>
              <w:ind w:firstLine="420" w:firstLineChars="200"/>
            </w:pPr>
            <w:r>
              <w:rPr>
                <w:rFonts w:hint="eastAsia"/>
              </w:rPr>
              <w:t>②项目在建设中，所有管材均为无缝钢管，防腐材质，所有阀体(供气管道除外)，包括自动阀、切换阀、球阀等均为PVC、衬胶等防腐材质，废水池作为重点防渗区采用C30钢筋混凝土+C15混凝土垫层+1:2防水水泥砂浆且池壁等均采取防渗、防腐、防漏处理，通过采取上述措施后其渗透系数在10</w:t>
            </w:r>
            <w:r>
              <w:rPr>
                <w:rFonts w:hint="eastAsia"/>
                <w:vertAlign w:val="superscript"/>
              </w:rPr>
              <w:t>-7</w:t>
            </w:r>
            <w:r>
              <w:rPr>
                <w:rFonts w:hint="eastAsia"/>
              </w:rPr>
              <w:t>cm/s左右:其他重点防渗区采用HDPE土工膜和粘土结合型防渗材料，做好裙角设计及防渗处理，确保防渗技术要求达到等效黏土防渗层Mb26.0m，K&lt;1x10</w:t>
            </w:r>
            <w:r>
              <w:rPr>
                <w:rFonts w:hint="eastAsia"/>
                <w:vertAlign w:val="superscript"/>
              </w:rPr>
              <w:t>-7</w:t>
            </w:r>
            <w:r>
              <w:rPr>
                <w:rFonts w:hint="eastAsia"/>
              </w:rPr>
              <w:t>cm/s。</w:t>
            </w:r>
          </w:p>
          <w:p>
            <w:pPr>
              <w:widowControl/>
              <w:spacing w:line="400" w:lineRule="exact"/>
              <w:ind w:firstLine="420" w:firstLineChars="200"/>
            </w:pPr>
            <w:r>
              <w:rPr>
                <w:rFonts w:hint="eastAsia"/>
              </w:rPr>
              <w:t>综上所述，通过加强管理，并配备必要的设施，则可以将营运期对地下水的污染可以减小到最小程度。</w:t>
            </w:r>
          </w:p>
          <w:p>
            <w:pPr>
              <w:widowControl/>
              <w:spacing w:line="400" w:lineRule="exact"/>
              <w:rPr>
                <w:b/>
              </w:rPr>
            </w:pPr>
            <w:r>
              <w:rPr>
                <w:rFonts w:hint="eastAsia"/>
                <w:b/>
              </w:rPr>
              <w:t>6、生态环境影响分析</w:t>
            </w:r>
          </w:p>
          <w:p>
            <w:pPr>
              <w:widowControl/>
              <w:spacing w:line="400" w:lineRule="exact"/>
              <w:ind w:firstLine="420" w:firstLineChars="200"/>
            </w:pPr>
            <w:r>
              <w:rPr>
                <w:rFonts w:hint="eastAsia"/>
              </w:rPr>
              <w:t>配气站总用地面积6595.33m</w:t>
            </w:r>
            <w:r>
              <w:rPr>
                <w:rFonts w:hint="eastAsia"/>
                <w:vertAlign w:val="superscript"/>
              </w:rPr>
              <w:t>2</w:t>
            </w:r>
            <w:r>
              <w:rPr>
                <w:rFonts w:hint="eastAsia"/>
              </w:rPr>
              <w:t>，建筑面积472.08m</w:t>
            </w:r>
            <w:r>
              <w:rPr>
                <w:rFonts w:hint="eastAsia"/>
                <w:vertAlign w:val="superscript"/>
              </w:rPr>
              <w:t>2</w:t>
            </w:r>
            <w:r>
              <w:rPr>
                <w:rFonts w:hint="eastAsia"/>
              </w:rPr>
              <w:t>，永久占地改变土地原有使用功能，也会对农业生态环境产生一定的影响。但项目配气站占地属于已规划的园区工业用地，总体上讲对区域农业生态环境影响较小。</w:t>
            </w:r>
          </w:p>
          <w:p>
            <w:pPr>
              <w:widowControl/>
              <w:spacing w:line="400" w:lineRule="exact"/>
              <w:rPr>
                <w:b/>
              </w:rPr>
            </w:pPr>
            <w:r>
              <w:rPr>
                <w:b/>
              </w:rPr>
              <w:t>7、环境风险影响分析</w:t>
            </w:r>
          </w:p>
          <w:p>
            <w:pPr>
              <w:widowControl/>
              <w:spacing w:line="400" w:lineRule="exact"/>
              <w:ind w:firstLine="420" w:firstLineChars="200"/>
              <w:rPr>
                <w:rFonts w:ascii="宋体" w:hAnsi="宋体" w:cs="宋体"/>
                <w:bCs/>
                <w:szCs w:val="21"/>
              </w:rPr>
            </w:pPr>
            <w:r>
              <w:rPr>
                <w:rFonts w:hint="eastAsia"/>
              </w:rPr>
              <w:t>根据《专项评价》，本项目进气为净化后的天然气，根据本项目天然气分析报告，天然气成分以烃类为主，不含硫化氢。本项目天然气在管道进行传输、分配，不涉及生产或贮存。根据《建设项目环境风险评价技术导则》HJ169-2018)附录B中，天然气主要成分甲烷的临界量为10t，汇管中天然气临时储存量远小于临界量。故本项目天然气和四氢嚷吩均不构成重大危险源。通过加强管理，编制应急预案等措施后，环境风险能够降低至可控程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9" w:type="dxa"/>
            <w:vAlign w:val="center"/>
          </w:tcPr>
          <w:p>
            <w:pPr>
              <w:pStyle w:val="14"/>
              <w:adjustRightInd w:val="0"/>
              <w:snapToGrid w:val="0"/>
              <w:spacing w:before="0" w:beforeAutospacing="0" w:after="0" w:afterAutospacing="0"/>
              <w:jc w:val="center"/>
              <w:rPr>
                <w:rFonts w:cs="宋体"/>
                <w:bCs/>
                <w:kern w:val="2"/>
                <w:sz w:val="21"/>
                <w:szCs w:val="21"/>
              </w:rPr>
            </w:pPr>
            <w:r>
              <w:rPr>
                <w:rFonts w:hint="eastAsia" w:cs="宋体"/>
                <w:bCs/>
                <w:kern w:val="2"/>
                <w:sz w:val="21"/>
                <w:szCs w:val="21"/>
              </w:rPr>
              <w:t>选址选线环境合理性分析</w:t>
            </w:r>
          </w:p>
        </w:tc>
        <w:tc>
          <w:tcPr>
            <w:tcW w:w="8080" w:type="dxa"/>
          </w:tcPr>
          <w:p>
            <w:pPr>
              <w:spacing w:line="400" w:lineRule="exact"/>
              <w:rPr>
                <w:b/>
                <w:bCs/>
                <w:szCs w:val="21"/>
              </w:rPr>
            </w:pPr>
            <w:r>
              <w:rPr>
                <w:rFonts w:hint="eastAsia"/>
                <w:b/>
                <w:bCs/>
                <w:szCs w:val="21"/>
              </w:rPr>
              <w:t>1、选址合理性</w:t>
            </w:r>
          </w:p>
          <w:p>
            <w:pPr>
              <w:spacing w:line="400" w:lineRule="exact"/>
              <w:ind w:firstLine="420" w:firstLineChars="200"/>
              <w:rPr>
                <w:bCs/>
                <w:szCs w:val="21"/>
              </w:rPr>
            </w:pPr>
            <w:r>
              <w:rPr>
                <w:rFonts w:hint="eastAsia"/>
                <w:bCs/>
                <w:szCs w:val="21"/>
              </w:rPr>
              <w:t>根据《输气管道工程设计规范》 (GB50251-2015)中有关规定及本项目天然气输送管道所经的地形、地貌、工程地质等条件。项目管道敷设线路选址符合性分析见下表：</w:t>
            </w:r>
          </w:p>
          <w:p>
            <w:pPr>
              <w:spacing w:line="400" w:lineRule="exact"/>
              <w:ind w:firstLine="420" w:firstLineChars="200"/>
              <w:jc w:val="center"/>
              <w:rPr>
                <w:bCs/>
                <w:szCs w:val="21"/>
              </w:rPr>
            </w:pPr>
          </w:p>
          <w:p>
            <w:pPr>
              <w:spacing w:line="400" w:lineRule="exact"/>
              <w:ind w:firstLine="420" w:firstLineChars="200"/>
              <w:jc w:val="center"/>
              <w:rPr>
                <w:bCs/>
                <w:szCs w:val="21"/>
              </w:rPr>
            </w:pPr>
          </w:p>
          <w:p>
            <w:pPr>
              <w:spacing w:line="400" w:lineRule="exact"/>
              <w:ind w:firstLine="420" w:firstLineChars="200"/>
              <w:jc w:val="center"/>
              <w:rPr>
                <w:bCs/>
                <w:szCs w:val="21"/>
              </w:rPr>
            </w:pPr>
          </w:p>
          <w:p>
            <w:pPr>
              <w:spacing w:line="400" w:lineRule="exact"/>
              <w:ind w:firstLine="420" w:firstLineChars="200"/>
              <w:jc w:val="center"/>
              <w:rPr>
                <w:bCs/>
                <w:szCs w:val="21"/>
              </w:rPr>
            </w:pPr>
            <w:r>
              <w:rPr>
                <w:rFonts w:hint="eastAsia"/>
                <w:bCs/>
                <w:szCs w:val="21"/>
              </w:rPr>
              <w:t>表4-2  本项目与《输气管道工程设计规范》线路选择符合性分析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2835"/>
              <w:gridCol w:w="3543"/>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spacing w:line="240" w:lineRule="exact"/>
                    <w:ind w:left="-42" w:leftChars="-20" w:right="-42" w:rightChars="-20"/>
                    <w:jc w:val="center"/>
                    <w:rPr>
                      <w:b/>
                      <w:bCs/>
                      <w:sz w:val="18"/>
                      <w:szCs w:val="18"/>
                    </w:rPr>
                  </w:pPr>
                  <w:r>
                    <w:rPr>
                      <w:rFonts w:hint="eastAsia"/>
                      <w:b/>
                      <w:bCs/>
                      <w:sz w:val="18"/>
                      <w:szCs w:val="18"/>
                    </w:rPr>
                    <w:t>序号</w:t>
                  </w:r>
                </w:p>
              </w:tc>
              <w:tc>
                <w:tcPr>
                  <w:tcW w:w="2835" w:type="dxa"/>
                  <w:vAlign w:val="center"/>
                </w:tcPr>
                <w:p>
                  <w:pPr>
                    <w:spacing w:line="240" w:lineRule="exact"/>
                    <w:ind w:left="-42" w:leftChars="-20" w:right="-42" w:rightChars="-20"/>
                    <w:jc w:val="center"/>
                    <w:rPr>
                      <w:b/>
                      <w:bCs/>
                      <w:sz w:val="18"/>
                      <w:szCs w:val="18"/>
                    </w:rPr>
                  </w:pPr>
                  <w:r>
                    <w:rPr>
                      <w:rFonts w:hint="eastAsia"/>
                      <w:b/>
                      <w:bCs/>
                      <w:sz w:val="18"/>
                      <w:szCs w:val="18"/>
                    </w:rPr>
                    <w:t>线路选择要求</w:t>
                  </w:r>
                </w:p>
              </w:tc>
              <w:tc>
                <w:tcPr>
                  <w:tcW w:w="3543" w:type="dxa"/>
                  <w:vAlign w:val="center"/>
                </w:tcPr>
                <w:p>
                  <w:pPr>
                    <w:spacing w:line="240" w:lineRule="exact"/>
                    <w:ind w:left="-42" w:leftChars="-20" w:right="-42" w:rightChars="-20"/>
                    <w:jc w:val="center"/>
                    <w:rPr>
                      <w:b/>
                      <w:bCs/>
                      <w:sz w:val="18"/>
                      <w:szCs w:val="18"/>
                    </w:rPr>
                  </w:pPr>
                  <w:r>
                    <w:rPr>
                      <w:rFonts w:hint="eastAsia"/>
                      <w:b/>
                      <w:bCs/>
                      <w:sz w:val="18"/>
                      <w:szCs w:val="18"/>
                    </w:rPr>
                    <w:t>本项目情况</w:t>
                  </w:r>
                </w:p>
              </w:tc>
              <w:tc>
                <w:tcPr>
                  <w:tcW w:w="785" w:type="dxa"/>
                  <w:vAlign w:val="center"/>
                </w:tcPr>
                <w:p>
                  <w:pPr>
                    <w:spacing w:line="240" w:lineRule="exact"/>
                    <w:ind w:left="-42" w:leftChars="-20" w:right="-42" w:rightChars="-20"/>
                    <w:jc w:val="center"/>
                    <w:rPr>
                      <w:b/>
                      <w:bCs/>
                      <w:sz w:val="18"/>
                      <w:szCs w:val="18"/>
                    </w:rPr>
                  </w:pPr>
                  <w:r>
                    <w:rPr>
                      <w:rFonts w:hint="eastAsia"/>
                      <w:b/>
                      <w:bCs/>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spacing w:line="240" w:lineRule="exact"/>
                    <w:ind w:left="-42" w:leftChars="-20" w:right="-42" w:rightChars="-20"/>
                    <w:rPr>
                      <w:bCs/>
                      <w:sz w:val="18"/>
                      <w:szCs w:val="18"/>
                    </w:rPr>
                  </w:pPr>
                  <w:r>
                    <w:rPr>
                      <w:rFonts w:hint="eastAsia"/>
                      <w:bCs/>
                      <w:sz w:val="18"/>
                      <w:szCs w:val="18"/>
                    </w:rPr>
                    <w:t>1</w:t>
                  </w:r>
                </w:p>
              </w:tc>
              <w:tc>
                <w:tcPr>
                  <w:tcW w:w="2835" w:type="dxa"/>
                  <w:vAlign w:val="center"/>
                </w:tcPr>
                <w:p>
                  <w:pPr>
                    <w:spacing w:line="240" w:lineRule="exact"/>
                    <w:ind w:left="-42" w:leftChars="-20" w:right="-42" w:rightChars="-20"/>
                    <w:rPr>
                      <w:bCs/>
                      <w:sz w:val="18"/>
                      <w:szCs w:val="18"/>
                    </w:rPr>
                  </w:pPr>
                  <w:r>
                    <w:rPr>
                      <w:rFonts w:hint="eastAsia"/>
                      <w:bCs/>
                      <w:sz w:val="18"/>
                      <w:szCs w:val="18"/>
                    </w:rPr>
                    <w:t>线路走向应根据工程建设目的和气源、市场分布，结合沿线城镇、交通、水利、矿产资源和环境敏感区的现状与规划以及沿途地区的地形、地质、水文、气象、地震等自然条件，通过综合分析和多方案技术经济比较，确定线路总体走向</w:t>
                  </w:r>
                </w:p>
              </w:tc>
              <w:tc>
                <w:tcPr>
                  <w:tcW w:w="3543" w:type="dxa"/>
                  <w:vAlign w:val="center"/>
                </w:tcPr>
                <w:p>
                  <w:pPr>
                    <w:spacing w:line="240" w:lineRule="exact"/>
                    <w:ind w:left="-42" w:leftChars="-20" w:right="-42" w:rightChars="-20"/>
                    <w:rPr>
                      <w:bCs/>
                      <w:sz w:val="18"/>
                      <w:szCs w:val="18"/>
                    </w:rPr>
                  </w:pPr>
                  <w:r>
                    <w:rPr>
                      <w:rFonts w:hint="eastAsia"/>
                      <w:bCs/>
                      <w:sz w:val="18"/>
                      <w:szCs w:val="18"/>
                    </w:rPr>
                    <w:t>上游气源管道在中石化普光配气站接管后，向西方向沿石化路东一段（X028）北侧敷设约0.7km后，折向北穿越小河，穿越小河后继续向北敷设约0.1km，然后转向西敷设普光化工园规划边界东侧，然后转向北沿普光化工园规划道路东侧敷设1.4km，最后转向西侧继续沿规划道路北侧敷设约3.2km到达新建普光化工配气站，线路总长度约6km，其中起点段约1.5km位于化工园规划区绿地范围内。根据宣汉县自然资源局复函：“经核实，该项目位于普光化工园区内，涉及普光镇场镇规划，不涉及生态保护红线和任何自然保护地，该项目范围内无永久基本农田，与四川省达州市宣汉地区富钾卤水勘查和天然气勘查开采项目存在平面重叠，请你单位按相关要求做好压覆矿调查工作，原则同意该项目路径选址方案”。项目管线途径区域无高后果区、采气井场及采矿区作业区。下游供气管网主要沿园区既有道路或规划道路敷设，符合要求和规划</w:t>
                  </w:r>
                </w:p>
              </w:tc>
              <w:tc>
                <w:tcPr>
                  <w:tcW w:w="785" w:type="dxa"/>
                  <w:vAlign w:val="center"/>
                </w:tcPr>
                <w:p>
                  <w:pPr>
                    <w:spacing w:line="240" w:lineRule="exact"/>
                    <w:ind w:left="-42" w:leftChars="-20" w:right="-42" w:rightChars="-20"/>
                    <w:jc w:val="center"/>
                    <w:rPr>
                      <w:bCs/>
                      <w:sz w:val="18"/>
                      <w:szCs w:val="18"/>
                    </w:rPr>
                  </w:pPr>
                  <w:r>
                    <w:rPr>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spacing w:line="240" w:lineRule="exact"/>
                    <w:ind w:left="-42" w:leftChars="-20" w:right="-42" w:rightChars="-20"/>
                    <w:rPr>
                      <w:bCs/>
                      <w:sz w:val="18"/>
                      <w:szCs w:val="18"/>
                    </w:rPr>
                  </w:pPr>
                  <w:r>
                    <w:rPr>
                      <w:rFonts w:hint="eastAsia"/>
                      <w:bCs/>
                      <w:sz w:val="18"/>
                      <w:szCs w:val="18"/>
                    </w:rPr>
                    <w:t>2</w:t>
                  </w:r>
                </w:p>
              </w:tc>
              <w:tc>
                <w:tcPr>
                  <w:tcW w:w="2835" w:type="dxa"/>
                  <w:vAlign w:val="center"/>
                </w:tcPr>
                <w:p>
                  <w:pPr>
                    <w:spacing w:line="240" w:lineRule="exact"/>
                    <w:ind w:left="-42" w:leftChars="-20" w:right="-42" w:rightChars="-20"/>
                    <w:rPr>
                      <w:bCs/>
                      <w:sz w:val="18"/>
                      <w:szCs w:val="18"/>
                    </w:rPr>
                  </w:pPr>
                  <w:r>
                    <w:rPr>
                      <w:rFonts w:hint="eastAsia"/>
                      <w:bCs/>
                      <w:sz w:val="18"/>
                      <w:szCs w:val="18"/>
                    </w:rPr>
                    <w:t>线路宜避开环境敏感区，当路由受限需要通过环境敏感区时，应征得其主管部门同意并采取保护措施</w:t>
                  </w:r>
                </w:p>
              </w:tc>
              <w:tc>
                <w:tcPr>
                  <w:tcW w:w="3543" w:type="dxa"/>
                  <w:vAlign w:val="center"/>
                </w:tcPr>
                <w:p>
                  <w:pPr>
                    <w:spacing w:line="240" w:lineRule="exact"/>
                    <w:ind w:left="-42" w:leftChars="-20" w:right="-42" w:rightChars="-20"/>
                    <w:rPr>
                      <w:bCs/>
                      <w:sz w:val="18"/>
                      <w:szCs w:val="18"/>
                    </w:rPr>
                  </w:pPr>
                  <w:r>
                    <w:rPr>
                      <w:bCs/>
                      <w:sz w:val="18"/>
                      <w:szCs w:val="18"/>
                    </w:rPr>
                    <w:t>本项目管线路由未经过</w:t>
                  </w:r>
                  <w:r>
                    <w:rPr>
                      <w:rFonts w:hint="eastAsia"/>
                      <w:bCs/>
                      <w:sz w:val="18"/>
                      <w:szCs w:val="18"/>
                    </w:rPr>
                    <w:t>环境敏感区</w:t>
                  </w:r>
                </w:p>
              </w:tc>
              <w:tc>
                <w:tcPr>
                  <w:tcW w:w="785" w:type="dxa"/>
                  <w:vAlign w:val="center"/>
                </w:tcPr>
                <w:p>
                  <w:pPr>
                    <w:spacing w:line="240" w:lineRule="exact"/>
                    <w:ind w:left="-42" w:leftChars="-20" w:right="-42" w:rightChars="-20"/>
                    <w:jc w:val="center"/>
                    <w:rPr>
                      <w:bCs/>
                      <w:sz w:val="18"/>
                      <w:szCs w:val="18"/>
                    </w:rPr>
                  </w:pPr>
                  <w:r>
                    <w:rPr>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spacing w:line="240" w:lineRule="exact"/>
                    <w:ind w:left="-42" w:leftChars="-20" w:right="-42" w:rightChars="-20"/>
                    <w:rPr>
                      <w:bCs/>
                      <w:sz w:val="18"/>
                      <w:szCs w:val="18"/>
                    </w:rPr>
                  </w:pPr>
                  <w:r>
                    <w:rPr>
                      <w:rFonts w:hint="eastAsia"/>
                      <w:bCs/>
                      <w:sz w:val="18"/>
                      <w:szCs w:val="18"/>
                    </w:rPr>
                    <w:t>3</w:t>
                  </w:r>
                </w:p>
              </w:tc>
              <w:tc>
                <w:tcPr>
                  <w:tcW w:w="2835" w:type="dxa"/>
                  <w:vAlign w:val="center"/>
                </w:tcPr>
                <w:p>
                  <w:pPr>
                    <w:spacing w:line="240" w:lineRule="exact"/>
                    <w:ind w:left="-42" w:leftChars="-20" w:right="-42" w:rightChars="-20"/>
                    <w:rPr>
                      <w:bCs/>
                      <w:sz w:val="18"/>
                      <w:szCs w:val="18"/>
                    </w:rPr>
                  </w:pPr>
                  <w:r>
                    <w:rPr>
                      <w:rFonts w:hint="eastAsia"/>
                      <w:bCs/>
                      <w:sz w:val="18"/>
                      <w:szCs w:val="18"/>
                    </w:rPr>
                    <w:t>大中型穿(跨)越工程和压气站位置的选择，应符合线路总体走向。局部线路走向应根据大中型穿(跨)越工程和压气站的位置进行调整</w:t>
                  </w:r>
                </w:p>
              </w:tc>
              <w:tc>
                <w:tcPr>
                  <w:tcW w:w="3543" w:type="dxa"/>
                  <w:vAlign w:val="center"/>
                </w:tcPr>
                <w:p>
                  <w:pPr>
                    <w:spacing w:line="240" w:lineRule="exact"/>
                    <w:ind w:left="-42" w:leftChars="-20" w:right="-42" w:rightChars="-20"/>
                    <w:rPr>
                      <w:bCs/>
                      <w:sz w:val="18"/>
                      <w:szCs w:val="18"/>
                    </w:rPr>
                  </w:pPr>
                  <w:r>
                    <w:rPr>
                      <w:bCs/>
                      <w:sz w:val="18"/>
                      <w:szCs w:val="18"/>
                    </w:rPr>
                    <w:t>本项目管线涉及穿越后河支流（后巴河），穿越工程长约</w:t>
                  </w:r>
                  <w:r>
                    <w:rPr>
                      <w:rFonts w:hint="eastAsia"/>
                      <w:bCs/>
                      <w:sz w:val="18"/>
                      <w:szCs w:val="18"/>
                    </w:rPr>
                    <w:t>40m；涉及穿越规划道路穿越2次，水泥道路穿越10次，国家管网川东北至川西联络线穿越2次，中石化毛达线管线穿越2次；配气站位于普光化工园区内，选址符合线路总体走向</w:t>
                  </w:r>
                </w:p>
              </w:tc>
              <w:tc>
                <w:tcPr>
                  <w:tcW w:w="785" w:type="dxa"/>
                  <w:vAlign w:val="center"/>
                </w:tcPr>
                <w:p>
                  <w:pPr>
                    <w:spacing w:line="240" w:lineRule="exact"/>
                    <w:ind w:left="-42" w:leftChars="-20" w:right="-42" w:rightChars="-20"/>
                    <w:jc w:val="center"/>
                    <w:rPr>
                      <w:bCs/>
                      <w:sz w:val="18"/>
                      <w:szCs w:val="18"/>
                    </w:rPr>
                  </w:pPr>
                  <w:r>
                    <w:rPr>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spacing w:line="240" w:lineRule="exact"/>
                    <w:ind w:left="-42" w:leftChars="-20" w:right="-42" w:rightChars="-20"/>
                    <w:rPr>
                      <w:bCs/>
                      <w:sz w:val="18"/>
                      <w:szCs w:val="18"/>
                    </w:rPr>
                  </w:pPr>
                  <w:r>
                    <w:rPr>
                      <w:rFonts w:hint="eastAsia"/>
                      <w:bCs/>
                      <w:sz w:val="18"/>
                      <w:szCs w:val="18"/>
                    </w:rPr>
                    <w:t>4</w:t>
                  </w:r>
                </w:p>
              </w:tc>
              <w:tc>
                <w:tcPr>
                  <w:tcW w:w="2835" w:type="dxa"/>
                  <w:vAlign w:val="center"/>
                </w:tcPr>
                <w:p>
                  <w:pPr>
                    <w:spacing w:line="240" w:lineRule="exact"/>
                    <w:ind w:left="-42" w:leftChars="-20" w:right="-42" w:rightChars="-20"/>
                    <w:rPr>
                      <w:bCs/>
                      <w:sz w:val="18"/>
                      <w:szCs w:val="18"/>
                    </w:rPr>
                  </w:pPr>
                  <w:r>
                    <w:rPr>
                      <w:rFonts w:hint="eastAsia"/>
                      <w:bCs/>
                      <w:sz w:val="18"/>
                      <w:szCs w:val="18"/>
                    </w:rPr>
                    <w:t>线路应避开军事禁区、飞机场、铁路及汽车客运站、海(河)港码头等区域</w:t>
                  </w:r>
                </w:p>
              </w:tc>
              <w:tc>
                <w:tcPr>
                  <w:tcW w:w="3543" w:type="dxa"/>
                  <w:vAlign w:val="center"/>
                </w:tcPr>
                <w:p>
                  <w:pPr>
                    <w:spacing w:line="240" w:lineRule="exact"/>
                    <w:ind w:left="-42" w:leftChars="-20" w:right="-42" w:rightChars="-20"/>
                    <w:rPr>
                      <w:bCs/>
                      <w:sz w:val="18"/>
                      <w:szCs w:val="18"/>
                    </w:rPr>
                  </w:pPr>
                  <w:r>
                    <w:rPr>
                      <w:bCs/>
                      <w:sz w:val="18"/>
                      <w:szCs w:val="18"/>
                    </w:rPr>
                    <w:t>项目管线不涉及穿越</w:t>
                  </w:r>
                  <w:r>
                    <w:rPr>
                      <w:rFonts w:hint="eastAsia"/>
                      <w:bCs/>
                      <w:sz w:val="18"/>
                      <w:szCs w:val="18"/>
                    </w:rPr>
                    <w:t>军事禁区、飞机场、铁路及汽车客运站、海(河)港码头等区域，且与上述区域相距较远</w:t>
                  </w:r>
                </w:p>
              </w:tc>
              <w:tc>
                <w:tcPr>
                  <w:tcW w:w="785" w:type="dxa"/>
                  <w:vAlign w:val="center"/>
                </w:tcPr>
                <w:p>
                  <w:pPr>
                    <w:spacing w:line="240" w:lineRule="exact"/>
                    <w:ind w:left="-42" w:leftChars="-20" w:right="-42" w:rightChars="-20"/>
                    <w:jc w:val="center"/>
                    <w:rPr>
                      <w:bCs/>
                      <w:sz w:val="18"/>
                      <w:szCs w:val="18"/>
                    </w:rPr>
                  </w:pPr>
                  <w:r>
                    <w:rPr>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spacing w:line="240" w:lineRule="exact"/>
                    <w:ind w:left="-42" w:leftChars="-20" w:right="-42" w:rightChars="-20"/>
                    <w:rPr>
                      <w:bCs/>
                      <w:sz w:val="18"/>
                      <w:szCs w:val="18"/>
                    </w:rPr>
                  </w:pPr>
                  <w:r>
                    <w:rPr>
                      <w:rFonts w:hint="eastAsia"/>
                      <w:bCs/>
                      <w:sz w:val="18"/>
                      <w:szCs w:val="18"/>
                    </w:rPr>
                    <w:t>5</w:t>
                  </w:r>
                </w:p>
              </w:tc>
              <w:tc>
                <w:tcPr>
                  <w:tcW w:w="2835" w:type="dxa"/>
                  <w:vAlign w:val="center"/>
                </w:tcPr>
                <w:p>
                  <w:pPr>
                    <w:spacing w:line="240" w:lineRule="exact"/>
                    <w:ind w:left="-42" w:leftChars="-20" w:right="-42" w:rightChars="-20"/>
                    <w:rPr>
                      <w:bCs/>
                      <w:sz w:val="18"/>
                      <w:szCs w:val="18"/>
                    </w:rPr>
                  </w:pPr>
                  <w:r>
                    <w:rPr>
                      <w:rFonts w:hint="eastAsia"/>
                      <w:bCs/>
                      <w:sz w:val="18"/>
                      <w:szCs w:val="18"/>
                    </w:rPr>
                    <w:t>除为管道工程专门修建的隧道、桥梁外，不应在铁路或公路的隧道内及桥梁上敷设输气管道。输气管道从铁路或公路桥下交叉通过时，不应改变桥梁下的水文条件</w:t>
                  </w:r>
                </w:p>
              </w:tc>
              <w:tc>
                <w:tcPr>
                  <w:tcW w:w="3543" w:type="dxa"/>
                  <w:vAlign w:val="center"/>
                </w:tcPr>
                <w:p>
                  <w:pPr>
                    <w:spacing w:line="240" w:lineRule="exact"/>
                    <w:ind w:left="-42" w:leftChars="-20" w:right="-42" w:rightChars="-20"/>
                    <w:rPr>
                      <w:bCs/>
                      <w:sz w:val="18"/>
                      <w:szCs w:val="18"/>
                    </w:rPr>
                  </w:pPr>
                  <w:r>
                    <w:rPr>
                      <w:bCs/>
                      <w:sz w:val="18"/>
                      <w:szCs w:val="18"/>
                    </w:rPr>
                    <w:t>项目管线不涉及</w:t>
                  </w:r>
                  <w:r>
                    <w:rPr>
                      <w:rFonts w:hint="eastAsia"/>
                      <w:bCs/>
                      <w:sz w:val="18"/>
                      <w:szCs w:val="18"/>
                    </w:rPr>
                    <w:t>铁路或公路的隧道内及桥梁上敷设输气管道。穿越规划道路时采取地下穿越</w:t>
                  </w:r>
                </w:p>
              </w:tc>
              <w:tc>
                <w:tcPr>
                  <w:tcW w:w="785" w:type="dxa"/>
                  <w:vAlign w:val="center"/>
                </w:tcPr>
                <w:p>
                  <w:pPr>
                    <w:spacing w:line="240" w:lineRule="exact"/>
                    <w:ind w:left="-42" w:leftChars="-20" w:right="-42" w:rightChars="-20"/>
                    <w:jc w:val="center"/>
                    <w:rPr>
                      <w:bCs/>
                      <w:sz w:val="18"/>
                      <w:szCs w:val="18"/>
                    </w:rPr>
                  </w:pPr>
                  <w:r>
                    <w:rPr>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spacing w:line="240" w:lineRule="exact"/>
                    <w:ind w:left="-42" w:leftChars="-20" w:right="-42" w:rightChars="-20"/>
                    <w:rPr>
                      <w:bCs/>
                      <w:sz w:val="18"/>
                      <w:szCs w:val="18"/>
                    </w:rPr>
                  </w:pPr>
                  <w:r>
                    <w:rPr>
                      <w:rFonts w:hint="eastAsia"/>
                      <w:bCs/>
                      <w:sz w:val="18"/>
                      <w:szCs w:val="18"/>
                    </w:rPr>
                    <w:t>6</w:t>
                  </w:r>
                </w:p>
              </w:tc>
              <w:tc>
                <w:tcPr>
                  <w:tcW w:w="2835" w:type="dxa"/>
                  <w:vAlign w:val="center"/>
                </w:tcPr>
                <w:p>
                  <w:pPr>
                    <w:spacing w:line="240" w:lineRule="exact"/>
                    <w:ind w:left="-42" w:leftChars="-20" w:right="-42" w:rightChars="-20"/>
                    <w:rPr>
                      <w:bCs/>
                      <w:sz w:val="18"/>
                      <w:szCs w:val="18"/>
                    </w:rPr>
                  </w:pPr>
                  <w:r>
                    <w:rPr>
                      <w:rFonts w:hint="eastAsia"/>
                      <w:bCs/>
                      <w:sz w:val="18"/>
                      <w:szCs w:val="18"/>
                    </w:rPr>
                    <w:t>与公路并行的管道路由宜在公路用地界 3m以外，与铁路并行的管道路由宜在铁路用地界3m以外，如地形受限或其他条件限制的局部地段不满足要求时，应征得道路管理部门的同意</w:t>
                  </w:r>
                </w:p>
              </w:tc>
              <w:tc>
                <w:tcPr>
                  <w:tcW w:w="3543" w:type="dxa"/>
                  <w:vAlign w:val="center"/>
                </w:tcPr>
                <w:p>
                  <w:pPr>
                    <w:spacing w:line="240" w:lineRule="exact"/>
                    <w:ind w:left="-42" w:leftChars="-20" w:right="-42" w:rightChars="-20"/>
                    <w:rPr>
                      <w:bCs/>
                      <w:sz w:val="18"/>
                      <w:szCs w:val="18"/>
                    </w:rPr>
                  </w:pPr>
                  <w:r>
                    <w:rPr>
                      <w:bCs/>
                      <w:sz w:val="18"/>
                      <w:szCs w:val="18"/>
                    </w:rPr>
                    <w:t>项目管线路由与</w:t>
                  </w:r>
                  <w:r>
                    <w:rPr>
                      <w:rFonts w:hint="eastAsia"/>
                      <w:bCs/>
                      <w:sz w:val="18"/>
                      <w:szCs w:val="18"/>
                    </w:rPr>
                    <w:t>X028</w:t>
                  </w:r>
                  <w:r>
                    <w:rPr>
                      <w:bCs/>
                      <w:sz w:val="18"/>
                      <w:szCs w:val="18"/>
                    </w:rPr>
                    <w:t>公路并行有</w:t>
                  </w:r>
                  <w:r>
                    <w:rPr>
                      <w:rFonts w:hint="eastAsia"/>
                      <w:bCs/>
                      <w:sz w:val="18"/>
                      <w:szCs w:val="18"/>
                    </w:rPr>
                    <w:t>0.7km，敷设时距离X028公路距离约30m。管线路由不涉及与铁路并行</w:t>
                  </w:r>
                </w:p>
              </w:tc>
              <w:tc>
                <w:tcPr>
                  <w:tcW w:w="785" w:type="dxa"/>
                  <w:vAlign w:val="center"/>
                </w:tcPr>
                <w:p>
                  <w:pPr>
                    <w:spacing w:line="240" w:lineRule="exact"/>
                    <w:ind w:left="-42" w:leftChars="-20" w:right="-42" w:rightChars="-20"/>
                    <w:jc w:val="center"/>
                    <w:rPr>
                      <w:bCs/>
                      <w:sz w:val="18"/>
                      <w:szCs w:val="18"/>
                    </w:rPr>
                  </w:pPr>
                  <w:r>
                    <w:rPr>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spacing w:line="240" w:lineRule="exact"/>
                    <w:ind w:left="-42" w:leftChars="-20" w:right="-42" w:rightChars="-20"/>
                    <w:rPr>
                      <w:bCs/>
                      <w:sz w:val="18"/>
                      <w:szCs w:val="18"/>
                    </w:rPr>
                  </w:pPr>
                  <w:r>
                    <w:rPr>
                      <w:rFonts w:hint="eastAsia"/>
                      <w:bCs/>
                      <w:sz w:val="18"/>
                      <w:szCs w:val="18"/>
                    </w:rPr>
                    <w:t>7</w:t>
                  </w:r>
                </w:p>
              </w:tc>
              <w:tc>
                <w:tcPr>
                  <w:tcW w:w="2835" w:type="dxa"/>
                  <w:vAlign w:val="center"/>
                </w:tcPr>
                <w:p>
                  <w:pPr>
                    <w:spacing w:line="240" w:lineRule="exact"/>
                    <w:ind w:left="-42" w:leftChars="-20" w:right="-42" w:rightChars="-20"/>
                    <w:rPr>
                      <w:bCs/>
                      <w:sz w:val="18"/>
                      <w:szCs w:val="18"/>
                    </w:rPr>
                  </w:pPr>
                  <w:r>
                    <w:rPr>
                      <w:rFonts w:hint="eastAsia"/>
                      <w:bCs/>
                      <w:sz w:val="18"/>
                      <w:szCs w:val="18"/>
                    </w:rPr>
                    <w:t>线路宜避开城乡规划区，当受条件限制，需要在城乡规划区通过时，应征得城乡规划主管部门的同意，并采取安全保护措施</w:t>
                  </w:r>
                </w:p>
              </w:tc>
              <w:tc>
                <w:tcPr>
                  <w:tcW w:w="3543" w:type="dxa"/>
                  <w:vAlign w:val="center"/>
                </w:tcPr>
                <w:p>
                  <w:pPr>
                    <w:spacing w:line="240" w:lineRule="exact"/>
                    <w:ind w:left="-42" w:leftChars="-20" w:right="-42" w:rightChars="-20"/>
                    <w:rPr>
                      <w:bCs/>
                      <w:sz w:val="18"/>
                      <w:szCs w:val="18"/>
                    </w:rPr>
                  </w:pPr>
                  <w:r>
                    <w:rPr>
                      <w:bCs/>
                      <w:sz w:val="18"/>
                      <w:szCs w:val="18"/>
                    </w:rPr>
                    <w:t>项目涉及原土主镇场镇规划区（现属于普光镇辖区），但管线路由经过区域属于规划的普光化工园区范围</w:t>
                  </w:r>
                </w:p>
              </w:tc>
              <w:tc>
                <w:tcPr>
                  <w:tcW w:w="785" w:type="dxa"/>
                  <w:vAlign w:val="center"/>
                </w:tcPr>
                <w:p>
                  <w:pPr>
                    <w:spacing w:line="240" w:lineRule="exact"/>
                    <w:ind w:left="-42" w:leftChars="-20" w:right="-42" w:rightChars="-20"/>
                    <w:jc w:val="center"/>
                    <w:rPr>
                      <w:bCs/>
                      <w:sz w:val="18"/>
                      <w:szCs w:val="18"/>
                    </w:rPr>
                  </w:pPr>
                  <w:r>
                    <w:rPr>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spacing w:line="240" w:lineRule="exact"/>
                    <w:ind w:left="-42" w:leftChars="-20" w:right="-42" w:rightChars="-20"/>
                    <w:rPr>
                      <w:bCs/>
                      <w:sz w:val="18"/>
                      <w:szCs w:val="18"/>
                    </w:rPr>
                  </w:pPr>
                  <w:r>
                    <w:rPr>
                      <w:rFonts w:hint="eastAsia"/>
                      <w:bCs/>
                      <w:sz w:val="18"/>
                      <w:szCs w:val="18"/>
                    </w:rPr>
                    <w:t>8</w:t>
                  </w:r>
                </w:p>
              </w:tc>
              <w:tc>
                <w:tcPr>
                  <w:tcW w:w="2835" w:type="dxa"/>
                  <w:vAlign w:val="center"/>
                </w:tcPr>
                <w:p>
                  <w:pPr>
                    <w:spacing w:line="240" w:lineRule="exact"/>
                    <w:ind w:left="-42" w:leftChars="-20" w:right="-42" w:rightChars="-20"/>
                    <w:rPr>
                      <w:bCs/>
                      <w:sz w:val="18"/>
                      <w:szCs w:val="18"/>
                    </w:rPr>
                  </w:pPr>
                  <w:r>
                    <w:rPr>
                      <w:rFonts w:hint="eastAsia"/>
                      <w:bCs/>
                      <w:sz w:val="18"/>
                      <w:szCs w:val="18"/>
                    </w:rPr>
                    <w:t>石方地段的管线路由爆破挖沟时，应避免对公众及周围设施的安全造成影响</w:t>
                  </w:r>
                </w:p>
              </w:tc>
              <w:tc>
                <w:tcPr>
                  <w:tcW w:w="3543" w:type="dxa"/>
                  <w:vAlign w:val="center"/>
                </w:tcPr>
                <w:p>
                  <w:pPr>
                    <w:spacing w:line="240" w:lineRule="exact"/>
                    <w:ind w:left="-42" w:leftChars="-20" w:right="-42" w:rightChars="-20"/>
                    <w:rPr>
                      <w:bCs/>
                      <w:sz w:val="18"/>
                      <w:szCs w:val="18"/>
                    </w:rPr>
                  </w:pPr>
                  <w:r>
                    <w:rPr>
                      <w:bCs/>
                      <w:sz w:val="18"/>
                      <w:szCs w:val="18"/>
                    </w:rPr>
                    <w:t>项目管线开挖不涉及采取爆破方式</w:t>
                  </w:r>
                </w:p>
              </w:tc>
              <w:tc>
                <w:tcPr>
                  <w:tcW w:w="785" w:type="dxa"/>
                  <w:vAlign w:val="center"/>
                </w:tcPr>
                <w:p>
                  <w:pPr>
                    <w:spacing w:line="240" w:lineRule="exact"/>
                    <w:ind w:left="-42" w:leftChars="-20" w:right="-42" w:rightChars="-20"/>
                    <w:jc w:val="center"/>
                    <w:rPr>
                      <w:bCs/>
                      <w:sz w:val="18"/>
                      <w:szCs w:val="18"/>
                    </w:rPr>
                  </w:pPr>
                  <w:r>
                    <w:rPr>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spacing w:line="240" w:lineRule="exact"/>
                    <w:ind w:left="-42" w:leftChars="-20" w:right="-42" w:rightChars="-20"/>
                    <w:rPr>
                      <w:bCs/>
                      <w:sz w:val="18"/>
                      <w:szCs w:val="18"/>
                    </w:rPr>
                  </w:pPr>
                  <w:r>
                    <w:rPr>
                      <w:rFonts w:hint="eastAsia"/>
                      <w:bCs/>
                      <w:sz w:val="18"/>
                      <w:szCs w:val="18"/>
                    </w:rPr>
                    <w:t>9</w:t>
                  </w:r>
                </w:p>
              </w:tc>
              <w:tc>
                <w:tcPr>
                  <w:tcW w:w="2835" w:type="dxa"/>
                  <w:vAlign w:val="center"/>
                </w:tcPr>
                <w:p>
                  <w:pPr>
                    <w:spacing w:line="240" w:lineRule="exact"/>
                    <w:ind w:left="-42" w:leftChars="-20" w:right="-42" w:rightChars="-20"/>
                    <w:rPr>
                      <w:bCs/>
                      <w:sz w:val="18"/>
                      <w:szCs w:val="18"/>
                    </w:rPr>
                  </w:pPr>
                  <w:r>
                    <w:rPr>
                      <w:rFonts w:hint="eastAsia"/>
                      <w:bCs/>
                      <w:sz w:val="18"/>
                      <w:szCs w:val="18"/>
                    </w:rPr>
                    <w:t>线路宜避开高压直流换流站接地极、变电站等强干扰区域</w:t>
                  </w:r>
                </w:p>
              </w:tc>
              <w:tc>
                <w:tcPr>
                  <w:tcW w:w="3543" w:type="dxa"/>
                  <w:vAlign w:val="center"/>
                </w:tcPr>
                <w:p>
                  <w:pPr>
                    <w:spacing w:line="240" w:lineRule="exact"/>
                    <w:ind w:left="-42" w:leftChars="-20" w:right="-42" w:rightChars="-20"/>
                    <w:rPr>
                      <w:bCs/>
                      <w:sz w:val="18"/>
                      <w:szCs w:val="18"/>
                    </w:rPr>
                  </w:pPr>
                  <w:r>
                    <w:rPr>
                      <w:bCs/>
                      <w:sz w:val="18"/>
                      <w:szCs w:val="18"/>
                    </w:rPr>
                    <w:t>项目管线路由不涉及经过</w:t>
                  </w:r>
                  <w:r>
                    <w:rPr>
                      <w:rFonts w:hint="eastAsia"/>
                      <w:bCs/>
                      <w:sz w:val="18"/>
                      <w:szCs w:val="18"/>
                    </w:rPr>
                    <w:t>高压直流换流站接地极、变电站等强干扰区域</w:t>
                  </w:r>
                </w:p>
              </w:tc>
              <w:tc>
                <w:tcPr>
                  <w:tcW w:w="785" w:type="dxa"/>
                  <w:vAlign w:val="center"/>
                </w:tcPr>
                <w:p>
                  <w:pPr>
                    <w:spacing w:line="240" w:lineRule="exact"/>
                    <w:ind w:left="-42" w:leftChars="-20" w:right="-42" w:rightChars="-20"/>
                    <w:jc w:val="center"/>
                    <w:rPr>
                      <w:bCs/>
                      <w:sz w:val="18"/>
                      <w:szCs w:val="18"/>
                    </w:rPr>
                  </w:pPr>
                  <w:r>
                    <w:rPr>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spacing w:line="240" w:lineRule="exact"/>
                    <w:ind w:left="-42" w:leftChars="-20" w:right="-42" w:rightChars="-20"/>
                    <w:rPr>
                      <w:bCs/>
                      <w:sz w:val="18"/>
                      <w:szCs w:val="18"/>
                    </w:rPr>
                  </w:pPr>
                  <w:r>
                    <w:rPr>
                      <w:rFonts w:hint="eastAsia"/>
                      <w:bCs/>
                      <w:sz w:val="18"/>
                      <w:szCs w:val="18"/>
                    </w:rPr>
                    <w:t>10</w:t>
                  </w:r>
                </w:p>
              </w:tc>
              <w:tc>
                <w:tcPr>
                  <w:tcW w:w="2835" w:type="dxa"/>
                  <w:vAlign w:val="center"/>
                </w:tcPr>
                <w:p>
                  <w:pPr>
                    <w:spacing w:line="240" w:lineRule="exact"/>
                    <w:ind w:left="-42" w:leftChars="-20" w:right="-42" w:rightChars="-20"/>
                    <w:rPr>
                      <w:bCs/>
                      <w:sz w:val="18"/>
                      <w:szCs w:val="18"/>
                    </w:rPr>
                  </w:pPr>
                  <w:r>
                    <w:rPr>
                      <w:rFonts w:hint="eastAsia"/>
                      <w:bCs/>
                      <w:sz w:val="18"/>
                      <w:szCs w:val="18"/>
                    </w:rPr>
                    <w:t>埋地管道与建筑物的间距应满足施工和运行管理要求，且管道中心线与建构筑物的最小距离不应小于5m</w:t>
                  </w:r>
                </w:p>
              </w:tc>
              <w:tc>
                <w:tcPr>
                  <w:tcW w:w="3543" w:type="dxa"/>
                  <w:vAlign w:val="center"/>
                </w:tcPr>
                <w:p>
                  <w:pPr>
                    <w:spacing w:line="240" w:lineRule="exact"/>
                    <w:ind w:left="-42" w:leftChars="-20" w:right="-42" w:rightChars="-20"/>
                    <w:rPr>
                      <w:bCs/>
                      <w:sz w:val="18"/>
                      <w:szCs w:val="18"/>
                    </w:rPr>
                  </w:pPr>
                  <w:r>
                    <w:rPr>
                      <w:bCs/>
                      <w:sz w:val="18"/>
                      <w:szCs w:val="18"/>
                    </w:rPr>
                    <w:t>项目管线中心线与建构筑物的最小距离约</w:t>
                  </w:r>
                  <w:r>
                    <w:rPr>
                      <w:rFonts w:hint="eastAsia"/>
                      <w:bCs/>
                      <w:sz w:val="18"/>
                      <w:szCs w:val="18"/>
                    </w:rPr>
                    <w:t>15m</w:t>
                  </w:r>
                </w:p>
              </w:tc>
              <w:tc>
                <w:tcPr>
                  <w:tcW w:w="785" w:type="dxa"/>
                  <w:vAlign w:val="center"/>
                </w:tcPr>
                <w:p>
                  <w:pPr>
                    <w:spacing w:line="240" w:lineRule="exact"/>
                    <w:ind w:left="-42" w:leftChars="-20" w:right="-42" w:rightChars="-20"/>
                    <w:jc w:val="center"/>
                    <w:rPr>
                      <w:bCs/>
                      <w:sz w:val="18"/>
                      <w:szCs w:val="18"/>
                    </w:rPr>
                  </w:pPr>
                  <w:r>
                    <w:rPr>
                      <w:bCs/>
                      <w:sz w:val="18"/>
                      <w:szCs w:val="18"/>
                    </w:rPr>
                    <w:t>符合</w:t>
                  </w:r>
                </w:p>
              </w:tc>
            </w:tr>
          </w:tbl>
          <w:p>
            <w:pPr>
              <w:spacing w:line="400" w:lineRule="exact"/>
              <w:rPr>
                <w:b/>
                <w:bCs/>
                <w:szCs w:val="21"/>
              </w:rPr>
            </w:pPr>
            <w:r>
              <w:rPr>
                <w:rFonts w:hint="eastAsia"/>
                <w:b/>
                <w:bCs/>
                <w:szCs w:val="21"/>
              </w:rPr>
              <w:t>2、外环境相容性分析</w:t>
            </w:r>
          </w:p>
          <w:p>
            <w:pPr>
              <w:spacing w:line="400" w:lineRule="exact"/>
              <w:ind w:firstLine="420" w:firstLineChars="200"/>
              <w:rPr>
                <w:bCs/>
                <w:szCs w:val="21"/>
              </w:rPr>
            </w:pPr>
            <w:r>
              <w:rPr>
                <w:rFonts w:hint="eastAsia"/>
                <w:bCs/>
                <w:szCs w:val="21"/>
              </w:rPr>
              <w:t>根据外环境关系可知，项目周边存在居民和企业，距离管段最近的居民约为15m。本项目为输气管线建设，主要污染物是施工期产生的扬尘、噪声，做好施工期防治措施，可对敏感点产生的环境影响减至最小。</w:t>
            </w:r>
          </w:p>
          <w:p>
            <w:pPr>
              <w:spacing w:line="400" w:lineRule="exact"/>
              <w:ind w:firstLine="420" w:firstLineChars="200"/>
              <w:rPr>
                <w:bCs/>
                <w:szCs w:val="21"/>
              </w:rPr>
            </w:pPr>
            <w:r>
              <w:rPr>
                <w:rFonts w:hint="eastAsia"/>
                <w:bCs/>
                <w:szCs w:val="21"/>
              </w:rPr>
              <w:t>项目工程沿线不涉及自然保护区、风景名胜区及重点文物古迹和重大建筑物，也无古树名木等环境敏感点。项目下游用气管线工程均位于普光化工园区内，周边无环境敏感目标。本项目外环境关系见下表。</w:t>
            </w:r>
          </w:p>
          <w:p>
            <w:pPr>
              <w:spacing w:line="400" w:lineRule="exact"/>
              <w:jc w:val="center"/>
              <w:rPr>
                <w:rFonts w:ascii="黑体" w:hAnsi="黑体" w:eastAsia="黑体"/>
                <w:bCs/>
                <w:sz w:val="18"/>
                <w:szCs w:val="21"/>
              </w:rPr>
            </w:pPr>
            <w:r>
              <w:rPr>
                <w:rFonts w:hint="eastAsia" w:ascii="黑体" w:hAnsi="黑体" w:eastAsia="黑体"/>
                <w:bCs/>
                <w:sz w:val="18"/>
                <w:szCs w:val="21"/>
              </w:rPr>
              <w:t>表4-3  项目外环境关系</w:t>
            </w:r>
          </w:p>
          <w:tbl>
            <w:tblPr>
              <w:tblStyle w:val="18"/>
              <w:tblW w:w="7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784"/>
              <w:gridCol w:w="941"/>
              <w:gridCol w:w="1824"/>
              <w:gridCol w:w="1174"/>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31" w:type="dxa"/>
                  <w:vAlign w:val="center"/>
                </w:tcPr>
                <w:p>
                  <w:pPr>
                    <w:spacing w:line="300" w:lineRule="exact"/>
                    <w:jc w:val="center"/>
                    <w:rPr>
                      <w:bCs/>
                      <w:sz w:val="18"/>
                      <w:szCs w:val="18"/>
                    </w:rPr>
                  </w:pPr>
                  <w:r>
                    <w:rPr>
                      <w:rFonts w:hint="eastAsia"/>
                      <w:bCs/>
                      <w:sz w:val="18"/>
                      <w:szCs w:val="18"/>
                    </w:rPr>
                    <w:t>序号</w:t>
                  </w:r>
                </w:p>
              </w:tc>
              <w:tc>
                <w:tcPr>
                  <w:tcW w:w="1784" w:type="dxa"/>
                  <w:vAlign w:val="center"/>
                </w:tcPr>
                <w:p>
                  <w:pPr>
                    <w:spacing w:line="300" w:lineRule="exact"/>
                    <w:jc w:val="center"/>
                    <w:rPr>
                      <w:bCs/>
                      <w:sz w:val="18"/>
                      <w:szCs w:val="18"/>
                    </w:rPr>
                  </w:pPr>
                  <w:r>
                    <w:rPr>
                      <w:rFonts w:hint="eastAsia"/>
                      <w:bCs/>
                      <w:sz w:val="18"/>
                      <w:szCs w:val="18"/>
                    </w:rPr>
                    <w:t>外环境名称</w:t>
                  </w:r>
                </w:p>
              </w:tc>
              <w:tc>
                <w:tcPr>
                  <w:tcW w:w="941" w:type="dxa"/>
                  <w:vAlign w:val="center"/>
                </w:tcPr>
                <w:p>
                  <w:pPr>
                    <w:spacing w:line="300" w:lineRule="exact"/>
                    <w:jc w:val="center"/>
                    <w:rPr>
                      <w:bCs/>
                      <w:sz w:val="18"/>
                      <w:szCs w:val="18"/>
                    </w:rPr>
                  </w:pPr>
                  <w:r>
                    <w:rPr>
                      <w:rFonts w:hint="eastAsia"/>
                      <w:bCs/>
                      <w:sz w:val="18"/>
                      <w:szCs w:val="18"/>
                    </w:rPr>
                    <w:t>类别</w:t>
                  </w:r>
                </w:p>
              </w:tc>
              <w:tc>
                <w:tcPr>
                  <w:tcW w:w="1824" w:type="dxa"/>
                  <w:vAlign w:val="center"/>
                </w:tcPr>
                <w:p>
                  <w:pPr>
                    <w:spacing w:line="300" w:lineRule="exact"/>
                    <w:ind w:left="-105" w:leftChars="-50" w:right="-105" w:rightChars="-50"/>
                    <w:jc w:val="center"/>
                    <w:rPr>
                      <w:bCs/>
                      <w:spacing w:val="-6"/>
                      <w:sz w:val="18"/>
                      <w:szCs w:val="18"/>
                    </w:rPr>
                  </w:pPr>
                  <w:r>
                    <w:rPr>
                      <w:rFonts w:hint="eastAsia"/>
                      <w:bCs/>
                      <w:spacing w:val="-6"/>
                      <w:sz w:val="18"/>
                      <w:szCs w:val="18"/>
                    </w:rPr>
                    <w:t>相对管线走向/位置</w:t>
                  </w:r>
                </w:p>
              </w:tc>
              <w:tc>
                <w:tcPr>
                  <w:tcW w:w="1174" w:type="dxa"/>
                  <w:vAlign w:val="center"/>
                </w:tcPr>
                <w:p>
                  <w:pPr>
                    <w:spacing w:line="300" w:lineRule="exact"/>
                    <w:jc w:val="center"/>
                    <w:rPr>
                      <w:bCs/>
                      <w:sz w:val="18"/>
                      <w:szCs w:val="18"/>
                    </w:rPr>
                  </w:pPr>
                  <w:r>
                    <w:rPr>
                      <w:rFonts w:hint="eastAsia"/>
                      <w:bCs/>
                      <w:sz w:val="18"/>
                      <w:szCs w:val="18"/>
                    </w:rPr>
                    <w:t>最近距离</w:t>
                  </w:r>
                </w:p>
              </w:tc>
              <w:tc>
                <w:tcPr>
                  <w:tcW w:w="1129" w:type="dxa"/>
                  <w:vAlign w:val="center"/>
                </w:tcPr>
                <w:p>
                  <w:pPr>
                    <w:spacing w:line="300" w:lineRule="exact"/>
                    <w:jc w:val="center"/>
                    <w:rPr>
                      <w:bCs/>
                      <w:sz w:val="18"/>
                      <w:szCs w:val="18"/>
                    </w:rPr>
                  </w:pPr>
                  <w:r>
                    <w:rPr>
                      <w:rFonts w:hint="eastAsia"/>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7683" w:type="dxa"/>
                  <w:gridSpan w:val="6"/>
                  <w:vAlign w:val="center"/>
                </w:tcPr>
                <w:p>
                  <w:pPr>
                    <w:spacing w:line="300" w:lineRule="exact"/>
                    <w:jc w:val="center"/>
                    <w:rPr>
                      <w:bCs/>
                      <w:sz w:val="18"/>
                      <w:szCs w:val="18"/>
                    </w:rPr>
                  </w:pPr>
                  <w:r>
                    <w:rPr>
                      <w:rFonts w:hint="eastAsia"/>
                      <w:bCs/>
                      <w:sz w:val="18"/>
                      <w:szCs w:val="18"/>
                    </w:rPr>
                    <w:t>上游来气管线工程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31" w:type="dxa"/>
                  <w:vAlign w:val="center"/>
                </w:tcPr>
                <w:p>
                  <w:pPr>
                    <w:spacing w:line="300" w:lineRule="exact"/>
                    <w:jc w:val="center"/>
                    <w:rPr>
                      <w:bCs/>
                      <w:sz w:val="18"/>
                      <w:szCs w:val="18"/>
                    </w:rPr>
                  </w:pPr>
                  <w:r>
                    <w:rPr>
                      <w:rFonts w:hint="eastAsia"/>
                      <w:bCs/>
                      <w:sz w:val="18"/>
                      <w:szCs w:val="18"/>
                    </w:rPr>
                    <w:t>1</w:t>
                  </w:r>
                </w:p>
              </w:tc>
              <w:tc>
                <w:tcPr>
                  <w:tcW w:w="1784" w:type="dxa"/>
                  <w:vAlign w:val="center"/>
                </w:tcPr>
                <w:p>
                  <w:pPr>
                    <w:spacing w:line="300" w:lineRule="exact"/>
                    <w:jc w:val="center"/>
                    <w:rPr>
                      <w:bCs/>
                      <w:sz w:val="18"/>
                      <w:szCs w:val="18"/>
                    </w:rPr>
                  </w:pPr>
                  <w:r>
                    <w:rPr>
                      <w:rFonts w:hint="eastAsia"/>
                      <w:bCs/>
                      <w:sz w:val="18"/>
                      <w:szCs w:val="18"/>
                    </w:rPr>
                    <w:t>企业</w:t>
                  </w:r>
                </w:p>
              </w:tc>
              <w:tc>
                <w:tcPr>
                  <w:tcW w:w="941" w:type="dxa"/>
                  <w:vAlign w:val="center"/>
                </w:tcPr>
                <w:p>
                  <w:pPr>
                    <w:spacing w:line="300" w:lineRule="exact"/>
                    <w:jc w:val="center"/>
                    <w:rPr>
                      <w:bCs/>
                      <w:sz w:val="18"/>
                      <w:szCs w:val="18"/>
                    </w:rPr>
                  </w:pPr>
                  <w:r>
                    <w:rPr>
                      <w:rFonts w:hint="eastAsia"/>
                      <w:bCs/>
                      <w:sz w:val="18"/>
                      <w:szCs w:val="18"/>
                    </w:rPr>
                    <w:t>企业</w:t>
                  </w:r>
                </w:p>
              </w:tc>
              <w:tc>
                <w:tcPr>
                  <w:tcW w:w="1824" w:type="dxa"/>
                  <w:vAlign w:val="center"/>
                </w:tcPr>
                <w:p>
                  <w:pPr>
                    <w:spacing w:line="300" w:lineRule="exact"/>
                    <w:jc w:val="center"/>
                    <w:rPr>
                      <w:bCs/>
                      <w:sz w:val="18"/>
                      <w:szCs w:val="18"/>
                    </w:rPr>
                  </w:pPr>
                  <w:r>
                    <w:rPr>
                      <w:rFonts w:hint="eastAsia"/>
                      <w:bCs/>
                      <w:sz w:val="18"/>
                      <w:szCs w:val="18"/>
                    </w:rPr>
                    <w:t>S</w:t>
                  </w:r>
                </w:p>
              </w:tc>
              <w:tc>
                <w:tcPr>
                  <w:tcW w:w="1174" w:type="dxa"/>
                  <w:vAlign w:val="center"/>
                </w:tcPr>
                <w:p>
                  <w:pPr>
                    <w:spacing w:line="300" w:lineRule="exact"/>
                    <w:jc w:val="center"/>
                    <w:rPr>
                      <w:bCs/>
                      <w:sz w:val="18"/>
                      <w:szCs w:val="18"/>
                    </w:rPr>
                  </w:pPr>
                  <w:r>
                    <w:rPr>
                      <w:rFonts w:hint="eastAsia"/>
                      <w:bCs/>
                      <w:sz w:val="18"/>
                      <w:szCs w:val="18"/>
                    </w:rPr>
                    <w:t>100m</w:t>
                  </w:r>
                </w:p>
              </w:tc>
              <w:tc>
                <w:tcPr>
                  <w:tcW w:w="1129" w:type="dxa"/>
                  <w:vAlign w:val="center"/>
                </w:tcPr>
                <w:p>
                  <w:pPr>
                    <w:spacing w:line="300" w:lineRule="exact"/>
                    <w:jc w:val="center"/>
                    <w:rPr>
                      <w:bCs/>
                      <w:sz w:val="18"/>
                      <w:szCs w:val="18"/>
                    </w:rPr>
                  </w:pPr>
                  <w:r>
                    <w:rPr>
                      <w:rFonts w:hint="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31" w:type="dxa"/>
                  <w:vAlign w:val="center"/>
                </w:tcPr>
                <w:p>
                  <w:pPr>
                    <w:spacing w:line="300" w:lineRule="exact"/>
                    <w:jc w:val="center"/>
                    <w:rPr>
                      <w:bCs/>
                      <w:sz w:val="18"/>
                      <w:szCs w:val="18"/>
                    </w:rPr>
                  </w:pPr>
                  <w:r>
                    <w:rPr>
                      <w:rFonts w:hint="eastAsia"/>
                      <w:bCs/>
                      <w:sz w:val="18"/>
                      <w:szCs w:val="18"/>
                    </w:rPr>
                    <w:t>2</w:t>
                  </w:r>
                </w:p>
              </w:tc>
              <w:tc>
                <w:tcPr>
                  <w:tcW w:w="1784" w:type="dxa"/>
                  <w:vAlign w:val="center"/>
                </w:tcPr>
                <w:p>
                  <w:pPr>
                    <w:spacing w:line="300" w:lineRule="exact"/>
                    <w:jc w:val="center"/>
                    <w:rPr>
                      <w:bCs/>
                      <w:sz w:val="18"/>
                      <w:szCs w:val="18"/>
                    </w:rPr>
                  </w:pPr>
                  <w:r>
                    <w:rPr>
                      <w:rFonts w:hint="eastAsia"/>
                      <w:bCs/>
                      <w:sz w:val="18"/>
                      <w:szCs w:val="18"/>
                    </w:rPr>
                    <w:t>X208（石化路东一段）</w:t>
                  </w:r>
                </w:p>
              </w:tc>
              <w:tc>
                <w:tcPr>
                  <w:tcW w:w="941" w:type="dxa"/>
                  <w:vAlign w:val="center"/>
                </w:tcPr>
                <w:p>
                  <w:pPr>
                    <w:spacing w:line="300" w:lineRule="exact"/>
                    <w:jc w:val="center"/>
                    <w:rPr>
                      <w:bCs/>
                      <w:sz w:val="18"/>
                      <w:szCs w:val="18"/>
                    </w:rPr>
                  </w:pPr>
                  <w:r>
                    <w:rPr>
                      <w:rFonts w:hint="eastAsia"/>
                      <w:bCs/>
                      <w:sz w:val="18"/>
                      <w:szCs w:val="18"/>
                    </w:rPr>
                    <w:t>县道</w:t>
                  </w:r>
                </w:p>
              </w:tc>
              <w:tc>
                <w:tcPr>
                  <w:tcW w:w="1824" w:type="dxa"/>
                  <w:vAlign w:val="center"/>
                </w:tcPr>
                <w:p>
                  <w:pPr>
                    <w:spacing w:line="300" w:lineRule="exact"/>
                    <w:jc w:val="center"/>
                    <w:rPr>
                      <w:bCs/>
                      <w:sz w:val="18"/>
                      <w:szCs w:val="18"/>
                    </w:rPr>
                  </w:pPr>
                  <w:r>
                    <w:rPr>
                      <w:rFonts w:hint="eastAsia"/>
                      <w:bCs/>
                      <w:sz w:val="18"/>
                      <w:szCs w:val="18"/>
                    </w:rPr>
                    <w:t>S</w:t>
                  </w:r>
                </w:p>
              </w:tc>
              <w:tc>
                <w:tcPr>
                  <w:tcW w:w="1174" w:type="dxa"/>
                  <w:vAlign w:val="center"/>
                </w:tcPr>
                <w:p>
                  <w:pPr>
                    <w:spacing w:line="300" w:lineRule="exact"/>
                    <w:jc w:val="center"/>
                    <w:rPr>
                      <w:bCs/>
                      <w:sz w:val="18"/>
                      <w:szCs w:val="18"/>
                    </w:rPr>
                  </w:pPr>
                  <w:r>
                    <w:rPr>
                      <w:rFonts w:hint="eastAsia"/>
                      <w:bCs/>
                      <w:sz w:val="18"/>
                      <w:szCs w:val="18"/>
                    </w:rPr>
                    <w:t>38m</w:t>
                  </w:r>
                </w:p>
              </w:tc>
              <w:tc>
                <w:tcPr>
                  <w:tcW w:w="1129" w:type="dxa"/>
                  <w:vAlign w:val="center"/>
                </w:tcPr>
                <w:p>
                  <w:pPr>
                    <w:spacing w:line="300" w:lineRule="exact"/>
                    <w:jc w:val="center"/>
                    <w:rPr>
                      <w:bCs/>
                      <w:sz w:val="18"/>
                      <w:szCs w:val="18"/>
                    </w:rPr>
                  </w:pPr>
                  <w:r>
                    <w:rPr>
                      <w:rFonts w:hint="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31" w:type="dxa"/>
                  <w:vAlign w:val="center"/>
                </w:tcPr>
                <w:p>
                  <w:pPr>
                    <w:spacing w:line="300" w:lineRule="exact"/>
                    <w:jc w:val="center"/>
                    <w:rPr>
                      <w:bCs/>
                      <w:sz w:val="18"/>
                      <w:szCs w:val="18"/>
                    </w:rPr>
                  </w:pPr>
                  <w:r>
                    <w:rPr>
                      <w:rFonts w:hint="eastAsia"/>
                      <w:bCs/>
                      <w:sz w:val="18"/>
                      <w:szCs w:val="18"/>
                    </w:rPr>
                    <w:t>3</w:t>
                  </w:r>
                </w:p>
              </w:tc>
              <w:tc>
                <w:tcPr>
                  <w:tcW w:w="1784" w:type="dxa"/>
                  <w:vAlign w:val="center"/>
                </w:tcPr>
                <w:p>
                  <w:pPr>
                    <w:spacing w:line="300" w:lineRule="exact"/>
                    <w:jc w:val="center"/>
                    <w:rPr>
                      <w:bCs/>
                      <w:sz w:val="18"/>
                      <w:szCs w:val="18"/>
                    </w:rPr>
                  </w:pPr>
                  <w:r>
                    <w:rPr>
                      <w:rFonts w:hint="eastAsia"/>
                      <w:bCs/>
                      <w:sz w:val="18"/>
                      <w:szCs w:val="18"/>
                    </w:rPr>
                    <w:t>中石化普光天然气净化厂</w:t>
                  </w:r>
                </w:p>
              </w:tc>
              <w:tc>
                <w:tcPr>
                  <w:tcW w:w="941" w:type="dxa"/>
                  <w:vAlign w:val="center"/>
                </w:tcPr>
                <w:p>
                  <w:pPr>
                    <w:spacing w:line="300" w:lineRule="exact"/>
                    <w:jc w:val="center"/>
                    <w:rPr>
                      <w:bCs/>
                      <w:sz w:val="18"/>
                      <w:szCs w:val="18"/>
                    </w:rPr>
                  </w:pPr>
                  <w:r>
                    <w:rPr>
                      <w:rFonts w:hint="eastAsia"/>
                      <w:bCs/>
                      <w:sz w:val="18"/>
                      <w:szCs w:val="18"/>
                    </w:rPr>
                    <w:t>企业</w:t>
                  </w:r>
                </w:p>
              </w:tc>
              <w:tc>
                <w:tcPr>
                  <w:tcW w:w="1824" w:type="dxa"/>
                  <w:vAlign w:val="center"/>
                </w:tcPr>
                <w:p>
                  <w:pPr>
                    <w:spacing w:line="300" w:lineRule="exact"/>
                    <w:jc w:val="center"/>
                    <w:rPr>
                      <w:bCs/>
                      <w:sz w:val="18"/>
                      <w:szCs w:val="18"/>
                    </w:rPr>
                  </w:pPr>
                  <w:r>
                    <w:rPr>
                      <w:rFonts w:hint="eastAsia"/>
                      <w:bCs/>
                      <w:sz w:val="18"/>
                      <w:szCs w:val="18"/>
                    </w:rPr>
                    <w:t>N</w:t>
                  </w:r>
                </w:p>
              </w:tc>
              <w:tc>
                <w:tcPr>
                  <w:tcW w:w="1174" w:type="dxa"/>
                  <w:vAlign w:val="center"/>
                </w:tcPr>
                <w:p>
                  <w:pPr>
                    <w:spacing w:line="300" w:lineRule="exact"/>
                    <w:jc w:val="center"/>
                    <w:rPr>
                      <w:bCs/>
                      <w:sz w:val="18"/>
                      <w:szCs w:val="18"/>
                    </w:rPr>
                  </w:pPr>
                  <w:r>
                    <w:rPr>
                      <w:rFonts w:hint="eastAsia"/>
                      <w:bCs/>
                      <w:sz w:val="18"/>
                      <w:szCs w:val="18"/>
                    </w:rPr>
                    <w:t>120m</w:t>
                  </w:r>
                </w:p>
              </w:tc>
              <w:tc>
                <w:tcPr>
                  <w:tcW w:w="1129" w:type="dxa"/>
                  <w:vAlign w:val="center"/>
                </w:tcPr>
                <w:p>
                  <w:pPr>
                    <w:spacing w:line="300" w:lineRule="exact"/>
                    <w:jc w:val="center"/>
                    <w:rPr>
                      <w:bCs/>
                      <w:sz w:val="18"/>
                      <w:szCs w:val="18"/>
                    </w:rPr>
                  </w:pPr>
                  <w:r>
                    <w:rPr>
                      <w:rFonts w:hint="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31" w:type="dxa"/>
                  <w:vAlign w:val="center"/>
                </w:tcPr>
                <w:p>
                  <w:pPr>
                    <w:spacing w:line="300" w:lineRule="exact"/>
                    <w:jc w:val="center"/>
                    <w:rPr>
                      <w:bCs/>
                      <w:sz w:val="18"/>
                      <w:szCs w:val="18"/>
                    </w:rPr>
                  </w:pPr>
                  <w:r>
                    <w:rPr>
                      <w:rFonts w:hint="eastAsia"/>
                      <w:bCs/>
                      <w:sz w:val="18"/>
                      <w:szCs w:val="18"/>
                    </w:rPr>
                    <w:t>4</w:t>
                  </w:r>
                </w:p>
              </w:tc>
              <w:tc>
                <w:tcPr>
                  <w:tcW w:w="1784" w:type="dxa"/>
                  <w:vAlign w:val="center"/>
                </w:tcPr>
                <w:p>
                  <w:pPr>
                    <w:spacing w:line="300" w:lineRule="exact"/>
                    <w:jc w:val="center"/>
                    <w:rPr>
                      <w:bCs/>
                      <w:sz w:val="18"/>
                      <w:szCs w:val="18"/>
                    </w:rPr>
                  </w:pPr>
                  <w:r>
                    <w:rPr>
                      <w:rFonts w:hint="eastAsia"/>
                      <w:bCs/>
                      <w:sz w:val="18"/>
                      <w:szCs w:val="18"/>
                    </w:rPr>
                    <w:t>后巴河</w:t>
                  </w:r>
                </w:p>
              </w:tc>
              <w:tc>
                <w:tcPr>
                  <w:tcW w:w="941" w:type="dxa"/>
                  <w:vAlign w:val="center"/>
                </w:tcPr>
                <w:p>
                  <w:pPr>
                    <w:spacing w:line="300" w:lineRule="exact"/>
                    <w:jc w:val="center"/>
                    <w:rPr>
                      <w:bCs/>
                      <w:sz w:val="18"/>
                      <w:szCs w:val="18"/>
                    </w:rPr>
                  </w:pPr>
                  <w:r>
                    <w:rPr>
                      <w:rFonts w:hint="eastAsia"/>
                      <w:bCs/>
                      <w:sz w:val="18"/>
                      <w:szCs w:val="18"/>
                    </w:rPr>
                    <w:t>小河</w:t>
                  </w:r>
                </w:p>
              </w:tc>
              <w:tc>
                <w:tcPr>
                  <w:tcW w:w="1824" w:type="dxa"/>
                  <w:vAlign w:val="center"/>
                </w:tcPr>
                <w:p>
                  <w:pPr>
                    <w:spacing w:line="300" w:lineRule="exact"/>
                    <w:jc w:val="center"/>
                    <w:rPr>
                      <w:bCs/>
                      <w:sz w:val="18"/>
                      <w:szCs w:val="18"/>
                    </w:rPr>
                  </w:pPr>
                  <w:r>
                    <w:rPr>
                      <w:rFonts w:hint="eastAsia"/>
                      <w:bCs/>
                      <w:sz w:val="18"/>
                      <w:szCs w:val="18"/>
                    </w:rPr>
                    <w:t>N</w:t>
                  </w:r>
                </w:p>
              </w:tc>
              <w:tc>
                <w:tcPr>
                  <w:tcW w:w="1174" w:type="dxa"/>
                  <w:vAlign w:val="center"/>
                </w:tcPr>
                <w:p>
                  <w:pPr>
                    <w:spacing w:line="300" w:lineRule="exact"/>
                    <w:jc w:val="center"/>
                    <w:rPr>
                      <w:bCs/>
                      <w:sz w:val="18"/>
                      <w:szCs w:val="18"/>
                    </w:rPr>
                  </w:pPr>
                  <w:r>
                    <w:rPr>
                      <w:rFonts w:hint="eastAsia"/>
                      <w:bCs/>
                      <w:sz w:val="18"/>
                      <w:szCs w:val="18"/>
                    </w:rPr>
                    <w:t>穿越</w:t>
                  </w:r>
                </w:p>
              </w:tc>
              <w:tc>
                <w:tcPr>
                  <w:tcW w:w="1129" w:type="dxa"/>
                  <w:vAlign w:val="center"/>
                </w:tcPr>
                <w:p>
                  <w:pPr>
                    <w:spacing w:line="300" w:lineRule="exact"/>
                    <w:jc w:val="center"/>
                    <w:rPr>
                      <w:bCs/>
                      <w:sz w:val="18"/>
                      <w:szCs w:val="18"/>
                    </w:rPr>
                  </w:pPr>
                  <w:r>
                    <w:rPr>
                      <w:rFonts w:hint="eastAsia"/>
                      <w:bCs/>
                      <w:sz w:val="18"/>
                      <w:szCs w:val="18"/>
                    </w:rPr>
                    <w:t>穿越长度40m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31" w:type="dxa"/>
                  <w:vAlign w:val="center"/>
                </w:tcPr>
                <w:p>
                  <w:pPr>
                    <w:spacing w:line="300" w:lineRule="exact"/>
                    <w:jc w:val="center"/>
                    <w:rPr>
                      <w:bCs/>
                      <w:sz w:val="18"/>
                      <w:szCs w:val="18"/>
                    </w:rPr>
                  </w:pPr>
                  <w:r>
                    <w:rPr>
                      <w:rFonts w:hint="eastAsia"/>
                      <w:bCs/>
                      <w:sz w:val="18"/>
                      <w:szCs w:val="18"/>
                    </w:rPr>
                    <w:t>5</w:t>
                  </w:r>
                </w:p>
              </w:tc>
              <w:tc>
                <w:tcPr>
                  <w:tcW w:w="1784" w:type="dxa"/>
                  <w:vAlign w:val="center"/>
                </w:tcPr>
                <w:p>
                  <w:pPr>
                    <w:spacing w:line="300" w:lineRule="exact"/>
                    <w:jc w:val="center"/>
                    <w:rPr>
                      <w:bCs/>
                      <w:sz w:val="18"/>
                      <w:szCs w:val="18"/>
                    </w:rPr>
                  </w:pPr>
                  <w:r>
                    <w:rPr>
                      <w:rFonts w:hint="eastAsia"/>
                      <w:bCs/>
                      <w:sz w:val="18"/>
                      <w:szCs w:val="18"/>
                    </w:rPr>
                    <w:t>汽车维修厂房</w:t>
                  </w:r>
                </w:p>
              </w:tc>
              <w:tc>
                <w:tcPr>
                  <w:tcW w:w="941" w:type="dxa"/>
                  <w:vAlign w:val="center"/>
                </w:tcPr>
                <w:p>
                  <w:pPr>
                    <w:spacing w:line="300" w:lineRule="exact"/>
                    <w:jc w:val="center"/>
                    <w:rPr>
                      <w:bCs/>
                      <w:sz w:val="18"/>
                      <w:szCs w:val="18"/>
                    </w:rPr>
                  </w:pPr>
                  <w:r>
                    <w:rPr>
                      <w:rFonts w:hint="eastAsia"/>
                      <w:bCs/>
                      <w:sz w:val="18"/>
                      <w:szCs w:val="18"/>
                    </w:rPr>
                    <w:t>厂房</w:t>
                  </w:r>
                </w:p>
              </w:tc>
              <w:tc>
                <w:tcPr>
                  <w:tcW w:w="1824" w:type="dxa"/>
                  <w:vAlign w:val="center"/>
                </w:tcPr>
                <w:p>
                  <w:pPr>
                    <w:spacing w:line="300" w:lineRule="exact"/>
                    <w:jc w:val="center"/>
                    <w:rPr>
                      <w:bCs/>
                      <w:sz w:val="18"/>
                      <w:szCs w:val="18"/>
                    </w:rPr>
                  </w:pPr>
                  <w:r>
                    <w:rPr>
                      <w:rFonts w:hint="eastAsia"/>
                      <w:bCs/>
                      <w:sz w:val="18"/>
                      <w:szCs w:val="18"/>
                    </w:rPr>
                    <w:t>W</w:t>
                  </w:r>
                </w:p>
              </w:tc>
              <w:tc>
                <w:tcPr>
                  <w:tcW w:w="1174" w:type="dxa"/>
                  <w:vAlign w:val="center"/>
                </w:tcPr>
                <w:p>
                  <w:pPr>
                    <w:spacing w:line="300" w:lineRule="exact"/>
                    <w:jc w:val="center"/>
                    <w:rPr>
                      <w:bCs/>
                      <w:sz w:val="18"/>
                      <w:szCs w:val="18"/>
                    </w:rPr>
                  </w:pPr>
                  <w:r>
                    <w:rPr>
                      <w:rFonts w:hint="eastAsia"/>
                      <w:bCs/>
                      <w:sz w:val="18"/>
                      <w:szCs w:val="18"/>
                    </w:rPr>
                    <w:t>13m</w:t>
                  </w:r>
                </w:p>
              </w:tc>
              <w:tc>
                <w:tcPr>
                  <w:tcW w:w="1129" w:type="dxa"/>
                  <w:vAlign w:val="center"/>
                </w:tcPr>
                <w:p>
                  <w:pPr>
                    <w:spacing w:line="300" w:lineRule="exact"/>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31" w:type="dxa"/>
                  <w:vAlign w:val="center"/>
                </w:tcPr>
                <w:p>
                  <w:pPr>
                    <w:spacing w:line="300" w:lineRule="exact"/>
                    <w:jc w:val="center"/>
                    <w:rPr>
                      <w:bCs/>
                      <w:sz w:val="18"/>
                      <w:szCs w:val="18"/>
                    </w:rPr>
                  </w:pPr>
                  <w:r>
                    <w:rPr>
                      <w:rFonts w:hint="eastAsia"/>
                      <w:bCs/>
                      <w:sz w:val="18"/>
                      <w:szCs w:val="18"/>
                    </w:rPr>
                    <w:t>6</w:t>
                  </w:r>
                </w:p>
              </w:tc>
              <w:tc>
                <w:tcPr>
                  <w:tcW w:w="1784" w:type="dxa"/>
                  <w:vAlign w:val="center"/>
                </w:tcPr>
                <w:p>
                  <w:pPr>
                    <w:spacing w:line="300" w:lineRule="exact"/>
                    <w:jc w:val="center"/>
                    <w:rPr>
                      <w:bCs/>
                      <w:sz w:val="18"/>
                      <w:szCs w:val="18"/>
                    </w:rPr>
                  </w:pPr>
                  <w:r>
                    <w:rPr>
                      <w:rFonts w:hint="eastAsia"/>
                      <w:bCs/>
                      <w:sz w:val="18"/>
                      <w:szCs w:val="18"/>
                    </w:rPr>
                    <w:t>鱼坝村</w:t>
                  </w:r>
                </w:p>
              </w:tc>
              <w:tc>
                <w:tcPr>
                  <w:tcW w:w="941" w:type="dxa"/>
                  <w:vAlign w:val="center"/>
                </w:tcPr>
                <w:p>
                  <w:pPr>
                    <w:spacing w:line="300" w:lineRule="exact"/>
                    <w:jc w:val="center"/>
                    <w:rPr>
                      <w:bCs/>
                      <w:sz w:val="18"/>
                      <w:szCs w:val="18"/>
                    </w:rPr>
                  </w:pPr>
                  <w:r>
                    <w:rPr>
                      <w:rFonts w:hint="eastAsia"/>
                      <w:bCs/>
                      <w:sz w:val="18"/>
                      <w:szCs w:val="18"/>
                    </w:rPr>
                    <w:t>居民</w:t>
                  </w:r>
                </w:p>
              </w:tc>
              <w:tc>
                <w:tcPr>
                  <w:tcW w:w="1824" w:type="dxa"/>
                  <w:vAlign w:val="center"/>
                </w:tcPr>
                <w:p>
                  <w:pPr>
                    <w:spacing w:line="300" w:lineRule="exact"/>
                    <w:jc w:val="center"/>
                    <w:rPr>
                      <w:bCs/>
                      <w:sz w:val="18"/>
                      <w:szCs w:val="18"/>
                    </w:rPr>
                  </w:pPr>
                  <w:r>
                    <w:rPr>
                      <w:rFonts w:hint="eastAsia"/>
                      <w:bCs/>
                      <w:sz w:val="18"/>
                      <w:szCs w:val="18"/>
                    </w:rPr>
                    <w:t>W</w:t>
                  </w:r>
                </w:p>
              </w:tc>
              <w:tc>
                <w:tcPr>
                  <w:tcW w:w="1174" w:type="dxa"/>
                  <w:vAlign w:val="center"/>
                </w:tcPr>
                <w:p>
                  <w:pPr>
                    <w:spacing w:line="300" w:lineRule="exact"/>
                    <w:jc w:val="center"/>
                    <w:rPr>
                      <w:bCs/>
                      <w:sz w:val="18"/>
                      <w:szCs w:val="18"/>
                    </w:rPr>
                  </w:pPr>
                  <w:r>
                    <w:rPr>
                      <w:rFonts w:hint="eastAsia"/>
                      <w:bCs/>
                      <w:sz w:val="18"/>
                      <w:szCs w:val="18"/>
                    </w:rPr>
                    <w:t>180~540m</w:t>
                  </w:r>
                </w:p>
              </w:tc>
              <w:tc>
                <w:tcPr>
                  <w:tcW w:w="1129" w:type="dxa"/>
                  <w:vAlign w:val="center"/>
                </w:tcPr>
                <w:p>
                  <w:pPr>
                    <w:spacing w:line="300" w:lineRule="exact"/>
                    <w:jc w:val="center"/>
                    <w:rPr>
                      <w:bCs/>
                      <w:sz w:val="18"/>
                      <w:szCs w:val="18"/>
                    </w:rPr>
                  </w:pPr>
                  <w:r>
                    <w:rPr>
                      <w:rFonts w:hint="eastAsia"/>
                      <w:bCs/>
                      <w:sz w:val="18"/>
                      <w:szCs w:val="18"/>
                    </w:rPr>
                    <w:t>约30户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831" w:type="dxa"/>
                  <w:vAlign w:val="center"/>
                </w:tcPr>
                <w:p>
                  <w:pPr>
                    <w:spacing w:line="300" w:lineRule="exact"/>
                    <w:jc w:val="center"/>
                    <w:rPr>
                      <w:bCs/>
                      <w:sz w:val="18"/>
                      <w:szCs w:val="18"/>
                    </w:rPr>
                  </w:pPr>
                  <w:r>
                    <w:rPr>
                      <w:rFonts w:hint="eastAsia"/>
                      <w:bCs/>
                      <w:sz w:val="18"/>
                      <w:szCs w:val="18"/>
                    </w:rPr>
                    <w:t>7</w:t>
                  </w:r>
                </w:p>
              </w:tc>
              <w:tc>
                <w:tcPr>
                  <w:tcW w:w="1784" w:type="dxa"/>
                  <w:vAlign w:val="center"/>
                </w:tcPr>
                <w:p>
                  <w:pPr>
                    <w:spacing w:line="300" w:lineRule="exact"/>
                    <w:jc w:val="center"/>
                    <w:rPr>
                      <w:bCs/>
                      <w:sz w:val="18"/>
                      <w:szCs w:val="18"/>
                    </w:rPr>
                  </w:pPr>
                  <w:r>
                    <w:rPr>
                      <w:bCs/>
                      <w:sz w:val="18"/>
                      <w:szCs w:val="18"/>
                    </w:rPr>
                    <w:t>养牛场</w:t>
                  </w:r>
                </w:p>
              </w:tc>
              <w:tc>
                <w:tcPr>
                  <w:tcW w:w="941" w:type="dxa"/>
                  <w:vAlign w:val="center"/>
                </w:tcPr>
                <w:p>
                  <w:pPr>
                    <w:spacing w:line="300" w:lineRule="exact"/>
                    <w:jc w:val="center"/>
                    <w:rPr>
                      <w:bCs/>
                      <w:sz w:val="18"/>
                      <w:szCs w:val="18"/>
                    </w:rPr>
                  </w:pPr>
                  <w:r>
                    <w:rPr>
                      <w:rFonts w:hint="eastAsia"/>
                      <w:bCs/>
                      <w:sz w:val="18"/>
                      <w:szCs w:val="18"/>
                    </w:rPr>
                    <w:t>厂房</w:t>
                  </w:r>
                </w:p>
              </w:tc>
              <w:tc>
                <w:tcPr>
                  <w:tcW w:w="1824" w:type="dxa"/>
                  <w:vAlign w:val="center"/>
                </w:tcPr>
                <w:p>
                  <w:pPr>
                    <w:spacing w:line="300" w:lineRule="exact"/>
                    <w:jc w:val="center"/>
                    <w:rPr>
                      <w:bCs/>
                      <w:sz w:val="18"/>
                      <w:szCs w:val="18"/>
                    </w:rPr>
                  </w:pPr>
                  <w:r>
                    <w:rPr>
                      <w:rFonts w:hint="eastAsia"/>
                      <w:bCs/>
                      <w:sz w:val="18"/>
                      <w:szCs w:val="18"/>
                    </w:rPr>
                    <w:t>N</w:t>
                  </w:r>
                </w:p>
              </w:tc>
              <w:tc>
                <w:tcPr>
                  <w:tcW w:w="1174" w:type="dxa"/>
                  <w:vAlign w:val="center"/>
                </w:tcPr>
                <w:p>
                  <w:pPr>
                    <w:spacing w:line="300" w:lineRule="exact"/>
                    <w:jc w:val="center"/>
                    <w:rPr>
                      <w:bCs/>
                      <w:sz w:val="18"/>
                      <w:szCs w:val="18"/>
                    </w:rPr>
                  </w:pPr>
                  <w:r>
                    <w:rPr>
                      <w:rFonts w:hint="eastAsia"/>
                      <w:bCs/>
                      <w:sz w:val="18"/>
                      <w:szCs w:val="18"/>
                    </w:rPr>
                    <w:t>14m</w:t>
                  </w:r>
                </w:p>
              </w:tc>
              <w:tc>
                <w:tcPr>
                  <w:tcW w:w="1129" w:type="dxa"/>
                  <w:vAlign w:val="center"/>
                </w:tcPr>
                <w:p>
                  <w:pPr>
                    <w:spacing w:line="300" w:lineRule="exact"/>
                    <w:jc w:val="center"/>
                    <w:rPr>
                      <w:bCs/>
                      <w:sz w:val="18"/>
                      <w:szCs w:val="18"/>
                    </w:rPr>
                  </w:pPr>
                  <w:r>
                    <w:rPr>
                      <w:rFonts w:hint="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 w:hRule="atLeast"/>
                <w:jc w:val="center"/>
              </w:trPr>
              <w:tc>
                <w:tcPr>
                  <w:tcW w:w="831" w:type="dxa"/>
                  <w:vAlign w:val="center"/>
                </w:tcPr>
                <w:p>
                  <w:pPr>
                    <w:spacing w:line="300" w:lineRule="exact"/>
                    <w:jc w:val="center"/>
                    <w:rPr>
                      <w:bCs/>
                      <w:sz w:val="18"/>
                      <w:szCs w:val="18"/>
                    </w:rPr>
                  </w:pPr>
                  <w:r>
                    <w:rPr>
                      <w:rFonts w:hint="eastAsia"/>
                      <w:bCs/>
                      <w:sz w:val="18"/>
                      <w:szCs w:val="18"/>
                    </w:rPr>
                    <w:t>8</w:t>
                  </w:r>
                </w:p>
              </w:tc>
              <w:tc>
                <w:tcPr>
                  <w:tcW w:w="1784" w:type="dxa"/>
                  <w:vAlign w:val="center"/>
                </w:tcPr>
                <w:p>
                  <w:pPr>
                    <w:spacing w:line="300" w:lineRule="exact"/>
                    <w:jc w:val="center"/>
                    <w:rPr>
                      <w:bCs/>
                      <w:sz w:val="18"/>
                      <w:szCs w:val="18"/>
                    </w:rPr>
                  </w:pPr>
                  <w:r>
                    <w:rPr>
                      <w:bCs/>
                      <w:sz w:val="18"/>
                      <w:szCs w:val="18"/>
                    </w:rPr>
                    <w:t>普光气都园林</w:t>
                  </w:r>
                </w:p>
              </w:tc>
              <w:tc>
                <w:tcPr>
                  <w:tcW w:w="941" w:type="dxa"/>
                  <w:vAlign w:val="center"/>
                </w:tcPr>
                <w:p>
                  <w:pPr>
                    <w:spacing w:line="300" w:lineRule="exact"/>
                    <w:jc w:val="center"/>
                    <w:rPr>
                      <w:bCs/>
                      <w:sz w:val="18"/>
                      <w:szCs w:val="18"/>
                    </w:rPr>
                  </w:pPr>
                  <w:r>
                    <w:rPr>
                      <w:bCs/>
                      <w:sz w:val="18"/>
                      <w:szCs w:val="18"/>
                    </w:rPr>
                    <w:t>休闲区</w:t>
                  </w:r>
                </w:p>
              </w:tc>
              <w:tc>
                <w:tcPr>
                  <w:tcW w:w="1824" w:type="dxa"/>
                  <w:vAlign w:val="center"/>
                </w:tcPr>
                <w:p>
                  <w:pPr>
                    <w:spacing w:line="300" w:lineRule="exact"/>
                    <w:jc w:val="center"/>
                    <w:rPr>
                      <w:bCs/>
                      <w:sz w:val="18"/>
                      <w:szCs w:val="18"/>
                    </w:rPr>
                  </w:pPr>
                  <w:r>
                    <w:rPr>
                      <w:rFonts w:hint="eastAsia"/>
                      <w:bCs/>
                      <w:sz w:val="18"/>
                      <w:szCs w:val="18"/>
                    </w:rPr>
                    <w:t>N</w:t>
                  </w:r>
                </w:p>
              </w:tc>
              <w:tc>
                <w:tcPr>
                  <w:tcW w:w="1174" w:type="dxa"/>
                  <w:vAlign w:val="center"/>
                </w:tcPr>
                <w:p>
                  <w:pPr>
                    <w:spacing w:line="300" w:lineRule="exact"/>
                    <w:jc w:val="center"/>
                    <w:rPr>
                      <w:bCs/>
                      <w:sz w:val="18"/>
                      <w:szCs w:val="18"/>
                    </w:rPr>
                  </w:pPr>
                  <w:r>
                    <w:rPr>
                      <w:rFonts w:hint="eastAsia"/>
                      <w:bCs/>
                      <w:sz w:val="18"/>
                      <w:szCs w:val="18"/>
                    </w:rPr>
                    <w:t>210m</w:t>
                  </w:r>
                </w:p>
              </w:tc>
              <w:tc>
                <w:tcPr>
                  <w:tcW w:w="1129" w:type="dxa"/>
                  <w:vAlign w:val="center"/>
                </w:tcPr>
                <w:p>
                  <w:pPr>
                    <w:spacing w:line="300" w:lineRule="exact"/>
                    <w:jc w:val="center"/>
                    <w:rPr>
                      <w:bCs/>
                      <w:sz w:val="18"/>
                      <w:szCs w:val="18"/>
                    </w:rPr>
                  </w:pPr>
                  <w:r>
                    <w:rPr>
                      <w:rFonts w:hint="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831" w:type="dxa"/>
                  <w:vAlign w:val="center"/>
                </w:tcPr>
                <w:p>
                  <w:pPr>
                    <w:spacing w:line="300" w:lineRule="exact"/>
                    <w:jc w:val="center"/>
                    <w:rPr>
                      <w:bCs/>
                      <w:sz w:val="18"/>
                      <w:szCs w:val="18"/>
                    </w:rPr>
                  </w:pPr>
                  <w:r>
                    <w:rPr>
                      <w:rFonts w:hint="eastAsia"/>
                      <w:bCs/>
                      <w:sz w:val="18"/>
                      <w:szCs w:val="18"/>
                    </w:rPr>
                    <w:t>9</w:t>
                  </w:r>
                </w:p>
              </w:tc>
              <w:tc>
                <w:tcPr>
                  <w:tcW w:w="1784" w:type="dxa"/>
                  <w:vMerge w:val="restart"/>
                  <w:vAlign w:val="center"/>
                </w:tcPr>
                <w:p>
                  <w:pPr>
                    <w:spacing w:line="300" w:lineRule="exact"/>
                    <w:jc w:val="center"/>
                    <w:rPr>
                      <w:bCs/>
                      <w:sz w:val="18"/>
                      <w:szCs w:val="18"/>
                    </w:rPr>
                  </w:pPr>
                  <w:r>
                    <w:rPr>
                      <w:rFonts w:hint="eastAsia"/>
                      <w:bCs/>
                      <w:sz w:val="18"/>
                      <w:szCs w:val="18"/>
                    </w:rPr>
                    <w:t>汤家沟</w:t>
                  </w:r>
                </w:p>
              </w:tc>
              <w:tc>
                <w:tcPr>
                  <w:tcW w:w="941" w:type="dxa"/>
                  <w:vAlign w:val="center"/>
                </w:tcPr>
                <w:p>
                  <w:pPr>
                    <w:spacing w:line="300" w:lineRule="exact"/>
                    <w:jc w:val="center"/>
                    <w:rPr>
                      <w:bCs/>
                      <w:sz w:val="18"/>
                      <w:szCs w:val="18"/>
                    </w:rPr>
                  </w:pPr>
                  <w:r>
                    <w:rPr>
                      <w:rFonts w:hint="eastAsia"/>
                      <w:bCs/>
                      <w:sz w:val="18"/>
                      <w:szCs w:val="18"/>
                    </w:rPr>
                    <w:t>居民</w:t>
                  </w:r>
                </w:p>
              </w:tc>
              <w:tc>
                <w:tcPr>
                  <w:tcW w:w="1824" w:type="dxa"/>
                  <w:vAlign w:val="center"/>
                </w:tcPr>
                <w:p>
                  <w:pPr>
                    <w:spacing w:line="300" w:lineRule="exact"/>
                    <w:jc w:val="center"/>
                    <w:rPr>
                      <w:bCs/>
                      <w:sz w:val="18"/>
                      <w:szCs w:val="18"/>
                    </w:rPr>
                  </w:pPr>
                  <w:r>
                    <w:rPr>
                      <w:rFonts w:hint="eastAsia"/>
                      <w:bCs/>
                      <w:sz w:val="18"/>
                      <w:szCs w:val="18"/>
                    </w:rPr>
                    <w:t>S</w:t>
                  </w:r>
                </w:p>
              </w:tc>
              <w:tc>
                <w:tcPr>
                  <w:tcW w:w="1174" w:type="dxa"/>
                  <w:vAlign w:val="center"/>
                </w:tcPr>
                <w:p>
                  <w:pPr>
                    <w:spacing w:line="300" w:lineRule="exact"/>
                    <w:jc w:val="center"/>
                    <w:rPr>
                      <w:bCs/>
                      <w:sz w:val="18"/>
                      <w:szCs w:val="18"/>
                    </w:rPr>
                  </w:pPr>
                  <w:r>
                    <w:rPr>
                      <w:rFonts w:hint="eastAsia"/>
                      <w:bCs/>
                      <w:sz w:val="18"/>
                      <w:szCs w:val="18"/>
                    </w:rPr>
                    <w:t>32m</w:t>
                  </w:r>
                </w:p>
              </w:tc>
              <w:tc>
                <w:tcPr>
                  <w:tcW w:w="1129" w:type="dxa"/>
                  <w:vAlign w:val="center"/>
                </w:tcPr>
                <w:p>
                  <w:pPr>
                    <w:spacing w:line="300" w:lineRule="exact"/>
                    <w:jc w:val="center"/>
                    <w:rPr>
                      <w:bCs/>
                      <w:sz w:val="18"/>
                      <w:szCs w:val="18"/>
                    </w:rPr>
                  </w:pPr>
                  <w:r>
                    <w:rPr>
                      <w:rFonts w:hint="eastAsia"/>
                      <w:bCs/>
                      <w:sz w:val="18"/>
                      <w:szCs w:val="18"/>
                    </w:rPr>
                    <w:t>2户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831" w:type="dxa"/>
                  <w:vAlign w:val="center"/>
                </w:tcPr>
                <w:p>
                  <w:pPr>
                    <w:spacing w:line="300" w:lineRule="exact"/>
                    <w:jc w:val="center"/>
                    <w:rPr>
                      <w:bCs/>
                      <w:sz w:val="18"/>
                      <w:szCs w:val="18"/>
                    </w:rPr>
                  </w:pPr>
                  <w:r>
                    <w:rPr>
                      <w:rFonts w:hint="eastAsia"/>
                      <w:bCs/>
                      <w:sz w:val="18"/>
                      <w:szCs w:val="18"/>
                    </w:rPr>
                    <w:t>10</w:t>
                  </w:r>
                </w:p>
              </w:tc>
              <w:tc>
                <w:tcPr>
                  <w:tcW w:w="1784" w:type="dxa"/>
                  <w:vMerge w:val="continue"/>
                  <w:vAlign w:val="center"/>
                </w:tcPr>
                <w:p>
                  <w:pPr>
                    <w:spacing w:line="300" w:lineRule="exact"/>
                    <w:jc w:val="center"/>
                    <w:rPr>
                      <w:bCs/>
                      <w:sz w:val="18"/>
                      <w:szCs w:val="18"/>
                    </w:rPr>
                  </w:pPr>
                </w:p>
              </w:tc>
              <w:tc>
                <w:tcPr>
                  <w:tcW w:w="941" w:type="dxa"/>
                  <w:vAlign w:val="center"/>
                </w:tcPr>
                <w:p>
                  <w:pPr>
                    <w:spacing w:line="300" w:lineRule="exact"/>
                    <w:jc w:val="center"/>
                    <w:rPr>
                      <w:bCs/>
                      <w:sz w:val="18"/>
                      <w:szCs w:val="18"/>
                    </w:rPr>
                  </w:pPr>
                  <w:r>
                    <w:rPr>
                      <w:rFonts w:hint="eastAsia"/>
                      <w:bCs/>
                      <w:sz w:val="18"/>
                      <w:szCs w:val="18"/>
                    </w:rPr>
                    <w:t>居民</w:t>
                  </w:r>
                </w:p>
              </w:tc>
              <w:tc>
                <w:tcPr>
                  <w:tcW w:w="1824" w:type="dxa"/>
                  <w:vAlign w:val="center"/>
                </w:tcPr>
                <w:p>
                  <w:pPr>
                    <w:spacing w:line="300" w:lineRule="exact"/>
                    <w:jc w:val="center"/>
                    <w:rPr>
                      <w:bCs/>
                      <w:sz w:val="18"/>
                      <w:szCs w:val="18"/>
                    </w:rPr>
                  </w:pPr>
                  <w:r>
                    <w:rPr>
                      <w:rFonts w:hint="eastAsia"/>
                      <w:bCs/>
                      <w:sz w:val="18"/>
                      <w:szCs w:val="18"/>
                    </w:rPr>
                    <w:t>N</w:t>
                  </w:r>
                </w:p>
              </w:tc>
              <w:tc>
                <w:tcPr>
                  <w:tcW w:w="1174" w:type="dxa"/>
                  <w:vAlign w:val="center"/>
                </w:tcPr>
                <w:p>
                  <w:pPr>
                    <w:spacing w:line="300" w:lineRule="exact"/>
                    <w:jc w:val="center"/>
                    <w:rPr>
                      <w:bCs/>
                      <w:sz w:val="18"/>
                      <w:szCs w:val="18"/>
                    </w:rPr>
                  </w:pPr>
                  <w:r>
                    <w:rPr>
                      <w:rFonts w:hint="eastAsia"/>
                      <w:bCs/>
                      <w:sz w:val="18"/>
                      <w:szCs w:val="18"/>
                    </w:rPr>
                    <w:t>40m</w:t>
                  </w:r>
                </w:p>
              </w:tc>
              <w:tc>
                <w:tcPr>
                  <w:tcW w:w="1129" w:type="dxa"/>
                  <w:vAlign w:val="center"/>
                </w:tcPr>
                <w:p>
                  <w:pPr>
                    <w:spacing w:line="300" w:lineRule="exact"/>
                    <w:jc w:val="center"/>
                    <w:rPr>
                      <w:bCs/>
                      <w:sz w:val="18"/>
                      <w:szCs w:val="18"/>
                    </w:rPr>
                  </w:pPr>
                  <w:r>
                    <w:rPr>
                      <w:rFonts w:hint="eastAsia"/>
                      <w:bCs/>
                      <w:sz w:val="18"/>
                      <w:szCs w:val="18"/>
                    </w:rPr>
                    <w:t>3户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831" w:type="dxa"/>
                  <w:vAlign w:val="center"/>
                </w:tcPr>
                <w:p>
                  <w:pPr>
                    <w:spacing w:line="300" w:lineRule="exact"/>
                    <w:jc w:val="center"/>
                    <w:rPr>
                      <w:bCs/>
                      <w:sz w:val="18"/>
                      <w:szCs w:val="18"/>
                    </w:rPr>
                  </w:pPr>
                  <w:r>
                    <w:rPr>
                      <w:rFonts w:hint="eastAsia"/>
                      <w:bCs/>
                      <w:sz w:val="18"/>
                      <w:szCs w:val="18"/>
                    </w:rPr>
                    <w:t>11</w:t>
                  </w:r>
                </w:p>
              </w:tc>
              <w:tc>
                <w:tcPr>
                  <w:tcW w:w="1784" w:type="dxa"/>
                  <w:vAlign w:val="center"/>
                </w:tcPr>
                <w:p>
                  <w:pPr>
                    <w:spacing w:line="300" w:lineRule="exact"/>
                    <w:jc w:val="center"/>
                    <w:rPr>
                      <w:bCs/>
                      <w:sz w:val="18"/>
                      <w:szCs w:val="18"/>
                    </w:rPr>
                  </w:pPr>
                  <w:r>
                    <w:rPr>
                      <w:rFonts w:hint="eastAsia"/>
                      <w:bCs/>
                      <w:sz w:val="18"/>
                      <w:szCs w:val="18"/>
                    </w:rPr>
                    <w:t>陶家沟</w:t>
                  </w:r>
                </w:p>
              </w:tc>
              <w:tc>
                <w:tcPr>
                  <w:tcW w:w="941" w:type="dxa"/>
                  <w:vAlign w:val="center"/>
                </w:tcPr>
                <w:p>
                  <w:pPr>
                    <w:spacing w:line="300" w:lineRule="exact"/>
                    <w:jc w:val="center"/>
                    <w:rPr>
                      <w:bCs/>
                      <w:sz w:val="18"/>
                      <w:szCs w:val="18"/>
                    </w:rPr>
                  </w:pPr>
                  <w:r>
                    <w:rPr>
                      <w:rFonts w:hint="eastAsia"/>
                      <w:bCs/>
                      <w:sz w:val="18"/>
                      <w:szCs w:val="18"/>
                    </w:rPr>
                    <w:t>居民</w:t>
                  </w:r>
                </w:p>
              </w:tc>
              <w:tc>
                <w:tcPr>
                  <w:tcW w:w="1824" w:type="dxa"/>
                  <w:vAlign w:val="center"/>
                </w:tcPr>
                <w:p>
                  <w:pPr>
                    <w:spacing w:line="300" w:lineRule="exact"/>
                    <w:jc w:val="center"/>
                    <w:rPr>
                      <w:bCs/>
                      <w:sz w:val="18"/>
                      <w:szCs w:val="18"/>
                    </w:rPr>
                  </w:pPr>
                  <w:r>
                    <w:rPr>
                      <w:rFonts w:hint="eastAsia"/>
                      <w:bCs/>
                      <w:sz w:val="18"/>
                      <w:szCs w:val="18"/>
                    </w:rPr>
                    <w:t>N</w:t>
                  </w:r>
                </w:p>
              </w:tc>
              <w:tc>
                <w:tcPr>
                  <w:tcW w:w="1174" w:type="dxa"/>
                  <w:vAlign w:val="center"/>
                </w:tcPr>
                <w:p>
                  <w:pPr>
                    <w:spacing w:line="300" w:lineRule="exact"/>
                    <w:jc w:val="center"/>
                    <w:rPr>
                      <w:bCs/>
                      <w:sz w:val="18"/>
                      <w:szCs w:val="18"/>
                    </w:rPr>
                  </w:pPr>
                  <w:r>
                    <w:rPr>
                      <w:rFonts w:hint="eastAsia"/>
                      <w:bCs/>
                      <w:sz w:val="18"/>
                      <w:szCs w:val="18"/>
                    </w:rPr>
                    <w:t>28m</w:t>
                  </w:r>
                </w:p>
              </w:tc>
              <w:tc>
                <w:tcPr>
                  <w:tcW w:w="1129" w:type="dxa"/>
                  <w:vAlign w:val="center"/>
                </w:tcPr>
                <w:p>
                  <w:pPr>
                    <w:spacing w:line="300" w:lineRule="exact"/>
                    <w:jc w:val="center"/>
                    <w:rPr>
                      <w:bCs/>
                      <w:sz w:val="18"/>
                      <w:szCs w:val="18"/>
                    </w:rPr>
                  </w:pPr>
                  <w:r>
                    <w:rPr>
                      <w:rFonts w:hint="eastAsia"/>
                      <w:bCs/>
                      <w:sz w:val="18"/>
                      <w:szCs w:val="18"/>
                    </w:rPr>
                    <w:t>2户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831" w:type="dxa"/>
                  <w:vAlign w:val="center"/>
                </w:tcPr>
                <w:p>
                  <w:pPr>
                    <w:spacing w:line="300" w:lineRule="exact"/>
                    <w:jc w:val="center"/>
                    <w:rPr>
                      <w:bCs/>
                      <w:sz w:val="18"/>
                      <w:szCs w:val="18"/>
                    </w:rPr>
                  </w:pPr>
                  <w:r>
                    <w:rPr>
                      <w:rFonts w:hint="eastAsia"/>
                      <w:bCs/>
                      <w:sz w:val="18"/>
                      <w:szCs w:val="18"/>
                    </w:rPr>
                    <w:t>12</w:t>
                  </w:r>
                </w:p>
              </w:tc>
              <w:tc>
                <w:tcPr>
                  <w:tcW w:w="1784" w:type="dxa"/>
                  <w:vAlign w:val="center"/>
                </w:tcPr>
                <w:p>
                  <w:pPr>
                    <w:spacing w:line="300" w:lineRule="exact"/>
                    <w:jc w:val="center"/>
                    <w:rPr>
                      <w:bCs/>
                      <w:sz w:val="18"/>
                      <w:szCs w:val="18"/>
                    </w:rPr>
                  </w:pPr>
                  <w:r>
                    <w:rPr>
                      <w:rFonts w:hint="eastAsia"/>
                      <w:bCs/>
                      <w:sz w:val="18"/>
                      <w:szCs w:val="18"/>
                    </w:rPr>
                    <w:t>文家湾</w:t>
                  </w:r>
                </w:p>
              </w:tc>
              <w:tc>
                <w:tcPr>
                  <w:tcW w:w="941" w:type="dxa"/>
                  <w:vAlign w:val="center"/>
                </w:tcPr>
                <w:p>
                  <w:pPr>
                    <w:spacing w:line="300" w:lineRule="exact"/>
                    <w:jc w:val="center"/>
                    <w:rPr>
                      <w:bCs/>
                      <w:sz w:val="18"/>
                      <w:szCs w:val="18"/>
                    </w:rPr>
                  </w:pPr>
                  <w:r>
                    <w:rPr>
                      <w:rFonts w:hint="eastAsia"/>
                      <w:bCs/>
                      <w:sz w:val="18"/>
                      <w:szCs w:val="18"/>
                    </w:rPr>
                    <w:t>居民</w:t>
                  </w:r>
                </w:p>
              </w:tc>
              <w:tc>
                <w:tcPr>
                  <w:tcW w:w="1824" w:type="dxa"/>
                  <w:vAlign w:val="center"/>
                </w:tcPr>
                <w:p>
                  <w:pPr>
                    <w:spacing w:line="300" w:lineRule="exact"/>
                    <w:jc w:val="center"/>
                    <w:rPr>
                      <w:bCs/>
                      <w:sz w:val="18"/>
                      <w:szCs w:val="18"/>
                    </w:rPr>
                  </w:pPr>
                  <w:r>
                    <w:rPr>
                      <w:rFonts w:hint="eastAsia"/>
                      <w:bCs/>
                      <w:sz w:val="18"/>
                      <w:szCs w:val="18"/>
                    </w:rPr>
                    <w:t>N</w:t>
                  </w:r>
                </w:p>
              </w:tc>
              <w:tc>
                <w:tcPr>
                  <w:tcW w:w="1174" w:type="dxa"/>
                  <w:vAlign w:val="center"/>
                </w:tcPr>
                <w:p>
                  <w:pPr>
                    <w:spacing w:line="300" w:lineRule="exact"/>
                    <w:jc w:val="center"/>
                    <w:rPr>
                      <w:bCs/>
                      <w:sz w:val="18"/>
                      <w:szCs w:val="18"/>
                    </w:rPr>
                  </w:pPr>
                  <w:r>
                    <w:rPr>
                      <w:rFonts w:hint="eastAsia"/>
                      <w:bCs/>
                      <w:sz w:val="18"/>
                      <w:szCs w:val="18"/>
                    </w:rPr>
                    <w:t>186m</w:t>
                  </w:r>
                </w:p>
              </w:tc>
              <w:tc>
                <w:tcPr>
                  <w:tcW w:w="1129" w:type="dxa"/>
                  <w:vAlign w:val="center"/>
                </w:tcPr>
                <w:p>
                  <w:pPr>
                    <w:spacing w:line="300" w:lineRule="exact"/>
                    <w:jc w:val="center"/>
                    <w:rPr>
                      <w:bCs/>
                      <w:sz w:val="18"/>
                      <w:szCs w:val="18"/>
                    </w:rPr>
                  </w:pPr>
                  <w:r>
                    <w:rPr>
                      <w:rFonts w:hint="eastAsia"/>
                      <w:bCs/>
                      <w:sz w:val="18"/>
                      <w:szCs w:val="18"/>
                    </w:rPr>
                    <w:t>12户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83" w:type="dxa"/>
                  <w:gridSpan w:val="6"/>
                  <w:vAlign w:val="center"/>
                </w:tcPr>
                <w:p>
                  <w:pPr>
                    <w:spacing w:line="300" w:lineRule="exact"/>
                    <w:jc w:val="center"/>
                    <w:rPr>
                      <w:bCs/>
                      <w:sz w:val="18"/>
                      <w:szCs w:val="18"/>
                    </w:rPr>
                  </w:pPr>
                  <w:r>
                    <w:rPr>
                      <w:rFonts w:hint="eastAsia"/>
                      <w:bCs/>
                      <w:sz w:val="18"/>
                      <w:szCs w:val="18"/>
                    </w:rPr>
                    <w:t>配气站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831" w:type="dxa"/>
                  <w:vAlign w:val="center"/>
                </w:tcPr>
                <w:p>
                  <w:pPr>
                    <w:spacing w:line="300" w:lineRule="exact"/>
                    <w:jc w:val="center"/>
                    <w:rPr>
                      <w:bCs/>
                      <w:sz w:val="18"/>
                      <w:szCs w:val="18"/>
                    </w:rPr>
                  </w:pPr>
                  <w:r>
                    <w:rPr>
                      <w:rFonts w:hint="eastAsia"/>
                      <w:bCs/>
                      <w:sz w:val="18"/>
                      <w:szCs w:val="18"/>
                    </w:rPr>
                    <w:t>1</w:t>
                  </w:r>
                </w:p>
              </w:tc>
              <w:tc>
                <w:tcPr>
                  <w:tcW w:w="1784" w:type="dxa"/>
                  <w:vAlign w:val="center"/>
                </w:tcPr>
                <w:p>
                  <w:pPr>
                    <w:topLinePunct/>
                    <w:adjustRightInd w:val="0"/>
                    <w:snapToGrid w:val="0"/>
                    <w:spacing w:line="300" w:lineRule="exact"/>
                    <w:jc w:val="center"/>
                    <w:rPr>
                      <w:kern w:val="0"/>
                      <w:sz w:val="18"/>
                      <w:szCs w:val="18"/>
                    </w:rPr>
                  </w:pPr>
                  <w:r>
                    <w:rPr>
                      <w:kern w:val="0"/>
                      <w:sz w:val="18"/>
                      <w:szCs w:val="18"/>
                    </w:rPr>
                    <w:t>东面住户</w:t>
                  </w:r>
                </w:p>
              </w:tc>
              <w:tc>
                <w:tcPr>
                  <w:tcW w:w="941" w:type="dxa"/>
                  <w:vAlign w:val="center"/>
                </w:tcPr>
                <w:p>
                  <w:pPr>
                    <w:spacing w:line="300" w:lineRule="exact"/>
                    <w:jc w:val="center"/>
                    <w:rPr>
                      <w:bCs/>
                      <w:sz w:val="18"/>
                      <w:szCs w:val="18"/>
                    </w:rPr>
                  </w:pPr>
                  <w:r>
                    <w:rPr>
                      <w:rFonts w:hint="eastAsia"/>
                      <w:bCs/>
                      <w:sz w:val="18"/>
                      <w:szCs w:val="18"/>
                    </w:rPr>
                    <w:t>居民</w:t>
                  </w:r>
                </w:p>
              </w:tc>
              <w:tc>
                <w:tcPr>
                  <w:tcW w:w="1824" w:type="dxa"/>
                  <w:vAlign w:val="center"/>
                </w:tcPr>
                <w:p>
                  <w:pPr>
                    <w:spacing w:line="300" w:lineRule="exact"/>
                    <w:jc w:val="center"/>
                    <w:rPr>
                      <w:bCs/>
                      <w:sz w:val="18"/>
                      <w:szCs w:val="18"/>
                    </w:rPr>
                  </w:pPr>
                  <w:r>
                    <w:rPr>
                      <w:rFonts w:hint="eastAsia"/>
                      <w:bCs/>
                      <w:sz w:val="18"/>
                      <w:szCs w:val="18"/>
                    </w:rPr>
                    <w:t>E</w:t>
                  </w:r>
                </w:p>
              </w:tc>
              <w:tc>
                <w:tcPr>
                  <w:tcW w:w="1174" w:type="dxa"/>
                  <w:vAlign w:val="center"/>
                </w:tcPr>
                <w:p>
                  <w:pPr>
                    <w:spacing w:line="300" w:lineRule="exact"/>
                    <w:jc w:val="center"/>
                    <w:rPr>
                      <w:bCs/>
                      <w:sz w:val="18"/>
                      <w:szCs w:val="18"/>
                    </w:rPr>
                  </w:pPr>
                  <w:r>
                    <w:rPr>
                      <w:rFonts w:hint="eastAsia"/>
                      <w:bCs/>
                      <w:sz w:val="18"/>
                      <w:szCs w:val="18"/>
                    </w:rPr>
                    <w:t>45m</w:t>
                  </w:r>
                </w:p>
              </w:tc>
              <w:tc>
                <w:tcPr>
                  <w:tcW w:w="1129" w:type="dxa"/>
                  <w:vAlign w:val="center"/>
                </w:tcPr>
                <w:p>
                  <w:pPr>
                    <w:spacing w:line="300" w:lineRule="exact"/>
                    <w:jc w:val="center"/>
                    <w:rPr>
                      <w:bCs/>
                      <w:sz w:val="18"/>
                      <w:szCs w:val="18"/>
                    </w:rPr>
                  </w:pPr>
                  <w:r>
                    <w:rPr>
                      <w:rFonts w:hint="eastAsia"/>
                      <w:bCs/>
                      <w:sz w:val="18"/>
                      <w:szCs w:val="18"/>
                    </w:rPr>
                    <w:t>3户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831" w:type="dxa"/>
                  <w:vAlign w:val="center"/>
                </w:tcPr>
                <w:p>
                  <w:pPr>
                    <w:spacing w:line="300" w:lineRule="exact"/>
                    <w:jc w:val="center"/>
                    <w:rPr>
                      <w:bCs/>
                      <w:sz w:val="18"/>
                      <w:szCs w:val="18"/>
                    </w:rPr>
                  </w:pPr>
                  <w:r>
                    <w:rPr>
                      <w:rFonts w:hint="eastAsia"/>
                      <w:bCs/>
                      <w:sz w:val="18"/>
                      <w:szCs w:val="18"/>
                    </w:rPr>
                    <w:t>2</w:t>
                  </w:r>
                </w:p>
              </w:tc>
              <w:tc>
                <w:tcPr>
                  <w:tcW w:w="1784" w:type="dxa"/>
                  <w:vAlign w:val="center"/>
                </w:tcPr>
                <w:p>
                  <w:pPr>
                    <w:topLinePunct/>
                    <w:adjustRightInd w:val="0"/>
                    <w:snapToGrid w:val="0"/>
                    <w:spacing w:line="300" w:lineRule="exact"/>
                    <w:jc w:val="center"/>
                    <w:rPr>
                      <w:kern w:val="0"/>
                      <w:sz w:val="18"/>
                      <w:szCs w:val="18"/>
                    </w:rPr>
                  </w:pPr>
                  <w:r>
                    <w:rPr>
                      <w:kern w:val="0"/>
                      <w:sz w:val="18"/>
                      <w:szCs w:val="18"/>
                    </w:rPr>
                    <w:t>西北面住户</w:t>
                  </w:r>
                </w:p>
              </w:tc>
              <w:tc>
                <w:tcPr>
                  <w:tcW w:w="941" w:type="dxa"/>
                  <w:vAlign w:val="center"/>
                </w:tcPr>
                <w:p>
                  <w:pPr>
                    <w:spacing w:line="300" w:lineRule="exact"/>
                    <w:jc w:val="center"/>
                    <w:rPr>
                      <w:bCs/>
                      <w:sz w:val="18"/>
                      <w:szCs w:val="18"/>
                    </w:rPr>
                  </w:pPr>
                  <w:r>
                    <w:rPr>
                      <w:rFonts w:hint="eastAsia"/>
                      <w:bCs/>
                      <w:sz w:val="18"/>
                      <w:szCs w:val="18"/>
                    </w:rPr>
                    <w:t>居民</w:t>
                  </w:r>
                </w:p>
              </w:tc>
              <w:tc>
                <w:tcPr>
                  <w:tcW w:w="1824" w:type="dxa"/>
                  <w:vAlign w:val="center"/>
                </w:tcPr>
                <w:p>
                  <w:pPr>
                    <w:spacing w:line="300" w:lineRule="exact"/>
                    <w:jc w:val="center"/>
                    <w:rPr>
                      <w:bCs/>
                      <w:sz w:val="18"/>
                      <w:szCs w:val="18"/>
                    </w:rPr>
                  </w:pPr>
                  <w:r>
                    <w:rPr>
                      <w:rFonts w:hint="eastAsia"/>
                      <w:bCs/>
                      <w:sz w:val="18"/>
                      <w:szCs w:val="18"/>
                    </w:rPr>
                    <w:t>NW</w:t>
                  </w:r>
                </w:p>
              </w:tc>
              <w:tc>
                <w:tcPr>
                  <w:tcW w:w="1174" w:type="dxa"/>
                  <w:vAlign w:val="center"/>
                </w:tcPr>
                <w:p>
                  <w:pPr>
                    <w:spacing w:line="300" w:lineRule="exact"/>
                    <w:jc w:val="center"/>
                    <w:rPr>
                      <w:bCs/>
                      <w:sz w:val="18"/>
                      <w:szCs w:val="18"/>
                    </w:rPr>
                  </w:pPr>
                  <w:r>
                    <w:rPr>
                      <w:rFonts w:hint="eastAsia"/>
                      <w:bCs/>
                      <w:sz w:val="18"/>
                      <w:szCs w:val="18"/>
                    </w:rPr>
                    <w:t>78m</w:t>
                  </w:r>
                </w:p>
              </w:tc>
              <w:tc>
                <w:tcPr>
                  <w:tcW w:w="1129" w:type="dxa"/>
                  <w:vAlign w:val="center"/>
                </w:tcPr>
                <w:p>
                  <w:pPr>
                    <w:spacing w:line="300" w:lineRule="exact"/>
                    <w:jc w:val="center"/>
                    <w:rPr>
                      <w:bCs/>
                      <w:sz w:val="18"/>
                      <w:szCs w:val="18"/>
                    </w:rPr>
                  </w:pPr>
                  <w:r>
                    <w:rPr>
                      <w:rFonts w:hint="eastAsia"/>
                      <w:bCs/>
                      <w:sz w:val="18"/>
                      <w:szCs w:val="18"/>
                    </w:rPr>
                    <w:t>10户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831" w:type="dxa"/>
                  <w:vAlign w:val="center"/>
                </w:tcPr>
                <w:p>
                  <w:pPr>
                    <w:spacing w:line="300" w:lineRule="exact"/>
                    <w:jc w:val="center"/>
                    <w:rPr>
                      <w:bCs/>
                      <w:sz w:val="18"/>
                      <w:szCs w:val="18"/>
                    </w:rPr>
                  </w:pPr>
                  <w:r>
                    <w:rPr>
                      <w:rFonts w:hint="eastAsia"/>
                      <w:bCs/>
                      <w:sz w:val="18"/>
                      <w:szCs w:val="18"/>
                    </w:rPr>
                    <w:t>3</w:t>
                  </w:r>
                </w:p>
              </w:tc>
              <w:tc>
                <w:tcPr>
                  <w:tcW w:w="1784" w:type="dxa"/>
                  <w:vAlign w:val="center"/>
                </w:tcPr>
                <w:p>
                  <w:pPr>
                    <w:topLinePunct/>
                    <w:adjustRightInd w:val="0"/>
                    <w:snapToGrid w:val="0"/>
                    <w:spacing w:line="300" w:lineRule="exact"/>
                    <w:jc w:val="center"/>
                    <w:rPr>
                      <w:kern w:val="0"/>
                      <w:sz w:val="18"/>
                      <w:szCs w:val="18"/>
                    </w:rPr>
                  </w:pPr>
                  <w:r>
                    <w:rPr>
                      <w:kern w:val="0"/>
                      <w:sz w:val="18"/>
                      <w:szCs w:val="18"/>
                    </w:rPr>
                    <w:t>北面住户</w:t>
                  </w:r>
                </w:p>
              </w:tc>
              <w:tc>
                <w:tcPr>
                  <w:tcW w:w="941" w:type="dxa"/>
                  <w:vAlign w:val="center"/>
                </w:tcPr>
                <w:p>
                  <w:pPr>
                    <w:spacing w:line="300" w:lineRule="exact"/>
                    <w:jc w:val="center"/>
                    <w:rPr>
                      <w:bCs/>
                      <w:sz w:val="18"/>
                      <w:szCs w:val="18"/>
                    </w:rPr>
                  </w:pPr>
                  <w:r>
                    <w:rPr>
                      <w:rFonts w:hint="eastAsia"/>
                      <w:bCs/>
                      <w:sz w:val="18"/>
                      <w:szCs w:val="18"/>
                    </w:rPr>
                    <w:t>居民</w:t>
                  </w:r>
                </w:p>
              </w:tc>
              <w:tc>
                <w:tcPr>
                  <w:tcW w:w="1824" w:type="dxa"/>
                  <w:vAlign w:val="center"/>
                </w:tcPr>
                <w:p>
                  <w:pPr>
                    <w:spacing w:line="300" w:lineRule="exact"/>
                    <w:jc w:val="center"/>
                    <w:rPr>
                      <w:bCs/>
                      <w:sz w:val="18"/>
                      <w:szCs w:val="18"/>
                    </w:rPr>
                  </w:pPr>
                  <w:r>
                    <w:rPr>
                      <w:rFonts w:hint="eastAsia"/>
                      <w:bCs/>
                      <w:sz w:val="18"/>
                      <w:szCs w:val="18"/>
                    </w:rPr>
                    <w:t>N</w:t>
                  </w:r>
                </w:p>
              </w:tc>
              <w:tc>
                <w:tcPr>
                  <w:tcW w:w="1174" w:type="dxa"/>
                  <w:vAlign w:val="center"/>
                </w:tcPr>
                <w:p>
                  <w:pPr>
                    <w:spacing w:line="300" w:lineRule="exact"/>
                    <w:jc w:val="center"/>
                    <w:rPr>
                      <w:bCs/>
                      <w:sz w:val="18"/>
                      <w:szCs w:val="18"/>
                    </w:rPr>
                  </w:pPr>
                  <w:r>
                    <w:rPr>
                      <w:rFonts w:hint="eastAsia"/>
                      <w:bCs/>
                      <w:sz w:val="18"/>
                      <w:szCs w:val="18"/>
                    </w:rPr>
                    <w:t>110m</w:t>
                  </w:r>
                </w:p>
              </w:tc>
              <w:tc>
                <w:tcPr>
                  <w:tcW w:w="1129" w:type="dxa"/>
                  <w:vAlign w:val="center"/>
                </w:tcPr>
                <w:p>
                  <w:pPr>
                    <w:spacing w:line="300" w:lineRule="exact"/>
                    <w:jc w:val="center"/>
                    <w:rPr>
                      <w:bCs/>
                      <w:sz w:val="18"/>
                      <w:szCs w:val="18"/>
                    </w:rPr>
                  </w:pPr>
                  <w:r>
                    <w:rPr>
                      <w:rFonts w:hint="eastAsia"/>
                      <w:bCs/>
                      <w:sz w:val="18"/>
                      <w:szCs w:val="18"/>
                    </w:rPr>
                    <w:t>20户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831" w:type="dxa"/>
                  <w:vAlign w:val="center"/>
                </w:tcPr>
                <w:p>
                  <w:pPr>
                    <w:spacing w:line="300" w:lineRule="exact"/>
                    <w:jc w:val="center"/>
                    <w:rPr>
                      <w:bCs/>
                      <w:sz w:val="18"/>
                      <w:szCs w:val="18"/>
                    </w:rPr>
                  </w:pPr>
                  <w:r>
                    <w:rPr>
                      <w:rFonts w:hint="eastAsia"/>
                      <w:bCs/>
                      <w:sz w:val="18"/>
                      <w:szCs w:val="18"/>
                    </w:rPr>
                    <w:t>4</w:t>
                  </w:r>
                </w:p>
              </w:tc>
              <w:tc>
                <w:tcPr>
                  <w:tcW w:w="1784" w:type="dxa"/>
                  <w:vAlign w:val="center"/>
                </w:tcPr>
                <w:p>
                  <w:pPr>
                    <w:topLinePunct/>
                    <w:adjustRightInd w:val="0"/>
                    <w:snapToGrid w:val="0"/>
                    <w:spacing w:line="300" w:lineRule="exact"/>
                    <w:jc w:val="center"/>
                    <w:rPr>
                      <w:kern w:val="0"/>
                      <w:sz w:val="18"/>
                      <w:szCs w:val="18"/>
                    </w:rPr>
                  </w:pPr>
                  <w:r>
                    <w:rPr>
                      <w:kern w:val="0"/>
                      <w:sz w:val="18"/>
                      <w:szCs w:val="18"/>
                    </w:rPr>
                    <w:t>东北面住户</w:t>
                  </w:r>
                </w:p>
              </w:tc>
              <w:tc>
                <w:tcPr>
                  <w:tcW w:w="941" w:type="dxa"/>
                  <w:vAlign w:val="center"/>
                </w:tcPr>
                <w:p>
                  <w:pPr>
                    <w:spacing w:line="300" w:lineRule="exact"/>
                    <w:jc w:val="center"/>
                    <w:rPr>
                      <w:bCs/>
                      <w:sz w:val="18"/>
                      <w:szCs w:val="18"/>
                    </w:rPr>
                  </w:pPr>
                  <w:r>
                    <w:rPr>
                      <w:rFonts w:hint="eastAsia"/>
                      <w:bCs/>
                      <w:sz w:val="18"/>
                      <w:szCs w:val="18"/>
                    </w:rPr>
                    <w:t>居民</w:t>
                  </w:r>
                </w:p>
              </w:tc>
              <w:tc>
                <w:tcPr>
                  <w:tcW w:w="1824" w:type="dxa"/>
                  <w:vAlign w:val="center"/>
                </w:tcPr>
                <w:p>
                  <w:pPr>
                    <w:spacing w:line="300" w:lineRule="exact"/>
                    <w:jc w:val="center"/>
                    <w:rPr>
                      <w:bCs/>
                      <w:sz w:val="18"/>
                      <w:szCs w:val="18"/>
                    </w:rPr>
                  </w:pPr>
                  <w:r>
                    <w:rPr>
                      <w:rFonts w:hint="eastAsia"/>
                      <w:bCs/>
                      <w:sz w:val="18"/>
                      <w:szCs w:val="18"/>
                    </w:rPr>
                    <w:t>NE</w:t>
                  </w:r>
                </w:p>
              </w:tc>
              <w:tc>
                <w:tcPr>
                  <w:tcW w:w="1174" w:type="dxa"/>
                  <w:vAlign w:val="center"/>
                </w:tcPr>
                <w:p>
                  <w:pPr>
                    <w:spacing w:line="300" w:lineRule="exact"/>
                    <w:jc w:val="center"/>
                    <w:rPr>
                      <w:bCs/>
                      <w:sz w:val="18"/>
                      <w:szCs w:val="18"/>
                    </w:rPr>
                  </w:pPr>
                  <w:r>
                    <w:rPr>
                      <w:rFonts w:hint="eastAsia"/>
                      <w:bCs/>
                      <w:sz w:val="18"/>
                      <w:szCs w:val="18"/>
                    </w:rPr>
                    <w:t>62m</w:t>
                  </w:r>
                </w:p>
              </w:tc>
              <w:tc>
                <w:tcPr>
                  <w:tcW w:w="1129" w:type="dxa"/>
                  <w:vAlign w:val="center"/>
                </w:tcPr>
                <w:p>
                  <w:pPr>
                    <w:spacing w:line="300" w:lineRule="exact"/>
                    <w:jc w:val="center"/>
                    <w:rPr>
                      <w:bCs/>
                      <w:sz w:val="18"/>
                      <w:szCs w:val="18"/>
                    </w:rPr>
                  </w:pPr>
                  <w:r>
                    <w:rPr>
                      <w:rFonts w:hint="eastAsia"/>
                      <w:bCs/>
                      <w:sz w:val="18"/>
                      <w:szCs w:val="18"/>
                    </w:rPr>
                    <w:t>1户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831" w:type="dxa"/>
                  <w:vAlign w:val="center"/>
                </w:tcPr>
                <w:p>
                  <w:pPr>
                    <w:spacing w:line="300" w:lineRule="exact"/>
                    <w:jc w:val="center"/>
                    <w:rPr>
                      <w:bCs/>
                      <w:sz w:val="18"/>
                      <w:szCs w:val="18"/>
                    </w:rPr>
                  </w:pPr>
                  <w:r>
                    <w:rPr>
                      <w:rFonts w:hint="eastAsia"/>
                      <w:bCs/>
                      <w:sz w:val="18"/>
                      <w:szCs w:val="18"/>
                    </w:rPr>
                    <w:t>5</w:t>
                  </w:r>
                </w:p>
              </w:tc>
              <w:tc>
                <w:tcPr>
                  <w:tcW w:w="1784" w:type="dxa"/>
                  <w:vAlign w:val="center"/>
                </w:tcPr>
                <w:p>
                  <w:pPr>
                    <w:topLinePunct/>
                    <w:adjustRightInd w:val="0"/>
                    <w:snapToGrid w:val="0"/>
                    <w:spacing w:line="300" w:lineRule="exact"/>
                    <w:jc w:val="center"/>
                    <w:rPr>
                      <w:kern w:val="0"/>
                      <w:sz w:val="18"/>
                      <w:szCs w:val="18"/>
                    </w:rPr>
                  </w:pPr>
                  <w:r>
                    <w:rPr>
                      <w:kern w:val="0"/>
                      <w:sz w:val="18"/>
                      <w:szCs w:val="18"/>
                    </w:rPr>
                    <w:t>永固建材</w:t>
                  </w:r>
                </w:p>
              </w:tc>
              <w:tc>
                <w:tcPr>
                  <w:tcW w:w="941" w:type="dxa"/>
                  <w:vAlign w:val="center"/>
                </w:tcPr>
                <w:p>
                  <w:pPr>
                    <w:spacing w:line="300" w:lineRule="exact"/>
                    <w:jc w:val="center"/>
                    <w:rPr>
                      <w:bCs/>
                      <w:sz w:val="18"/>
                      <w:szCs w:val="18"/>
                    </w:rPr>
                  </w:pPr>
                  <w:r>
                    <w:rPr>
                      <w:rFonts w:hint="eastAsia"/>
                      <w:bCs/>
                      <w:sz w:val="18"/>
                      <w:szCs w:val="18"/>
                    </w:rPr>
                    <w:t>企业</w:t>
                  </w:r>
                </w:p>
              </w:tc>
              <w:tc>
                <w:tcPr>
                  <w:tcW w:w="1824" w:type="dxa"/>
                  <w:vAlign w:val="center"/>
                </w:tcPr>
                <w:p>
                  <w:pPr>
                    <w:spacing w:line="300" w:lineRule="exact"/>
                    <w:jc w:val="center"/>
                    <w:rPr>
                      <w:bCs/>
                      <w:sz w:val="18"/>
                      <w:szCs w:val="18"/>
                    </w:rPr>
                  </w:pPr>
                  <w:r>
                    <w:rPr>
                      <w:rFonts w:hint="eastAsia"/>
                      <w:bCs/>
                      <w:sz w:val="18"/>
                      <w:szCs w:val="18"/>
                    </w:rPr>
                    <w:t>S</w:t>
                  </w:r>
                </w:p>
              </w:tc>
              <w:tc>
                <w:tcPr>
                  <w:tcW w:w="1174" w:type="dxa"/>
                  <w:vAlign w:val="center"/>
                </w:tcPr>
                <w:p>
                  <w:pPr>
                    <w:spacing w:line="300" w:lineRule="exact"/>
                    <w:jc w:val="center"/>
                    <w:rPr>
                      <w:bCs/>
                      <w:sz w:val="18"/>
                      <w:szCs w:val="18"/>
                    </w:rPr>
                  </w:pPr>
                  <w:r>
                    <w:rPr>
                      <w:rFonts w:hint="eastAsia"/>
                      <w:bCs/>
                      <w:sz w:val="18"/>
                      <w:szCs w:val="18"/>
                    </w:rPr>
                    <w:t>210m</w:t>
                  </w:r>
                </w:p>
              </w:tc>
              <w:tc>
                <w:tcPr>
                  <w:tcW w:w="1129" w:type="dxa"/>
                  <w:vAlign w:val="center"/>
                </w:tcPr>
                <w:p>
                  <w:pPr>
                    <w:spacing w:line="300" w:lineRule="exact"/>
                    <w:jc w:val="center"/>
                    <w:rPr>
                      <w:bCs/>
                      <w:sz w:val="18"/>
                      <w:szCs w:val="18"/>
                    </w:rPr>
                  </w:pPr>
                  <w:r>
                    <w:rPr>
                      <w:rFonts w:hint="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7683" w:type="dxa"/>
                  <w:gridSpan w:val="6"/>
                  <w:vAlign w:val="center"/>
                </w:tcPr>
                <w:p>
                  <w:pPr>
                    <w:spacing w:line="300" w:lineRule="exact"/>
                    <w:jc w:val="center"/>
                    <w:rPr>
                      <w:bCs/>
                      <w:sz w:val="18"/>
                      <w:szCs w:val="18"/>
                    </w:rPr>
                  </w:pPr>
                  <w:r>
                    <w:rPr>
                      <w:rFonts w:hint="eastAsia"/>
                      <w:bCs/>
                      <w:sz w:val="18"/>
                      <w:szCs w:val="18"/>
                    </w:rPr>
                    <w:t>放空区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831" w:type="dxa"/>
                  <w:vAlign w:val="center"/>
                </w:tcPr>
                <w:p>
                  <w:pPr>
                    <w:spacing w:line="300" w:lineRule="exact"/>
                    <w:jc w:val="center"/>
                    <w:rPr>
                      <w:bCs/>
                      <w:sz w:val="18"/>
                      <w:szCs w:val="18"/>
                    </w:rPr>
                  </w:pPr>
                  <w:r>
                    <w:rPr>
                      <w:rFonts w:hint="eastAsia"/>
                      <w:bCs/>
                      <w:sz w:val="18"/>
                      <w:szCs w:val="18"/>
                    </w:rPr>
                    <w:t>1</w:t>
                  </w:r>
                </w:p>
              </w:tc>
              <w:tc>
                <w:tcPr>
                  <w:tcW w:w="1784" w:type="dxa"/>
                  <w:vAlign w:val="center"/>
                </w:tcPr>
                <w:p>
                  <w:pPr>
                    <w:topLinePunct/>
                    <w:adjustRightInd w:val="0"/>
                    <w:snapToGrid w:val="0"/>
                    <w:spacing w:line="300" w:lineRule="exact"/>
                    <w:jc w:val="center"/>
                    <w:rPr>
                      <w:kern w:val="0"/>
                      <w:sz w:val="18"/>
                      <w:szCs w:val="18"/>
                    </w:rPr>
                  </w:pPr>
                  <w:r>
                    <w:rPr>
                      <w:kern w:val="0"/>
                      <w:sz w:val="18"/>
                      <w:szCs w:val="18"/>
                    </w:rPr>
                    <w:t>东南面住户</w:t>
                  </w:r>
                </w:p>
              </w:tc>
              <w:tc>
                <w:tcPr>
                  <w:tcW w:w="941" w:type="dxa"/>
                  <w:vAlign w:val="center"/>
                </w:tcPr>
                <w:p>
                  <w:pPr>
                    <w:spacing w:line="300" w:lineRule="exact"/>
                    <w:jc w:val="center"/>
                    <w:rPr>
                      <w:bCs/>
                      <w:sz w:val="18"/>
                      <w:szCs w:val="18"/>
                    </w:rPr>
                  </w:pPr>
                  <w:r>
                    <w:rPr>
                      <w:rFonts w:hint="eastAsia"/>
                      <w:bCs/>
                      <w:sz w:val="18"/>
                      <w:szCs w:val="18"/>
                    </w:rPr>
                    <w:t>居民</w:t>
                  </w:r>
                </w:p>
              </w:tc>
              <w:tc>
                <w:tcPr>
                  <w:tcW w:w="1824" w:type="dxa"/>
                  <w:vAlign w:val="center"/>
                </w:tcPr>
                <w:p>
                  <w:pPr>
                    <w:spacing w:line="300" w:lineRule="exact"/>
                    <w:jc w:val="center"/>
                    <w:rPr>
                      <w:bCs/>
                      <w:sz w:val="18"/>
                      <w:szCs w:val="18"/>
                    </w:rPr>
                  </w:pPr>
                  <w:r>
                    <w:rPr>
                      <w:rFonts w:hint="eastAsia"/>
                      <w:bCs/>
                      <w:sz w:val="18"/>
                      <w:szCs w:val="18"/>
                    </w:rPr>
                    <w:t>SE</w:t>
                  </w:r>
                </w:p>
              </w:tc>
              <w:tc>
                <w:tcPr>
                  <w:tcW w:w="1174" w:type="dxa"/>
                  <w:vAlign w:val="center"/>
                </w:tcPr>
                <w:p>
                  <w:pPr>
                    <w:spacing w:line="300" w:lineRule="exact"/>
                    <w:jc w:val="center"/>
                    <w:rPr>
                      <w:bCs/>
                      <w:sz w:val="18"/>
                      <w:szCs w:val="18"/>
                    </w:rPr>
                  </w:pPr>
                  <w:r>
                    <w:rPr>
                      <w:rFonts w:hint="eastAsia"/>
                      <w:bCs/>
                      <w:sz w:val="18"/>
                      <w:szCs w:val="18"/>
                    </w:rPr>
                    <w:t>100m</w:t>
                  </w:r>
                </w:p>
              </w:tc>
              <w:tc>
                <w:tcPr>
                  <w:tcW w:w="1129" w:type="dxa"/>
                  <w:vAlign w:val="center"/>
                </w:tcPr>
                <w:p>
                  <w:pPr>
                    <w:spacing w:line="300" w:lineRule="exact"/>
                    <w:jc w:val="center"/>
                    <w:rPr>
                      <w:bCs/>
                      <w:sz w:val="18"/>
                      <w:szCs w:val="18"/>
                    </w:rPr>
                  </w:pPr>
                  <w:r>
                    <w:rPr>
                      <w:rFonts w:hint="eastAsia"/>
                      <w:bCs/>
                      <w:sz w:val="18"/>
                      <w:szCs w:val="18"/>
                    </w:rPr>
                    <w:t>3户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831" w:type="dxa"/>
                  <w:vAlign w:val="center"/>
                </w:tcPr>
                <w:p>
                  <w:pPr>
                    <w:spacing w:line="300" w:lineRule="exact"/>
                    <w:jc w:val="center"/>
                    <w:rPr>
                      <w:bCs/>
                      <w:sz w:val="18"/>
                      <w:szCs w:val="18"/>
                    </w:rPr>
                  </w:pPr>
                  <w:r>
                    <w:rPr>
                      <w:rFonts w:hint="eastAsia"/>
                      <w:bCs/>
                      <w:sz w:val="18"/>
                      <w:szCs w:val="18"/>
                    </w:rPr>
                    <w:t>2</w:t>
                  </w:r>
                </w:p>
              </w:tc>
              <w:tc>
                <w:tcPr>
                  <w:tcW w:w="1784" w:type="dxa"/>
                  <w:vAlign w:val="center"/>
                </w:tcPr>
                <w:p>
                  <w:pPr>
                    <w:topLinePunct/>
                    <w:adjustRightInd w:val="0"/>
                    <w:snapToGrid w:val="0"/>
                    <w:spacing w:line="300" w:lineRule="exact"/>
                    <w:jc w:val="center"/>
                    <w:rPr>
                      <w:kern w:val="0"/>
                      <w:sz w:val="18"/>
                      <w:szCs w:val="18"/>
                    </w:rPr>
                  </w:pPr>
                  <w:r>
                    <w:rPr>
                      <w:kern w:val="0"/>
                      <w:sz w:val="18"/>
                      <w:szCs w:val="18"/>
                    </w:rPr>
                    <w:t>南面住户</w:t>
                  </w:r>
                </w:p>
              </w:tc>
              <w:tc>
                <w:tcPr>
                  <w:tcW w:w="941" w:type="dxa"/>
                  <w:vAlign w:val="center"/>
                </w:tcPr>
                <w:p>
                  <w:pPr>
                    <w:spacing w:line="300" w:lineRule="exact"/>
                    <w:jc w:val="center"/>
                    <w:rPr>
                      <w:bCs/>
                      <w:sz w:val="18"/>
                      <w:szCs w:val="18"/>
                    </w:rPr>
                  </w:pPr>
                  <w:r>
                    <w:rPr>
                      <w:rFonts w:hint="eastAsia"/>
                      <w:bCs/>
                      <w:sz w:val="18"/>
                      <w:szCs w:val="18"/>
                    </w:rPr>
                    <w:t>居民</w:t>
                  </w:r>
                </w:p>
              </w:tc>
              <w:tc>
                <w:tcPr>
                  <w:tcW w:w="1824" w:type="dxa"/>
                  <w:vAlign w:val="center"/>
                </w:tcPr>
                <w:p>
                  <w:pPr>
                    <w:spacing w:line="300" w:lineRule="exact"/>
                    <w:jc w:val="center"/>
                    <w:rPr>
                      <w:bCs/>
                      <w:sz w:val="18"/>
                      <w:szCs w:val="18"/>
                    </w:rPr>
                  </w:pPr>
                  <w:r>
                    <w:rPr>
                      <w:rFonts w:hint="eastAsia"/>
                      <w:bCs/>
                      <w:sz w:val="18"/>
                      <w:szCs w:val="18"/>
                    </w:rPr>
                    <w:t>S</w:t>
                  </w:r>
                </w:p>
              </w:tc>
              <w:tc>
                <w:tcPr>
                  <w:tcW w:w="1174" w:type="dxa"/>
                  <w:vAlign w:val="center"/>
                </w:tcPr>
                <w:p>
                  <w:pPr>
                    <w:spacing w:line="300" w:lineRule="exact"/>
                    <w:jc w:val="center"/>
                    <w:rPr>
                      <w:bCs/>
                      <w:sz w:val="18"/>
                      <w:szCs w:val="18"/>
                    </w:rPr>
                  </w:pPr>
                  <w:r>
                    <w:rPr>
                      <w:rFonts w:hint="eastAsia"/>
                      <w:bCs/>
                      <w:sz w:val="18"/>
                      <w:szCs w:val="18"/>
                    </w:rPr>
                    <w:t>115m</w:t>
                  </w:r>
                </w:p>
              </w:tc>
              <w:tc>
                <w:tcPr>
                  <w:tcW w:w="1129" w:type="dxa"/>
                  <w:vAlign w:val="center"/>
                </w:tcPr>
                <w:p>
                  <w:pPr>
                    <w:spacing w:line="300" w:lineRule="exact"/>
                    <w:jc w:val="center"/>
                    <w:rPr>
                      <w:bCs/>
                      <w:sz w:val="18"/>
                      <w:szCs w:val="18"/>
                    </w:rPr>
                  </w:pPr>
                  <w:r>
                    <w:rPr>
                      <w:rFonts w:hint="eastAsia"/>
                      <w:bCs/>
                      <w:sz w:val="18"/>
                      <w:szCs w:val="18"/>
                    </w:rPr>
                    <w:t>3户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831" w:type="dxa"/>
                  <w:vAlign w:val="center"/>
                </w:tcPr>
                <w:p>
                  <w:pPr>
                    <w:spacing w:line="300" w:lineRule="exact"/>
                    <w:jc w:val="center"/>
                    <w:rPr>
                      <w:bCs/>
                      <w:sz w:val="18"/>
                      <w:szCs w:val="18"/>
                    </w:rPr>
                  </w:pPr>
                  <w:r>
                    <w:rPr>
                      <w:rFonts w:hint="eastAsia"/>
                      <w:bCs/>
                      <w:sz w:val="18"/>
                      <w:szCs w:val="18"/>
                    </w:rPr>
                    <w:t>3</w:t>
                  </w:r>
                </w:p>
              </w:tc>
              <w:tc>
                <w:tcPr>
                  <w:tcW w:w="1784" w:type="dxa"/>
                  <w:vAlign w:val="center"/>
                </w:tcPr>
                <w:p>
                  <w:pPr>
                    <w:topLinePunct/>
                    <w:adjustRightInd w:val="0"/>
                    <w:snapToGrid w:val="0"/>
                    <w:spacing w:line="300" w:lineRule="exact"/>
                    <w:jc w:val="center"/>
                    <w:rPr>
                      <w:kern w:val="0"/>
                      <w:sz w:val="18"/>
                      <w:szCs w:val="18"/>
                    </w:rPr>
                  </w:pPr>
                  <w:r>
                    <w:rPr>
                      <w:rFonts w:hint="eastAsia"/>
                      <w:kern w:val="0"/>
                      <w:sz w:val="18"/>
                      <w:szCs w:val="18"/>
                    </w:rPr>
                    <w:t>西南面住户</w:t>
                  </w:r>
                </w:p>
              </w:tc>
              <w:tc>
                <w:tcPr>
                  <w:tcW w:w="941" w:type="dxa"/>
                  <w:vAlign w:val="center"/>
                </w:tcPr>
                <w:p>
                  <w:pPr>
                    <w:spacing w:line="300" w:lineRule="exact"/>
                    <w:jc w:val="center"/>
                    <w:rPr>
                      <w:bCs/>
                      <w:sz w:val="18"/>
                      <w:szCs w:val="18"/>
                    </w:rPr>
                  </w:pPr>
                  <w:r>
                    <w:rPr>
                      <w:rFonts w:hint="eastAsia"/>
                      <w:bCs/>
                      <w:sz w:val="18"/>
                      <w:szCs w:val="18"/>
                    </w:rPr>
                    <w:t>居民</w:t>
                  </w:r>
                </w:p>
              </w:tc>
              <w:tc>
                <w:tcPr>
                  <w:tcW w:w="1824" w:type="dxa"/>
                  <w:vAlign w:val="center"/>
                </w:tcPr>
                <w:p>
                  <w:pPr>
                    <w:spacing w:line="300" w:lineRule="exact"/>
                    <w:jc w:val="center"/>
                    <w:rPr>
                      <w:bCs/>
                      <w:sz w:val="18"/>
                      <w:szCs w:val="18"/>
                    </w:rPr>
                  </w:pPr>
                  <w:r>
                    <w:rPr>
                      <w:rFonts w:hint="eastAsia"/>
                      <w:bCs/>
                      <w:sz w:val="18"/>
                      <w:szCs w:val="18"/>
                    </w:rPr>
                    <w:t>SW</w:t>
                  </w:r>
                </w:p>
              </w:tc>
              <w:tc>
                <w:tcPr>
                  <w:tcW w:w="1174" w:type="dxa"/>
                  <w:vAlign w:val="center"/>
                </w:tcPr>
                <w:p>
                  <w:pPr>
                    <w:spacing w:line="300" w:lineRule="exact"/>
                    <w:jc w:val="center"/>
                    <w:rPr>
                      <w:bCs/>
                      <w:sz w:val="18"/>
                      <w:szCs w:val="18"/>
                    </w:rPr>
                  </w:pPr>
                  <w:r>
                    <w:rPr>
                      <w:rFonts w:hint="eastAsia"/>
                      <w:bCs/>
                      <w:sz w:val="18"/>
                      <w:szCs w:val="18"/>
                    </w:rPr>
                    <w:t>55m</w:t>
                  </w:r>
                </w:p>
              </w:tc>
              <w:tc>
                <w:tcPr>
                  <w:tcW w:w="1129" w:type="dxa"/>
                  <w:vAlign w:val="center"/>
                </w:tcPr>
                <w:p>
                  <w:pPr>
                    <w:spacing w:line="300" w:lineRule="exact"/>
                    <w:jc w:val="center"/>
                    <w:rPr>
                      <w:bCs/>
                      <w:sz w:val="18"/>
                      <w:szCs w:val="18"/>
                    </w:rPr>
                  </w:pPr>
                  <w:r>
                    <w:rPr>
                      <w:rFonts w:hint="eastAsia"/>
                      <w:bCs/>
                      <w:sz w:val="18"/>
                      <w:szCs w:val="18"/>
                    </w:rPr>
                    <w:t>1户</w:t>
                  </w:r>
                </w:p>
              </w:tc>
            </w:tr>
          </w:tbl>
          <w:p>
            <w:pPr>
              <w:spacing w:line="400" w:lineRule="exact"/>
              <w:ind w:firstLine="420" w:firstLineChars="200"/>
              <w:rPr>
                <w:bCs/>
                <w:szCs w:val="21"/>
              </w:rPr>
            </w:pPr>
            <w:r>
              <w:rPr>
                <w:rFonts w:hint="eastAsia"/>
                <w:bCs/>
                <w:szCs w:val="21"/>
              </w:rPr>
              <w:t>项目选址符合规划要求，无重大外环境制约因素，选址合理。</w:t>
            </w:r>
          </w:p>
          <w:p>
            <w:pPr>
              <w:pStyle w:val="2"/>
            </w:pPr>
          </w:p>
        </w:tc>
      </w:tr>
    </w:tbl>
    <w:p>
      <w:pPr>
        <w:pStyle w:val="14"/>
        <w:jc w:val="center"/>
        <w:rPr>
          <w:rFonts w:ascii="黑体" w:hAnsi="黑体" w:eastAsia="黑体"/>
          <w:snapToGrid w:val="0"/>
          <w:sz w:val="36"/>
          <w:szCs w:val="36"/>
        </w:rPr>
        <w:sectPr>
          <w:footerReference r:id="rId8" w:type="default"/>
          <w:pgSz w:w="11906" w:h="16838"/>
          <w:pgMar w:top="1701" w:right="1531" w:bottom="1701" w:left="1531" w:header="851" w:footer="1077" w:gutter="0"/>
          <w:pgNumType w:fmt="numberInDash"/>
          <w:cols w:space="425" w:num="1"/>
          <w:docGrid w:linePitch="312" w:charSpace="0"/>
        </w:sectPr>
      </w:pPr>
    </w:p>
    <w:p>
      <w:pPr>
        <w:pStyle w:val="14"/>
        <w:adjustRightInd w:val="0"/>
        <w:snapToGrid w:val="0"/>
        <w:spacing w:before="0" w:beforeAutospacing="0" w:after="0" w:afterAutospacing="0" w:line="14" w:lineRule="auto"/>
        <w:jc w:val="center"/>
        <w:rPr>
          <w:rFonts w:ascii="黑体" w:hAnsi="黑体" w:eastAsia="黑体"/>
          <w:snapToGrid w:val="0"/>
          <w:sz w:val="30"/>
          <w:szCs w:val="30"/>
        </w:rPr>
      </w:pPr>
    </w:p>
    <w:p>
      <w:pPr>
        <w:pStyle w:val="14"/>
        <w:jc w:val="center"/>
        <w:outlineLvl w:val="0"/>
        <w:rPr>
          <w:rFonts w:ascii="黑体" w:hAnsi="黑体" w:eastAsia="黑体"/>
          <w:snapToGrid w:val="0"/>
          <w:sz w:val="30"/>
          <w:szCs w:val="30"/>
        </w:rPr>
      </w:pPr>
      <w:r>
        <w:rPr>
          <w:rFonts w:hint="eastAsia" w:ascii="黑体" w:hAnsi="黑体" w:eastAsia="黑体"/>
          <w:snapToGrid w:val="0"/>
          <w:sz w:val="30"/>
          <w:szCs w:val="30"/>
        </w:rPr>
        <w:t>五、主要生态环境保护措施</w:t>
      </w:r>
    </w:p>
    <w:tbl>
      <w:tblPr>
        <w:tblStyle w:val="17"/>
        <w:tblW w:w="88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5"/>
        <w:gridCol w:w="80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755" w:type="dxa"/>
            <w:tcMar>
              <w:left w:w="28" w:type="dxa"/>
              <w:right w:w="28" w:type="dxa"/>
            </w:tcMar>
            <w:vAlign w:val="center"/>
          </w:tcPr>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r>
              <w:rPr>
                <w:rFonts w:hint="eastAsia" w:ascii="宋体" w:hAnsi="宋体" w:cs="宋体"/>
                <w:bCs/>
                <w:spacing w:val="10"/>
                <w:szCs w:val="21"/>
              </w:rPr>
              <w:t>施工期生态环境保护措施</w:t>
            </w: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r>
              <w:rPr>
                <w:rFonts w:hint="eastAsia" w:ascii="宋体" w:hAnsi="宋体" w:cs="宋体"/>
                <w:bCs/>
                <w:spacing w:val="10"/>
                <w:szCs w:val="21"/>
              </w:rPr>
              <w:t>施工期生态环境保护措施</w:t>
            </w: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tc>
        <w:tc>
          <w:tcPr>
            <w:tcW w:w="8080" w:type="dxa"/>
          </w:tcPr>
          <w:p>
            <w:pPr>
              <w:autoSpaceDE w:val="0"/>
              <w:autoSpaceDN w:val="0"/>
              <w:adjustRightInd w:val="0"/>
              <w:spacing w:line="400" w:lineRule="exact"/>
              <w:rPr>
                <w:b/>
                <w:kern w:val="0"/>
              </w:rPr>
            </w:pPr>
            <w:r>
              <w:rPr>
                <w:rFonts w:hint="eastAsia"/>
                <w:b/>
                <w:kern w:val="0"/>
              </w:rPr>
              <w:t>1、生态环境</w:t>
            </w:r>
          </w:p>
          <w:p>
            <w:pPr>
              <w:autoSpaceDE w:val="0"/>
              <w:autoSpaceDN w:val="0"/>
              <w:adjustRightInd w:val="0"/>
              <w:spacing w:line="400" w:lineRule="exact"/>
              <w:ind w:firstLine="420" w:firstLineChars="200"/>
              <w:rPr>
                <w:kern w:val="0"/>
              </w:rPr>
            </w:pPr>
            <w:r>
              <w:rPr>
                <w:rFonts w:hint="eastAsia"/>
                <w:kern w:val="0"/>
              </w:rPr>
              <w:t>根据本项目建设的特点，提出以下生态环境保护的措施：</w:t>
            </w:r>
          </w:p>
          <w:p>
            <w:pPr>
              <w:autoSpaceDE w:val="0"/>
              <w:autoSpaceDN w:val="0"/>
              <w:adjustRightInd w:val="0"/>
              <w:spacing w:line="400" w:lineRule="exact"/>
              <w:ind w:firstLine="420" w:firstLineChars="200"/>
              <w:rPr>
                <w:kern w:val="0"/>
              </w:rPr>
            </w:pPr>
            <w:r>
              <w:rPr>
                <w:rFonts w:hint="eastAsia"/>
                <w:kern w:val="0"/>
              </w:rPr>
              <w:t>①减小工程施工对环境的影响程度，缩小影响范围。管线路由选择避开居民住房等环境敏感点。同时，尽量缩小施工作业带宽度和临时占地面积，减少对土壤和植被的破坏。在通过农业区时，管道保持足够埋深，不影响耕作。</w:t>
            </w:r>
          </w:p>
          <w:p>
            <w:pPr>
              <w:autoSpaceDE w:val="0"/>
              <w:autoSpaceDN w:val="0"/>
              <w:adjustRightInd w:val="0"/>
              <w:spacing w:line="400" w:lineRule="exact"/>
              <w:ind w:firstLine="420" w:firstLineChars="200"/>
              <w:rPr>
                <w:kern w:val="0"/>
              </w:rPr>
            </w:pPr>
            <w:r>
              <w:rPr>
                <w:rFonts w:hint="eastAsia"/>
                <w:kern w:val="0"/>
              </w:rPr>
              <w:t>②尽可能恢复沿线地貌和植被，管沟开挖尽量按原有土壤层次堆放和回填并恢复原地貌，以保护农田土层结构和肥力。</w:t>
            </w:r>
          </w:p>
          <w:p>
            <w:pPr>
              <w:autoSpaceDE w:val="0"/>
              <w:autoSpaceDN w:val="0"/>
              <w:adjustRightInd w:val="0"/>
              <w:spacing w:line="400" w:lineRule="exact"/>
              <w:ind w:firstLine="420" w:firstLineChars="200"/>
              <w:rPr>
                <w:kern w:val="0"/>
              </w:rPr>
            </w:pPr>
            <w:r>
              <w:rPr>
                <w:rFonts w:hint="eastAsia"/>
                <w:kern w:val="0"/>
              </w:rPr>
              <w:t>③强化水土保持，减少水土流失。管道经过深沟、陡坎地段，做好护坡、堡坎和排水设施。管道在穿越或平行靠近河流、冲沟时，根据地形、水流和岩性条件设置护岸堡坎等。</w:t>
            </w:r>
          </w:p>
          <w:p>
            <w:pPr>
              <w:autoSpaceDE w:val="0"/>
              <w:autoSpaceDN w:val="0"/>
              <w:adjustRightInd w:val="0"/>
              <w:spacing w:line="400" w:lineRule="exact"/>
              <w:ind w:firstLine="420" w:firstLineChars="200"/>
              <w:rPr>
                <w:kern w:val="0"/>
              </w:rPr>
            </w:pPr>
            <w:r>
              <w:rPr>
                <w:rFonts w:hint="eastAsia"/>
                <w:kern w:val="0"/>
              </w:rPr>
              <w:t>④管道穿越沟渠时，选择枯水季期施工，将回填所需的土石方临时堆放在河道外，多余土石直接用于护岸固堤。同时采取相应的防护措施，防止土石方落入河流。对施工物料加强管理，对施工弃渣和施工人员的生活垃圾妥善处理，防止受雨水冲刷进入附近水体，对水域造成影响。</w:t>
            </w:r>
          </w:p>
          <w:p>
            <w:pPr>
              <w:autoSpaceDE w:val="0"/>
              <w:autoSpaceDN w:val="0"/>
              <w:adjustRightInd w:val="0"/>
              <w:spacing w:line="400" w:lineRule="exact"/>
              <w:ind w:firstLine="420" w:firstLineChars="200"/>
              <w:rPr>
                <w:kern w:val="0"/>
              </w:rPr>
            </w:pPr>
            <w:r>
              <w:rPr>
                <w:rFonts w:hint="eastAsia"/>
                <w:kern w:val="0"/>
              </w:rPr>
              <w:t>⑤试压废水经收集沉淀后外排，试压废水收集沉淀后的底泥用于修筑护岸护坡等水工保护设施。</w:t>
            </w:r>
          </w:p>
          <w:p>
            <w:pPr>
              <w:autoSpaceDE w:val="0"/>
              <w:autoSpaceDN w:val="0"/>
              <w:adjustRightInd w:val="0"/>
              <w:spacing w:line="400" w:lineRule="exact"/>
              <w:ind w:firstLine="420" w:firstLineChars="200"/>
              <w:rPr>
                <w:kern w:val="0"/>
              </w:rPr>
            </w:pPr>
            <w:r>
              <w:rPr>
                <w:rFonts w:hint="eastAsia"/>
                <w:kern w:val="0"/>
              </w:rPr>
              <w:t>⑥施工中严格执行HSE管理，控制人员、车辆行动，减少占地和对环境的破坏。</w:t>
            </w:r>
          </w:p>
          <w:p>
            <w:pPr>
              <w:autoSpaceDE w:val="0"/>
              <w:autoSpaceDN w:val="0"/>
              <w:adjustRightInd w:val="0"/>
              <w:spacing w:line="400" w:lineRule="exact"/>
              <w:ind w:firstLine="420" w:firstLineChars="200"/>
              <w:rPr>
                <w:kern w:val="0"/>
              </w:rPr>
            </w:pPr>
            <w:r>
              <w:rPr>
                <w:rFonts w:hint="eastAsia"/>
                <w:kern w:val="0"/>
              </w:rPr>
              <w:t>⑦施工中采用分层开挖、分层回填措施，进行土壤恢复。主要措施可采用经费补偿，增施农家肥措施。对于管道穿越的耕地，管线敷设后，土方回填不仅要遵循设计规范要求，还要遵循下石上土下粗上细、肥沃的在上贫瘠的在下的原则，回填整地后管线两侧5米内栽植根系不发达、生长性强的植被，施工完毕后，进行土方回填和场地平整，退地还田。</w:t>
            </w:r>
          </w:p>
          <w:p>
            <w:pPr>
              <w:autoSpaceDE w:val="0"/>
              <w:autoSpaceDN w:val="0"/>
              <w:adjustRightInd w:val="0"/>
              <w:spacing w:line="400" w:lineRule="exact"/>
              <w:rPr>
                <w:kern w:val="0"/>
              </w:rPr>
            </w:pPr>
            <w:r>
              <w:rPr>
                <w:rFonts w:hint="eastAsia"/>
                <w:kern w:val="0"/>
              </w:rPr>
              <w:t>经过实施以上措施，可有效减缓环境影响，提高管道安全性能，施工期对生态环境影响较小。</w:t>
            </w:r>
          </w:p>
          <w:p>
            <w:pPr>
              <w:autoSpaceDE w:val="0"/>
              <w:autoSpaceDN w:val="0"/>
              <w:adjustRightInd w:val="0"/>
              <w:spacing w:line="400" w:lineRule="exact"/>
              <w:rPr>
                <w:rFonts w:asciiTheme="minorEastAsia" w:hAnsiTheme="minorEastAsia" w:eastAsiaTheme="minorEastAsia"/>
                <w:b/>
                <w:bCs/>
                <w:szCs w:val="28"/>
                <w:lang w:val="zh-CN"/>
              </w:rPr>
            </w:pPr>
            <w:r>
              <w:rPr>
                <w:rFonts w:hint="eastAsia" w:asciiTheme="minorEastAsia" w:hAnsiTheme="minorEastAsia" w:eastAsiaTheme="minorEastAsia"/>
                <w:b/>
                <w:bCs/>
                <w:szCs w:val="28"/>
                <w:lang w:val="zh-CN"/>
              </w:rPr>
              <w:t>2</w:t>
            </w:r>
            <w:r>
              <w:rPr>
                <w:rFonts w:asciiTheme="minorEastAsia" w:hAnsiTheme="minorEastAsia" w:eastAsiaTheme="minorEastAsia"/>
                <w:b/>
                <w:bCs/>
                <w:szCs w:val="28"/>
                <w:lang w:val="zh-CN"/>
              </w:rPr>
              <w:t>、施工废气</w:t>
            </w:r>
          </w:p>
          <w:p>
            <w:pPr>
              <w:autoSpaceDE w:val="0"/>
              <w:autoSpaceDN w:val="0"/>
              <w:adjustRightInd w:val="0"/>
              <w:spacing w:line="400" w:lineRule="exact"/>
              <w:ind w:firstLine="420" w:firstLineChars="200"/>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项目施工废气主要是管沟开挖产生的扬尘、运输材料车辆以及管道组合过程中产生的废气。</w:t>
            </w:r>
          </w:p>
          <w:p>
            <w:pPr>
              <w:autoSpaceDE w:val="0"/>
              <w:autoSpaceDN w:val="0"/>
              <w:adjustRightInd w:val="0"/>
              <w:spacing w:line="400" w:lineRule="exact"/>
              <w:ind w:firstLine="420" w:firstLineChars="200"/>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(1)施工扬尘</w:t>
            </w:r>
          </w:p>
          <w:p>
            <w:pPr>
              <w:autoSpaceDE w:val="0"/>
              <w:autoSpaceDN w:val="0"/>
              <w:adjustRightInd w:val="0"/>
              <w:spacing w:line="400" w:lineRule="exact"/>
              <w:ind w:firstLine="420" w:firstLineChars="200"/>
              <w:rPr>
                <w:rFonts w:eastAsiaTheme="minorEastAsia"/>
                <w:bCs/>
                <w:szCs w:val="28"/>
                <w:lang w:val="zh-CN"/>
              </w:rPr>
            </w:pPr>
            <w:r>
              <w:rPr>
                <w:rFonts w:hint="eastAsia" w:eastAsiaTheme="minorEastAsia"/>
                <w:bCs/>
                <w:szCs w:val="28"/>
                <w:lang w:val="zh-CN"/>
              </w:rPr>
              <w:t>根据类似工程施工现场实际调查资料,项目施工现场下风向 50m 处浓度为8.90mg/m</w:t>
            </w:r>
            <w:r>
              <w:rPr>
                <w:rFonts w:hint="eastAsia" w:eastAsiaTheme="minorEastAsia"/>
                <w:bCs/>
                <w:szCs w:val="28"/>
                <w:vertAlign w:val="superscript"/>
                <w:lang w:val="zh-CN"/>
              </w:rPr>
              <w:t>3</w:t>
            </w:r>
            <w:r>
              <w:rPr>
                <w:rFonts w:hint="eastAsia" w:eastAsiaTheme="minorEastAsia"/>
                <w:bCs/>
                <w:szCs w:val="28"/>
                <w:lang w:val="zh-CN"/>
              </w:rPr>
              <w:t>；下风向 100m 处浓度为 1.65mg/m</w:t>
            </w:r>
            <w:r>
              <w:rPr>
                <w:rFonts w:hint="eastAsia" w:eastAsiaTheme="minorEastAsia"/>
                <w:bCs/>
                <w:szCs w:val="28"/>
                <w:vertAlign w:val="superscript"/>
                <w:lang w:val="zh-CN"/>
              </w:rPr>
              <w:t>3</w:t>
            </w:r>
            <w:r>
              <w:rPr>
                <w:rFonts w:hint="eastAsia" w:eastAsiaTheme="minorEastAsia"/>
                <w:bCs/>
                <w:szCs w:val="28"/>
                <w:lang w:val="zh-CN"/>
              </w:rPr>
              <w:t>；下风向 150m 处符合《环境空气质量标准》(GB3095-2012) 中TSP 二级标准日均值 0.3g/m</w:t>
            </w:r>
            <w:r>
              <w:rPr>
                <w:rFonts w:hint="eastAsia" w:eastAsiaTheme="minorEastAsia"/>
                <w:bCs/>
                <w:szCs w:val="28"/>
                <w:vertAlign w:val="superscript"/>
                <w:lang w:val="zh-CN"/>
              </w:rPr>
              <w:t>3</w:t>
            </w:r>
            <w:r>
              <w:rPr>
                <w:rFonts w:hint="eastAsia" w:eastAsiaTheme="minorEastAsia"/>
                <w:bCs/>
                <w:szCs w:val="28"/>
                <w:lang w:val="zh-CN"/>
              </w:rPr>
              <w:t>。其它作业环节产生的 TSP污染影响可控制在施工现场 50~150m 范围内，在此范围以外可满足《环境空气质量标准》 (GB3095-2012)中 TSP二级标准限值日均值。</w:t>
            </w:r>
          </w:p>
          <w:p>
            <w:pPr>
              <w:autoSpaceDE w:val="0"/>
              <w:autoSpaceDN w:val="0"/>
              <w:adjustRightInd w:val="0"/>
              <w:spacing w:line="400" w:lineRule="exact"/>
              <w:ind w:firstLine="422" w:firstLineChars="200"/>
              <w:rPr>
                <w:rFonts w:asciiTheme="minorEastAsia" w:hAnsiTheme="minorEastAsia" w:eastAsiaTheme="minorEastAsia"/>
                <w:bCs/>
                <w:szCs w:val="28"/>
              </w:rPr>
            </w:pPr>
            <w:r>
              <w:rPr>
                <w:rFonts w:hint="eastAsia" w:asciiTheme="minorEastAsia" w:hAnsiTheme="minorEastAsia" w:eastAsiaTheme="minorEastAsia"/>
                <w:b/>
                <w:bCs/>
                <w:szCs w:val="28"/>
                <w:lang w:val="zh-CN"/>
              </w:rPr>
              <w:t>治理措施:</w:t>
            </w:r>
            <w:r>
              <w:rPr>
                <w:rFonts w:hint="eastAsia" w:asciiTheme="minorEastAsia" w:hAnsiTheme="minorEastAsia" w:eastAsiaTheme="minorEastAsia"/>
                <w:bCs/>
                <w:szCs w:val="28"/>
              </w:rPr>
              <w:t>相比其它施工废气而言，施工扬尘是造成周围大气环境污染最严重的。</w:t>
            </w:r>
            <w:r>
              <w:rPr>
                <w:rFonts w:hint="eastAsia" w:asciiTheme="minorEastAsia" w:hAnsiTheme="minorEastAsia" w:eastAsiaTheme="minorEastAsia"/>
                <w:bCs/>
                <w:szCs w:val="28"/>
                <w:lang w:val="zh-CN"/>
              </w:rPr>
              <w:t>项目在施工建设中应严格按照《关于印发四川省大气污染防治行动计划实施细则2017年度实施计划的通知》 (川办函 〔2017〕102号)、《&lt;达州市环境污染防治“三大战役”实施方案&gt;责任分工方案》、《关于印发达州市大气污染防治行动实施方案2017年度实施计划的通知》等相关扬尘防治管理规定进行施工建设，最大程度减少大气污染物产生的环境污染。</w:t>
            </w:r>
            <w:r>
              <w:rPr>
                <w:rFonts w:hint="eastAsia" w:asciiTheme="minorEastAsia" w:hAnsiTheme="minorEastAsia" w:eastAsiaTheme="minorEastAsia"/>
                <w:bCs/>
                <w:szCs w:val="28"/>
              </w:rPr>
              <w:t>根据设计资料，为减少施工中扬尘的产生量，拟采取如下措施：</w:t>
            </w:r>
          </w:p>
          <w:p>
            <w:pPr>
              <w:autoSpaceDE w:val="0"/>
              <w:autoSpaceDN w:val="0"/>
              <w:adjustRightInd w:val="0"/>
              <w:spacing w:line="400" w:lineRule="exact"/>
              <w:ind w:firstLine="420" w:firstLineChars="200"/>
              <w:rPr>
                <w:rFonts w:asciiTheme="minorEastAsia" w:hAnsiTheme="minorEastAsia" w:eastAsiaTheme="minorEastAsia"/>
                <w:bCs/>
                <w:szCs w:val="28"/>
              </w:rPr>
            </w:pPr>
            <w:r>
              <w:rPr>
                <w:rFonts w:hint="eastAsia" w:asciiTheme="minorEastAsia" w:hAnsiTheme="minorEastAsia" w:eastAsiaTheme="minorEastAsia"/>
                <w:bCs/>
                <w:szCs w:val="28"/>
              </w:rPr>
              <w:t>①开挖施工过程中产生的扬尘，采用洒水车定期对作业面和土堆洒水，使其保持一定湿度，降低施工期的粉尘散发量。</w:t>
            </w:r>
          </w:p>
          <w:p>
            <w:pPr>
              <w:autoSpaceDE w:val="0"/>
              <w:autoSpaceDN w:val="0"/>
              <w:adjustRightInd w:val="0"/>
              <w:spacing w:line="400" w:lineRule="exact"/>
              <w:ind w:firstLine="420" w:firstLineChars="200"/>
              <w:rPr>
                <w:rFonts w:asciiTheme="minorEastAsia" w:hAnsiTheme="minorEastAsia" w:eastAsiaTheme="minorEastAsia"/>
                <w:bCs/>
                <w:szCs w:val="28"/>
              </w:rPr>
            </w:pPr>
            <w:r>
              <w:rPr>
                <w:rFonts w:hint="eastAsia" w:asciiTheme="minorEastAsia" w:hAnsiTheme="minorEastAsia" w:eastAsiaTheme="minorEastAsia"/>
                <w:bCs/>
                <w:szCs w:val="28"/>
              </w:rPr>
              <w:t>②在施工现场进行合理化管理，统一堆放材料，设置专门库房堆放水泥，尽量减少搬运环节，搬运时轻举轻放，防止包装袋破裂，施工散料运输车辆应采用加盖篷布和湿法相结合的方式，减少扬尘对大气的污染，物料堆放时加盖篷布。</w:t>
            </w:r>
          </w:p>
          <w:p>
            <w:pPr>
              <w:autoSpaceDE w:val="0"/>
              <w:autoSpaceDN w:val="0"/>
              <w:adjustRightInd w:val="0"/>
              <w:spacing w:line="400" w:lineRule="exact"/>
              <w:ind w:firstLine="420" w:firstLineChars="200"/>
              <w:rPr>
                <w:rFonts w:asciiTheme="minorEastAsia" w:hAnsiTheme="minorEastAsia" w:eastAsiaTheme="minorEastAsia"/>
                <w:bCs/>
                <w:szCs w:val="28"/>
              </w:rPr>
            </w:pPr>
            <w:r>
              <w:rPr>
                <w:rFonts w:hint="eastAsia" w:asciiTheme="minorEastAsia" w:hAnsiTheme="minorEastAsia" w:eastAsiaTheme="minorEastAsia"/>
                <w:bCs/>
                <w:szCs w:val="28"/>
              </w:rPr>
              <w:t>③当风速过大时，应停止施工作业，并对堆存的砂粉等建筑材料采取遮盖措施。</w:t>
            </w:r>
          </w:p>
          <w:p>
            <w:pPr>
              <w:autoSpaceDE w:val="0"/>
              <w:autoSpaceDN w:val="0"/>
              <w:adjustRightInd w:val="0"/>
              <w:spacing w:line="400" w:lineRule="exact"/>
              <w:ind w:firstLine="420" w:firstLineChars="200"/>
              <w:rPr>
                <w:rFonts w:asciiTheme="minorEastAsia" w:hAnsiTheme="minorEastAsia" w:eastAsiaTheme="minorEastAsia"/>
                <w:bCs/>
                <w:szCs w:val="28"/>
              </w:rPr>
            </w:pPr>
            <w:r>
              <w:rPr>
                <w:rFonts w:hint="eastAsia" w:asciiTheme="minorEastAsia" w:hAnsiTheme="minorEastAsia" w:eastAsiaTheme="minorEastAsia"/>
                <w:bCs/>
                <w:szCs w:val="28"/>
              </w:rPr>
              <w:t>④保持运输车辆完好，不过满装载，尽量采取遮盖、密闭措施，减少沿程抛洒，及时清扫散落在路面上的泥土和建筑材料，冲洗轮胎，定时洒水压尘，减少运输过程中的扬尘。同时，在经过住户、学校附近时，应减速慢行，尽量减少粉尘对敏感点的影响。</w:t>
            </w:r>
          </w:p>
          <w:p>
            <w:pPr>
              <w:autoSpaceDE w:val="0"/>
              <w:autoSpaceDN w:val="0"/>
              <w:adjustRightInd w:val="0"/>
              <w:spacing w:line="400" w:lineRule="exact"/>
              <w:ind w:firstLine="420" w:firstLineChars="200"/>
              <w:rPr>
                <w:rFonts w:asciiTheme="minorEastAsia" w:hAnsiTheme="minorEastAsia" w:eastAsiaTheme="minorEastAsia"/>
                <w:bCs/>
                <w:szCs w:val="28"/>
              </w:rPr>
            </w:pPr>
            <w:r>
              <w:rPr>
                <w:rFonts w:hint="eastAsia" w:asciiTheme="minorEastAsia" w:hAnsiTheme="minorEastAsia" w:eastAsiaTheme="minorEastAsia"/>
                <w:bCs/>
                <w:szCs w:val="28"/>
              </w:rPr>
              <w:t>⑤堆积于管沟两侧的临时堆土表面应覆盖毡土，防止尘土飞扬；同时在风力大于4级时停止土方开挖和回填等作业。</w:t>
            </w:r>
          </w:p>
          <w:p>
            <w:pPr>
              <w:autoSpaceDE w:val="0"/>
              <w:autoSpaceDN w:val="0"/>
              <w:adjustRightInd w:val="0"/>
              <w:spacing w:line="400" w:lineRule="exact"/>
              <w:ind w:firstLine="420" w:firstLineChars="200"/>
              <w:rPr>
                <w:rFonts w:asciiTheme="minorEastAsia" w:hAnsiTheme="minorEastAsia" w:eastAsiaTheme="minorEastAsia"/>
                <w:bCs/>
                <w:szCs w:val="28"/>
                <w:lang w:val="zh-CN"/>
              </w:rPr>
            </w:pPr>
            <w:r>
              <w:rPr>
                <w:rFonts w:hint="eastAsia" w:asciiTheme="minorEastAsia" w:hAnsiTheme="minorEastAsia" w:eastAsiaTheme="minorEastAsia"/>
                <w:bCs/>
                <w:szCs w:val="28"/>
              </w:rPr>
              <w:t>⑥根据达州市住房和城乡建设局《关于印发〈施工扬尘污染防治管理办法（试行）〉的通知》（达市住建发〔2018〕331号）的规定：招标文件中应明确扬尘污染防治目标要求，建设工程施工合同中应明确施工单位扬尘防治职责，并与施工单位签订扬尘防治责任书；应建设工程施工现场扬尘污染防治费用列入工程概预算、招标文件工程量清单和施工合同，实行专款专用。</w:t>
            </w:r>
            <w:r>
              <w:rPr>
                <w:rFonts w:hint="eastAsia" w:eastAsiaTheme="minorEastAsia"/>
                <w:bCs/>
                <w:szCs w:val="28"/>
              </w:rPr>
              <w:t>施工扬尘量随管理手段的提高而降低，如果管理措施得当，扬尘量降低70~80％，大大减少对环境的影响。本工程在施工过程中，在落实</w:t>
            </w:r>
            <w:r>
              <w:rPr>
                <w:rFonts w:hint="eastAsia" w:asciiTheme="minorEastAsia" w:hAnsiTheme="minorEastAsia" w:eastAsiaTheme="minorEastAsia"/>
                <w:bCs/>
                <w:szCs w:val="28"/>
              </w:rPr>
              <w:t>以上措施的同时，应注意加强对施工队伍的管理，如建立施工规章制度等。</w:t>
            </w:r>
          </w:p>
          <w:p>
            <w:pPr>
              <w:autoSpaceDE w:val="0"/>
              <w:autoSpaceDN w:val="0"/>
              <w:adjustRightInd w:val="0"/>
              <w:spacing w:line="400" w:lineRule="exact"/>
              <w:ind w:firstLine="420" w:firstLineChars="200"/>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(2)道路扬尘</w:t>
            </w:r>
          </w:p>
          <w:p>
            <w:pPr>
              <w:autoSpaceDE w:val="0"/>
              <w:autoSpaceDN w:val="0"/>
              <w:adjustRightInd w:val="0"/>
              <w:spacing w:line="400" w:lineRule="exact"/>
              <w:ind w:firstLine="420" w:firstLineChars="200"/>
              <w:rPr>
                <w:rFonts w:eastAsiaTheme="minorEastAsia"/>
                <w:bCs/>
                <w:szCs w:val="28"/>
                <w:lang w:val="zh-CN"/>
              </w:rPr>
            </w:pPr>
            <w:r>
              <w:rPr>
                <w:rFonts w:hint="eastAsia" w:eastAsiaTheme="minorEastAsia"/>
                <w:bCs/>
                <w:szCs w:val="28"/>
                <w:lang w:val="zh-CN"/>
              </w:rPr>
              <w:t>运输物料和土石方的运输车辆在行驶过程中将产生道路扬尘，造成二次扬尘污染。根据类似工程施工现场车辆运输引起的扬尘现场监测结果，土石方运输车辆下风向50m处浓度为11.63mg/m</w:t>
            </w:r>
            <w:r>
              <w:rPr>
                <w:rFonts w:hint="eastAsia" w:eastAsiaTheme="minorEastAsia"/>
                <w:bCs/>
                <w:szCs w:val="28"/>
                <w:vertAlign w:val="superscript"/>
                <w:lang w:val="zh-CN"/>
              </w:rPr>
              <w:t>3</w:t>
            </w:r>
            <w:r>
              <w:rPr>
                <w:rFonts w:hint="eastAsia" w:eastAsiaTheme="minorEastAsia"/>
                <w:bCs/>
                <w:szCs w:val="28"/>
                <w:lang w:val="zh-CN"/>
              </w:rPr>
              <w:t>;下风向100m 处为9.70mg/m</w:t>
            </w:r>
            <w:r>
              <w:rPr>
                <w:rFonts w:hint="eastAsia" w:eastAsiaTheme="minorEastAsia"/>
                <w:bCs/>
                <w:szCs w:val="28"/>
                <w:vertAlign w:val="superscript"/>
                <w:lang w:val="zh-CN"/>
              </w:rPr>
              <w:t>3</w:t>
            </w:r>
            <w:r>
              <w:rPr>
                <w:rFonts w:hint="eastAsia" w:eastAsiaTheme="minorEastAsia"/>
                <w:bCs/>
                <w:szCs w:val="28"/>
                <w:lang w:val="zh-CN"/>
              </w:rPr>
              <w:t>;下风向 150m 处浓度为5.1mg/m</w:t>
            </w:r>
            <w:r>
              <w:rPr>
                <w:rFonts w:hint="eastAsia" w:eastAsiaTheme="minorEastAsia"/>
                <w:bCs/>
                <w:szCs w:val="28"/>
                <w:vertAlign w:val="superscript"/>
                <w:lang w:val="zh-CN"/>
              </w:rPr>
              <w:t>3</w:t>
            </w:r>
            <w:r>
              <w:rPr>
                <w:rFonts w:hint="eastAsia" w:eastAsiaTheme="minorEastAsia"/>
                <w:bCs/>
                <w:szCs w:val="28"/>
                <w:lang w:val="zh-CN"/>
              </w:rPr>
              <w:t>,超过《环境空气质量标准》(GB3095-2012)中 TSP 二级标准限值日均值，运输车辆行驶产生的扬尘污染较严重。</w:t>
            </w:r>
          </w:p>
          <w:p>
            <w:pPr>
              <w:autoSpaceDE w:val="0"/>
              <w:autoSpaceDN w:val="0"/>
              <w:adjustRightInd w:val="0"/>
              <w:spacing w:line="400" w:lineRule="exact"/>
              <w:ind w:firstLine="420" w:firstLineChars="200"/>
              <w:rPr>
                <w:rFonts w:eastAsiaTheme="minorEastAsia"/>
                <w:bCs/>
                <w:szCs w:val="28"/>
                <w:lang w:val="zh-CN"/>
              </w:rPr>
            </w:pPr>
            <w:r>
              <w:rPr>
                <w:rFonts w:hint="eastAsia" w:eastAsiaTheme="minorEastAsia"/>
                <w:bCs/>
                <w:szCs w:val="28"/>
                <w:lang w:val="zh-CN"/>
              </w:rPr>
              <w:t>道路扬尘的治理纳入施工扬尘治理方案中，比如设置冲洗平台、洒水抑尘等。</w:t>
            </w:r>
          </w:p>
          <w:p>
            <w:pPr>
              <w:autoSpaceDE w:val="0"/>
              <w:autoSpaceDN w:val="0"/>
              <w:adjustRightInd w:val="0"/>
              <w:spacing w:line="400" w:lineRule="exact"/>
              <w:ind w:firstLine="420" w:firstLineChars="200"/>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(3)焊接烟尘</w:t>
            </w:r>
          </w:p>
          <w:p>
            <w:pPr>
              <w:autoSpaceDE w:val="0"/>
              <w:autoSpaceDN w:val="0"/>
              <w:adjustRightInd w:val="0"/>
              <w:spacing w:line="400" w:lineRule="exact"/>
              <w:ind w:firstLine="420" w:firstLineChars="200"/>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项目焊接时产生焊接烟尘，无组织排放。管道焊接过程中会产生少量焊接烟气，焊接工艺在开阔空间完成，焊接时间短，同时使用优质环保焊条，废气排放量小且间断性排放，对环境空气的影响有限。</w:t>
            </w:r>
          </w:p>
          <w:p>
            <w:pPr>
              <w:autoSpaceDE w:val="0"/>
              <w:autoSpaceDN w:val="0"/>
              <w:adjustRightInd w:val="0"/>
              <w:spacing w:line="400" w:lineRule="exact"/>
              <w:ind w:firstLine="420" w:firstLineChars="200"/>
              <w:rPr>
                <w:rFonts w:eastAsiaTheme="minorEastAsia"/>
                <w:bCs/>
                <w:szCs w:val="28"/>
                <w:lang w:val="zh-CN"/>
              </w:rPr>
            </w:pPr>
            <w:r>
              <w:rPr>
                <w:rFonts w:hint="eastAsia" w:eastAsiaTheme="minorEastAsia"/>
                <w:bCs/>
                <w:szCs w:val="28"/>
                <w:lang w:val="zh-CN"/>
              </w:rPr>
              <w:t>(4)车辆及施工机械尾气</w:t>
            </w:r>
          </w:p>
          <w:p>
            <w:pPr>
              <w:autoSpaceDE w:val="0"/>
              <w:autoSpaceDN w:val="0"/>
              <w:adjustRightInd w:val="0"/>
              <w:spacing w:line="400" w:lineRule="exact"/>
              <w:ind w:firstLine="420" w:firstLineChars="200"/>
              <w:rPr>
                <w:rFonts w:asciiTheme="minorEastAsia" w:hAnsiTheme="minorEastAsia" w:eastAsiaTheme="minorEastAsia"/>
                <w:bCs/>
                <w:szCs w:val="28"/>
              </w:rPr>
            </w:pPr>
            <w:r>
              <w:rPr>
                <w:rFonts w:hint="eastAsia" w:eastAsiaTheme="minorEastAsia"/>
                <w:bCs/>
                <w:szCs w:val="28"/>
                <w:lang w:val="zh-CN"/>
              </w:rPr>
              <w:t>在施工现场所用的设备和车辆中，主要以柴油、汽油为动力，运输车辆和施工机械运行过程中排放的燃油尾气，其主要污染物有 CO、NO、THC 以及少量烟尘等。施工机械设备和车辆排放的燃油尾气会导致施工区域环境空气质量下降。</w:t>
            </w:r>
          </w:p>
          <w:p>
            <w:pPr>
              <w:autoSpaceDE w:val="0"/>
              <w:autoSpaceDN w:val="0"/>
              <w:adjustRightInd w:val="0"/>
              <w:spacing w:line="400" w:lineRule="exact"/>
              <w:ind w:firstLine="422" w:firstLineChars="200"/>
              <w:rPr>
                <w:rFonts w:asciiTheme="minorEastAsia" w:hAnsiTheme="minorEastAsia" w:eastAsiaTheme="minorEastAsia"/>
                <w:bCs/>
                <w:szCs w:val="28"/>
              </w:rPr>
            </w:pPr>
            <w:r>
              <w:rPr>
                <w:rFonts w:hint="eastAsia" w:asciiTheme="minorEastAsia" w:hAnsiTheme="minorEastAsia" w:eastAsiaTheme="minorEastAsia"/>
                <w:b/>
                <w:bCs/>
                <w:szCs w:val="28"/>
              </w:rPr>
              <w:t>治理措施：</w:t>
            </w:r>
            <w:r>
              <w:rPr>
                <w:rFonts w:hint="eastAsia" w:asciiTheme="minorEastAsia" w:hAnsiTheme="minorEastAsia" w:eastAsiaTheme="minorEastAsia"/>
                <w:bCs/>
                <w:szCs w:val="28"/>
              </w:rPr>
              <w:t>对于施工机械（柴油机）排放的尾气，污染源本身排放量较小，并具有间歇性和短期性，施工过程中应加强大型施工机械和车辆管理，工程承包商的机械设备应配备相应的消烟除尘设备；定期检查、维修，确保施工机械和车辆各项环保指标符合尾气排放要求；应采用优质、污染小的燃油，因此不会对周围环境造成很大的污染。</w:t>
            </w:r>
          </w:p>
          <w:p>
            <w:pPr>
              <w:autoSpaceDE w:val="0"/>
              <w:autoSpaceDN w:val="0"/>
              <w:adjustRightInd w:val="0"/>
              <w:spacing w:line="400" w:lineRule="exact"/>
              <w:ind w:firstLine="420" w:firstLineChars="200"/>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(5)有气废气</w:t>
            </w:r>
          </w:p>
          <w:p>
            <w:pPr>
              <w:autoSpaceDE w:val="0"/>
              <w:autoSpaceDN w:val="0"/>
              <w:adjustRightInd w:val="0"/>
              <w:spacing w:line="400" w:lineRule="exact"/>
              <w:ind w:firstLine="420" w:firstLineChars="200"/>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本项目地面管道和设备外防腐彻底除锈后，先在焊缝处刷两道防锈底漆，再全面刷两层环氧富锌底漆和两层中黄色脂肪簇聚氨酷面漆，产生少量有机废气(含 VOCs、苯系物)。本项目刷漆量较少，产污量小，施工场地较开阔扩散条件良好，不会对大气环境造成较大影响。</w:t>
            </w:r>
          </w:p>
          <w:p>
            <w:pPr>
              <w:autoSpaceDE w:val="0"/>
              <w:autoSpaceDN w:val="0"/>
              <w:adjustRightInd w:val="0"/>
              <w:spacing w:line="400" w:lineRule="exact"/>
              <w:ind w:firstLine="420" w:firstLineChars="200"/>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(6)废氮气</w:t>
            </w:r>
          </w:p>
          <w:p>
            <w:pPr>
              <w:autoSpaceDE w:val="0"/>
              <w:autoSpaceDN w:val="0"/>
              <w:adjustRightInd w:val="0"/>
              <w:spacing w:line="400" w:lineRule="exact"/>
              <w:ind w:firstLine="420" w:firstLineChars="200"/>
              <w:rPr>
                <w:rFonts w:asciiTheme="minorEastAsia" w:hAnsiTheme="minorEastAsia" w:eastAsiaTheme="minorEastAsia"/>
                <w:bCs/>
                <w:szCs w:val="28"/>
              </w:rPr>
            </w:pPr>
            <w:r>
              <w:rPr>
                <w:rFonts w:hint="eastAsia" w:asciiTheme="minorEastAsia" w:hAnsiTheme="minorEastAsia" w:eastAsiaTheme="minorEastAsia"/>
                <w:bCs/>
                <w:szCs w:val="28"/>
                <w:lang w:val="zh-CN"/>
              </w:rPr>
              <w:t>本项目燃气管道投运前采用氮气对管道内空气进行置换。产生的废氮气无组织排放。由于氮气产污量小且无毒无害，不会对大气环境造成较大影响。试压过程中用氮气吹扫管道时，吹扫口应选择在空旷开阔的地区，其前方100m，左右50m以内不得有人、畜和火源。吹扫口50m范围内应有专人警戒，有具体的防火、防爆措施。</w:t>
            </w:r>
          </w:p>
          <w:p>
            <w:pPr>
              <w:autoSpaceDE w:val="0"/>
              <w:autoSpaceDN w:val="0"/>
              <w:adjustRightInd w:val="0"/>
              <w:spacing w:line="400" w:lineRule="exact"/>
              <w:rPr>
                <w:rFonts w:asciiTheme="minorEastAsia" w:hAnsiTheme="minorEastAsia" w:eastAsiaTheme="minorEastAsia"/>
                <w:b/>
                <w:bCs/>
                <w:szCs w:val="28"/>
                <w:lang w:val="zh-CN"/>
              </w:rPr>
            </w:pPr>
            <w:r>
              <w:rPr>
                <w:rFonts w:hint="eastAsia" w:asciiTheme="minorEastAsia" w:hAnsiTheme="minorEastAsia" w:eastAsiaTheme="minorEastAsia"/>
                <w:b/>
                <w:bCs/>
                <w:szCs w:val="28"/>
                <w:lang w:val="zh-CN"/>
              </w:rPr>
              <w:t>3</w:t>
            </w:r>
            <w:r>
              <w:rPr>
                <w:rFonts w:asciiTheme="minorEastAsia" w:hAnsiTheme="minorEastAsia" w:eastAsiaTheme="minorEastAsia"/>
                <w:b/>
                <w:bCs/>
                <w:szCs w:val="28"/>
                <w:lang w:val="zh-CN"/>
              </w:rPr>
              <w:t>、施工废水</w:t>
            </w:r>
          </w:p>
          <w:p>
            <w:pPr>
              <w:autoSpaceDE w:val="0"/>
              <w:autoSpaceDN w:val="0"/>
              <w:adjustRightInd w:val="0"/>
              <w:spacing w:line="400" w:lineRule="exact"/>
              <w:ind w:firstLine="420" w:firstLineChars="200"/>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(1)生活污水</w:t>
            </w:r>
          </w:p>
          <w:p>
            <w:pPr>
              <w:autoSpaceDE w:val="0"/>
              <w:autoSpaceDN w:val="0"/>
              <w:adjustRightInd w:val="0"/>
              <w:spacing w:line="400" w:lineRule="exact"/>
              <w:ind w:firstLine="420" w:firstLineChars="200"/>
              <w:rPr>
                <w:rFonts w:eastAsiaTheme="minorEastAsia"/>
                <w:bCs/>
                <w:szCs w:val="28"/>
                <w:lang w:val="zh-CN"/>
              </w:rPr>
            </w:pPr>
            <w:r>
              <w:rPr>
                <w:rFonts w:hint="eastAsia" w:eastAsiaTheme="minorEastAsia"/>
                <w:bCs/>
                <w:szCs w:val="28"/>
                <w:lang w:val="zh-CN"/>
              </w:rPr>
              <w:t>项目施工人数约20人，排水系数取30L/人·d，则生活污水产生量约为0.6m</w:t>
            </w:r>
            <w:r>
              <w:rPr>
                <w:rFonts w:hint="eastAsia" w:eastAsiaTheme="minorEastAsia"/>
                <w:bCs/>
                <w:szCs w:val="28"/>
                <w:vertAlign w:val="superscript"/>
                <w:lang w:val="zh-CN"/>
              </w:rPr>
              <w:t>3</w:t>
            </w:r>
            <w:r>
              <w:rPr>
                <w:rFonts w:hint="eastAsia" w:eastAsiaTheme="minorEastAsia"/>
                <w:bCs/>
                <w:szCs w:val="28"/>
                <w:lang w:val="zh-CN"/>
              </w:rPr>
              <w:t>/d，生活污水中主要污染物浓度COD为500g/L、BOD</w:t>
            </w:r>
            <w:r>
              <w:rPr>
                <w:rFonts w:hint="eastAsia" w:eastAsiaTheme="minorEastAsia"/>
                <w:bCs/>
                <w:szCs w:val="28"/>
                <w:vertAlign w:val="subscript"/>
                <w:lang w:val="zh-CN"/>
              </w:rPr>
              <w:t>5</w:t>
            </w:r>
            <w:r>
              <w:rPr>
                <w:rFonts w:hint="eastAsia" w:eastAsiaTheme="minorEastAsia"/>
                <w:bCs/>
                <w:szCs w:val="28"/>
                <w:lang w:val="zh-CN"/>
              </w:rPr>
              <w:t>为300mg/L、NH</w:t>
            </w:r>
            <w:r>
              <w:rPr>
                <w:rFonts w:hint="eastAsia" w:eastAsiaTheme="minorEastAsia"/>
                <w:bCs/>
                <w:szCs w:val="28"/>
                <w:vertAlign w:val="subscript"/>
                <w:lang w:val="zh-CN"/>
              </w:rPr>
              <w:t>3</w:t>
            </w:r>
            <w:r>
              <w:rPr>
                <w:rFonts w:hint="eastAsia" w:eastAsiaTheme="minorEastAsia"/>
                <w:bCs/>
                <w:szCs w:val="28"/>
                <w:lang w:val="zh-CN"/>
              </w:rPr>
              <w:t>-N为64mg/L、SS为 300mg/L，产生量分别为0.3kg/d、0.18kg/d、0.0384kg/d、0.18kg/d。</w:t>
            </w:r>
          </w:p>
          <w:p>
            <w:pPr>
              <w:autoSpaceDE w:val="0"/>
              <w:autoSpaceDN w:val="0"/>
              <w:adjustRightInd w:val="0"/>
              <w:spacing w:line="400" w:lineRule="exact"/>
              <w:ind w:firstLine="422" w:firstLineChars="200"/>
              <w:rPr>
                <w:rFonts w:asciiTheme="minorEastAsia" w:hAnsiTheme="minorEastAsia" w:eastAsiaTheme="minorEastAsia"/>
                <w:bCs/>
                <w:szCs w:val="28"/>
              </w:rPr>
            </w:pPr>
            <w:r>
              <w:rPr>
                <w:rFonts w:hint="eastAsia" w:asciiTheme="minorEastAsia" w:hAnsiTheme="minorEastAsia" w:eastAsiaTheme="minorEastAsia"/>
                <w:b/>
                <w:bCs/>
                <w:szCs w:val="28"/>
                <w:lang w:val="zh-CN"/>
              </w:rPr>
              <w:t>治理措施:</w:t>
            </w:r>
            <w:r>
              <w:rPr>
                <w:rFonts w:hint="eastAsia" w:asciiTheme="minorEastAsia" w:hAnsiTheme="minorEastAsia" w:eastAsiaTheme="minorEastAsia"/>
                <w:bCs/>
                <w:szCs w:val="28"/>
                <w:lang w:val="zh-CN"/>
              </w:rPr>
              <w:t>根据以往施工经验，在一般地段，施工队伍的吃住一般依托当地的旅馆和饭店，在穿越施工地段，依托当地民居，不单独设置施工营地，因此生活污水依托附近农户旱厕。项目施工分段进行，具有较大分散性，局部排放量小，生活污水经上述措施处理完全可行、有效。</w:t>
            </w:r>
          </w:p>
          <w:p>
            <w:pPr>
              <w:autoSpaceDE w:val="0"/>
              <w:autoSpaceDN w:val="0"/>
              <w:adjustRightInd w:val="0"/>
              <w:spacing w:line="400" w:lineRule="exact"/>
              <w:ind w:firstLine="420" w:firstLineChars="200"/>
              <w:rPr>
                <w:rFonts w:asciiTheme="minorEastAsia" w:hAnsiTheme="minorEastAsia" w:eastAsiaTheme="minorEastAsia"/>
                <w:bCs/>
                <w:szCs w:val="28"/>
                <w:lang w:val="zh-CN"/>
              </w:rPr>
            </w:pPr>
            <w:r>
              <w:rPr>
                <w:rFonts w:hint="eastAsia" w:asciiTheme="minorEastAsia" w:hAnsiTheme="minorEastAsia" w:eastAsiaTheme="minorEastAsia"/>
                <w:bCs/>
                <w:szCs w:val="28"/>
                <w:lang w:val="zh-CN"/>
              </w:rPr>
              <w:t>(2)清管、试压废水</w:t>
            </w:r>
          </w:p>
          <w:p>
            <w:pPr>
              <w:autoSpaceDE w:val="0"/>
              <w:autoSpaceDN w:val="0"/>
              <w:adjustRightInd w:val="0"/>
              <w:spacing w:line="400" w:lineRule="exact"/>
              <w:ind w:firstLine="420" w:firstLineChars="200"/>
              <w:rPr>
                <w:rFonts w:asciiTheme="minorEastAsia" w:hAnsiTheme="minorEastAsia" w:eastAsiaTheme="minorEastAsia"/>
                <w:bCs/>
                <w:szCs w:val="28"/>
              </w:rPr>
            </w:pPr>
            <w:r>
              <w:rPr>
                <w:rFonts w:hint="eastAsia" w:asciiTheme="minorEastAsia" w:hAnsiTheme="minorEastAsia" w:eastAsiaTheme="minorEastAsia"/>
                <w:bCs/>
                <w:szCs w:val="28"/>
              </w:rPr>
              <w:t>由于管道清管和试压是分段进行的，局部排放量相对较少。同时废水中主要含少量铁锈、焊渣和泥沙，根据国内其他管道建设经验，试管废水等施工废水根据周围地形和环境条件，设置沉淀池沉淀后上清液可重复利用或就近排入附近功能要求不高的沟渠，尽量避免排水造成局部土壤流失和污染。</w:t>
            </w:r>
          </w:p>
          <w:p>
            <w:pPr>
              <w:autoSpaceDE w:val="0"/>
              <w:autoSpaceDN w:val="0"/>
              <w:adjustRightInd w:val="0"/>
              <w:spacing w:line="400" w:lineRule="exact"/>
              <w:ind w:firstLine="420" w:firstLineChars="200"/>
              <w:rPr>
                <w:rFonts w:asciiTheme="minorEastAsia" w:hAnsiTheme="minorEastAsia" w:eastAsiaTheme="minorEastAsia"/>
                <w:bCs/>
                <w:szCs w:val="28"/>
              </w:rPr>
            </w:pPr>
            <w:r>
              <w:rPr>
                <w:rFonts w:hint="eastAsia" w:asciiTheme="minorEastAsia" w:hAnsiTheme="minorEastAsia" w:eastAsiaTheme="minorEastAsia"/>
                <w:bCs/>
                <w:szCs w:val="28"/>
              </w:rPr>
              <w:t>（3）车辆冲洗废水</w:t>
            </w:r>
          </w:p>
          <w:p>
            <w:pPr>
              <w:autoSpaceDE w:val="0"/>
              <w:autoSpaceDN w:val="0"/>
              <w:adjustRightInd w:val="0"/>
              <w:spacing w:line="400" w:lineRule="exact"/>
              <w:ind w:firstLine="420" w:firstLineChars="200"/>
              <w:rPr>
                <w:rFonts w:asciiTheme="minorEastAsia" w:hAnsiTheme="minorEastAsia" w:eastAsiaTheme="minorEastAsia"/>
                <w:bCs/>
                <w:szCs w:val="28"/>
              </w:rPr>
            </w:pPr>
            <w:r>
              <w:rPr>
                <w:rFonts w:hint="eastAsia" w:asciiTheme="minorEastAsia" w:hAnsiTheme="minorEastAsia" w:eastAsiaTheme="minorEastAsia"/>
                <w:bCs/>
                <w:szCs w:val="28"/>
              </w:rPr>
              <w:t>施工场地的车辆冲洗废水设沉淀池（容积5m</w:t>
            </w:r>
            <w:r>
              <w:rPr>
                <w:rFonts w:hint="eastAsia" w:asciiTheme="minorEastAsia" w:hAnsiTheme="minorEastAsia" w:eastAsiaTheme="minorEastAsia"/>
                <w:bCs/>
                <w:szCs w:val="28"/>
                <w:vertAlign w:val="superscript"/>
              </w:rPr>
              <w:t>3</w:t>
            </w:r>
            <w:r>
              <w:rPr>
                <w:rFonts w:hint="eastAsia" w:asciiTheme="minorEastAsia" w:hAnsiTheme="minorEastAsia" w:eastAsiaTheme="minorEastAsia"/>
                <w:bCs/>
                <w:szCs w:val="28"/>
              </w:rPr>
              <w:t>），收集处理后回用不外排。</w:t>
            </w:r>
          </w:p>
          <w:p>
            <w:pPr>
              <w:autoSpaceDE w:val="0"/>
              <w:autoSpaceDN w:val="0"/>
              <w:adjustRightInd w:val="0"/>
              <w:spacing w:line="400" w:lineRule="exact"/>
              <w:ind w:firstLine="420" w:firstLineChars="200"/>
              <w:rPr>
                <w:rFonts w:asciiTheme="minorEastAsia" w:hAnsiTheme="minorEastAsia" w:eastAsiaTheme="minorEastAsia"/>
                <w:bCs/>
                <w:szCs w:val="28"/>
              </w:rPr>
            </w:pPr>
            <w:r>
              <w:rPr>
                <w:rFonts w:hint="eastAsia" w:asciiTheme="minorEastAsia" w:hAnsiTheme="minorEastAsia" w:eastAsiaTheme="minorEastAsia"/>
                <w:bCs/>
                <w:szCs w:val="28"/>
              </w:rPr>
              <w:t>针对本工程管道</w:t>
            </w:r>
            <w:r>
              <w:rPr>
                <w:rFonts w:hint="eastAsia" w:asciiTheme="minorEastAsia" w:hAnsiTheme="minorEastAsia" w:eastAsiaTheme="minorEastAsia"/>
                <w:bCs/>
                <w:szCs w:val="28"/>
                <w:lang w:val="zh-CN"/>
              </w:rPr>
              <w:t>清管、试压废水的管理</w:t>
            </w:r>
            <w:r>
              <w:rPr>
                <w:rFonts w:hint="eastAsia" w:asciiTheme="minorEastAsia" w:hAnsiTheme="minorEastAsia" w:eastAsiaTheme="minorEastAsia"/>
                <w:bCs/>
                <w:szCs w:val="28"/>
              </w:rPr>
              <w:t>，应禁止施工单位向沿线河流中排放污水（包括生活污水和生产废水）；在清管试压阶段产生的废水要求施工单位与当地村镇进行良好的沟通，争取做到废水的充分合理利用，同时应做好防范工作，防止废水溢流到附近河流中。项目产生的清管试管废水，通过设置沉淀池过滤后，回用于附近林地灌溉、道路洒水，对当地地表环境产生影响较小。</w:t>
            </w:r>
          </w:p>
          <w:p>
            <w:pPr>
              <w:autoSpaceDE w:val="0"/>
              <w:autoSpaceDN w:val="0"/>
              <w:adjustRightInd w:val="0"/>
              <w:spacing w:line="400" w:lineRule="exact"/>
              <w:rPr>
                <w:b/>
                <w:kern w:val="0"/>
              </w:rPr>
            </w:pPr>
            <w:r>
              <w:rPr>
                <w:rFonts w:hint="eastAsia"/>
                <w:b/>
                <w:kern w:val="0"/>
              </w:rPr>
              <w:t>4、施工噪声</w:t>
            </w:r>
          </w:p>
          <w:p>
            <w:pPr>
              <w:autoSpaceDE w:val="0"/>
              <w:autoSpaceDN w:val="0"/>
              <w:adjustRightInd w:val="0"/>
              <w:spacing w:line="400" w:lineRule="exact"/>
              <w:ind w:firstLine="420" w:firstLineChars="200"/>
              <w:rPr>
                <w:kern w:val="0"/>
              </w:rPr>
            </w:pPr>
            <w:r>
              <w:rPr>
                <w:rFonts w:hint="eastAsia"/>
                <w:kern w:val="0"/>
              </w:rPr>
              <w:t>本项目管沟采用人工开挖，施工噪声主要来源于: 电焊机、乙炔焊机、汽车吊、载重车等。根据常用机械的实测资料，噪声源强见下表。</w:t>
            </w:r>
          </w:p>
          <w:p>
            <w:pPr>
              <w:autoSpaceDE w:val="0"/>
              <w:autoSpaceDN w:val="0"/>
              <w:adjustRightInd w:val="0"/>
              <w:spacing w:line="400" w:lineRule="exact"/>
              <w:ind w:firstLine="360" w:firstLineChars="200"/>
              <w:jc w:val="center"/>
              <w:rPr>
                <w:rFonts w:ascii="黑体" w:hAnsi="黑体" w:eastAsia="黑体"/>
                <w:kern w:val="0"/>
                <w:sz w:val="18"/>
              </w:rPr>
            </w:pPr>
            <w:r>
              <w:rPr>
                <w:rFonts w:hint="eastAsia" w:ascii="黑体" w:hAnsi="黑体" w:eastAsia="黑体"/>
                <w:kern w:val="0"/>
                <w:sz w:val="18"/>
              </w:rPr>
              <w:t>表5-1  项目工程施工机械噪声值</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275"/>
              <w:gridCol w:w="2268"/>
              <w:gridCol w:w="2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pPr>
                    <w:autoSpaceDE w:val="0"/>
                    <w:autoSpaceDN w:val="0"/>
                    <w:adjustRightInd w:val="0"/>
                    <w:spacing w:line="300" w:lineRule="exact"/>
                    <w:jc w:val="center"/>
                    <w:rPr>
                      <w:kern w:val="0"/>
                      <w:sz w:val="18"/>
                    </w:rPr>
                  </w:pPr>
                  <w:r>
                    <w:rPr>
                      <w:rFonts w:hint="eastAsia"/>
                      <w:kern w:val="0"/>
                      <w:sz w:val="18"/>
                    </w:rPr>
                    <w:t>序号</w:t>
                  </w:r>
                </w:p>
              </w:tc>
              <w:tc>
                <w:tcPr>
                  <w:tcW w:w="1275" w:type="dxa"/>
                  <w:vAlign w:val="center"/>
                </w:tcPr>
                <w:p>
                  <w:pPr>
                    <w:autoSpaceDE w:val="0"/>
                    <w:autoSpaceDN w:val="0"/>
                    <w:adjustRightInd w:val="0"/>
                    <w:spacing w:line="300" w:lineRule="exact"/>
                    <w:jc w:val="center"/>
                    <w:rPr>
                      <w:kern w:val="0"/>
                      <w:sz w:val="18"/>
                    </w:rPr>
                  </w:pPr>
                  <w:r>
                    <w:rPr>
                      <w:rFonts w:hint="eastAsia"/>
                      <w:kern w:val="0"/>
                      <w:sz w:val="18"/>
                    </w:rPr>
                    <w:t>机械类型</w:t>
                  </w:r>
                </w:p>
              </w:tc>
              <w:tc>
                <w:tcPr>
                  <w:tcW w:w="2268" w:type="dxa"/>
                  <w:vAlign w:val="center"/>
                </w:tcPr>
                <w:p>
                  <w:pPr>
                    <w:autoSpaceDE w:val="0"/>
                    <w:autoSpaceDN w:val="0"/>
                    <w:adjustRightInd w:val="0"/>
                    <w:spacing w:line="300" w:lineRule="exact"/>
                    <w:jc w:val="center"/>
                    <w:rPr>
                      <w:kern w:val="0"/>
                      <w:sz w:val="18"/>
                    </w:rPr>
                  </w:pPr>
                  <w:r>
                    <w:rPr>
                      <w:rFonts w:hint="eastAsia"/>
                      <w:kern w:val="0"/>
                      <w:sz w:val="18"/>
                    </w:rPr>
                    <w:t>测点距施工机械距离</w:t>
                  </w:r>
                </w:p>
              </w:tc>
              <w:tc>
                <w:tcPr>
                  <w:tcW w:w="2633" w:type="dxa"/>
                  <w:vAlign w:val="center"/>
                </w:tcPr>
                <w:p>
                  <w:pPr>
                    <w:autoSpaceDE w:val="0"/>
                    <w:autoSpaceDN w:val="0"/>
                    <w:adjustRightInd w:val="0"/>
                    <w:spacing w:line="300" w:lineRule="exact"/>
                    <w:jc w:val="center"/>
                    <w:rPr>
                      <w:kern w:val="0"/>
                      <w:sz w:val="18"/>
                    </w:rPr>
                  </w:pPr>
                  <w:r>
                    <w:rPr>
                      <w:rFonts w:hint="eastAsia"/>
                      <w:kern w:val="0"/>
                      <w:sz w:val="18"/>
                    </w:rPr>
                    <w:t>最大声级Lmax[</w:t>
                  </w:r>
                  <w:r>
                    <w:rPr>
                      <w:kern w:val="0"/>
                      <w:sz w:val="18"/>
                    </w:rPr>
                    <w:t>d</w:t>
                  </w:r>
                  <w:r>
                    <w:rPr>
                      <w:rFonts w:hint="eastAsia"/>
                      <w:kern w:val="0"/>
                      <w:sz w:val="18"/>
                    </w:rPr>
                    <w:t>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pPr>
                    <w:autoSpaceDE w:val="0"/>
                    <w:autoSpaceDN w:val="0"/>
                    <w:adjustRightInd w:val="0"/>
                    <w:spacing w:line="300" w:lineRule="exact"/>
                    <w:jc w:val="center"/>
                    <w:rPr>
                      <w:kern w:val="0"/>
                      <w:sz w:val="18"/>
                    </w:rPr>
                  </w:pPr>
                  <w:r>
                    <w:rPr>
                      <w:rFonts w:hint="eastAsia"/>
                      <w:kern w:val="0"/>
                      <w:sz w:val="18"/>
                    </w:rPr>
                    <w:t>1</w:t>
                  </w:r>
                </w:p>
              </w:tc>
              <w:tc>
                <w:tcPr>
                  <w:tcW w:w="1275" w:type="dxa"/>
                  <w:vAlign w:val="center"/>
                </w:tcPr>
                <w:p>
                  <w:pPr>
                    <w:autoSpaceDE w:val="0"/>
                    <w:autoSpaceDN w:val="0"/>
                    <w:adjustRightInd w:val="0"/>
                    <w:spacing w:line="300" w:lineRule="exact"/>
                    <w:jc w:val="center"/>
                    <w:rPr>
                      <w:kern w:val="0"/>
                      <w:sz w:val="18"/>
                    </w:rPr>
                  </w:pPr>
                  <w:r>
                    <w:rPr>
                      <w:rFonts w:hint="eastAsia"/>
                      <w:kern w:val="0"/>
                      <w:sz w:val="18"/>
                    </w:rPr>
                    <w:t>汽车吊</w:t>
                  </w:r>
                </w:p>
              </w:tc>
              <w:tc>
                <w:tcPr>
                  <w:tcW w:w="2268" w:type="dxa"/>
                  <w:vAlign w:val="center"/>
                </w:tcPr>
                <w:p>
                  <w:pPr>
                    <w:autoSpaceDE w:val="0"/>
                    <w:autoSpaceDN w:val="0"/>
                    <w:adjustRightInd w:val="0"/>
                    <w:spacing w:line="300" w:lineRule="exact"/>
                    <w:jc w:val="center"/>
                    <w:rPr>
                      <w:kern w:val="0"/>
                      <w:sz w:val="18"/>
                    </w:rPr>
                  </w:pPr>
                  <w:r>
                    <w:rPr>
                      <w:rFonts w:hint="eastAsia"/>
                      <w:kern w:val="0"/>
                      <w:sz w:val="18"/>
                    </w:rPr>
                    <w:t>5m</w:t>
                  </w:r>
                </w:p>
              </w:tc>
              <w:tc>
                <w:tcPr>
                  <w:tcW w:w="2633" w:type="dxa"/>
                  <w:vAlign w:val="center"/>
                </w:tcPr>
                <w:p>
                  <w:pPr>
                    <w:autoSpaceDE w:val="0"/>
                    <w:autoSpaceDN w:val="0"/>
                    <w:adjustRightInd w:val="0"/>
                    <w:spacing w:line="300" w:lineRule="exact"/>
                    <w:jc w:val="center"/>
                    <w:rPr>
                      <w:kern w:val="0"/>
                      <w:sz w:val="18"/>
                    </w:rPr>
                  </w:pPr>
                  <w:r>
                    <w:rPr>
                      <w:rFonts w:hint="eastAsia"/>
                      <w:kern w:val="0"/>
                      <w:sz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pPr>
                    <w:autoSpaceDE w:val="0"/>
                    <w:autoSpaceDN w:val="0"/>
                    <w:adjustRightInd w:val="0"/>
                    <w:spacing w:line="300" w:lineRule="exact"/>
                    <w:jc w:val="center"/>
                    <w:rPr>
                      <w:kern w:val="0"/>
                      <w:sz w:val="18"/>
                    </w:rPr>
                  </w:pPr>
                  <w:r>
                    <w:rPr>
                      <w:rFonts w:hint="eastAsia"/>
                      <w:kern w:val="0"/>
                      <w:sz w:val="18"/>
                    </w:rPr>
                    <w:t>2</w:t>
                  </w:r>
                </w:p>
              </w:tc>
              <w:tc>
                <w:tcPr>
                  <w:tcW w:w="1275" w:type="dxa"/>
                  <w:vAlign w:val="center"/>
                </w:tcPr>
                <w:p>
                  <w:pPr>
                    <w:autoSpaceDE w:val="0"/>
                    <w:autoSpaceDN w:val="0"/>
                    <w:adjustRightInd w:val="0"/>
                    <w:spacing w:line="300" w:lineRule="exact"/>
                    <w:jc w:val="center"/>
                    <w:rPr>
                      <w:kern w:val="0"/>
                      <w:sz w:val="18"/>
                    </w:rPr>
                  </w:pPr>
                  <w:r>
                    <w:rPr>
                      <w:rFonts w:hint="eastAsia"/>
                      <w:kern w:val="0"/>
                      <w:sz w:val="18"/>
                    </w:rPr>
                    <w:t>乙炔焊机</w:t>
                  </w:r>
                </w:p>
              </w:tc>
              <w:tc>
                <w:tcPr>
                  <w:tcW w:w="2268" w:type="dxa"/>
                  <w:vAlign w:val="center"/>
                </w:tcPr>
                <w:p>
                  <w:pPr>
                    <w:autoSpaceDE w:val="0"/>
                    <w:autoSpaceDN w:val="0"/>
                    <w:adjustRightInd w:val="0"/>
                    <w:spacing w:line="300" w:lineRule="exact"/>
                    <w:jc w:val="center"/>
                    <w:rPr>
                      <w:kern w:val="0"/>
                      <w:sz w:val="18"/>
                    </w:rPr>
                  </w:pPr>
                  <w:r>
                    <w:rPr>
                      <w:rFonts w:hint="eastAsia"/>
                      <w:kern w:val="0"/>
                      <w:sz w:val="18"/>
                    </w:rPr>
                    <w:t>5m</w:t>
                  </w:r>
                </w:p>
              </w:tc>
              <w:tc>
                <w:tcPr>
                  <w:tcW w:w="2633" w:type="dxa"/>
                  <w:vAlign w:val="center"/>
                </w:tcPr>
                <w:p>
                  <w:pPr>
                    <w:autoSpaceDE w:val="0"/>
                    <w:autoSpaceDN w:val="0"/>
                    <w:adjustRightInd w:val="0"/>
                    <w:spacing w:line="300" w:lineRule="exact"/>
                    <w:jc w:val="center"/>
                    <w:rPr>
                      <w:kern w:val="0"/>
                      <w:sz w:val="18"/>
                    </w:rPr>
                  </w:pPr>
                  <w:r>
                    <w:rPr>
                      <w:rFonts w:hint="eastAsia"/>
                      <w:kern w:val="0"/>
                      <w:sz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pPr>
                    <w:autoSpaceDE w:val="0"/>
                    <w:autoSpaceDN w:val="0"/>
                    <w:adjustRightInd w:val="0"/>
                    <w:spacing w:line="300" w:lineRule="exact"/>
                    <w:jc w:val="center"/>
                    <w:rPr>
                      <w:kern w:val="0"/>
                      <w:sz w:val="18"/>
                    </w:rPr>
                  </w:pPr>
                  <w:r>
                    <w:rPr>
                      <w:rFonts w:hint="eastAsia"/>
                      <w:kern w:val="0"/>
                      <w:sz w:val="18"/>
                    </w:rPr>
                    <w:t>3</w:t>
                  </w:r>
                </w:p>
              </w:tc>
              <w:tc>
                <w:tcPr>
                  <w:tcW w:w="1275" w:type="dxa"/>
                  <w:vAlign w:val="center"/>
                </w:tcPr>
                <w:p>
                  <w:pPr>
                    <w:autoSpaceDE w:val="0"/>
                    <w:autoSpaceDN w:val="0"/>
                    <w:adjustRightInd w:val="0"/>
                    <w:spacing w:line="300" w:lineRule="exact"/>
                    <w:jc w:val="center"/>
                    <w:rPr>
                      <w:kern w:val="0"/>
                      <w:sz w:val="18"/>
                    </w:rPr>
                  </w:pPr>
                  <w:r>
                    <w:rPr>
                      <w:rFonts w:hint="eastAsia"/>
                      <w:kern w:val="0"/>
                      <w:sz w:val="18"/>
                    </w:rPr>
                    <w:t>电焊机</w:t>
                  </w:r>
                </w:p>
              </w:tc>
              <w:tc>
                <w:tcPr>
                  <w:tcW w:w="2268" w:type="dxa"/>
                  <w:vAlign w:val="center"/>
                </w:tcPr>
                <w:p>
                  <w:pPr>
                    <w:autoSpaceDE w:val="0"/>
                    <w:autoSpaceDN w:val="0"/>
                    <w:adjustRightInd w:val="0"/>
                    <w:spacing w:line="300" w:lineRule="exact"/>
                    <w:jc w:val="center"/>
                    <w:rPr>
                      <w:kern w:val="0"/>
                      <w:sz w:val="18"/>
                    </w:rPr>
                  </w:pPr>
                  <w:r>
                    <w:rPr>
                      <w:rFonts w:hint="eastAsia"/>
                      <w:kern w:val="0"/>
                      <w:sz w:val="18"/>
                    </w:rPr>
                    <w:t>1m</w:t>
                  </w:r>
                </w:p>
              </w:tc>
              <w:tc>
                <w:tcPr>
                  <w:tcW w:w="2633" w:type="dxa"/>
                  <w:vAlign w:val="center"/>
                </w:tcPr>
                <w:p>
                  <w:pPr>
                    <w:autoSpaceDE w:val="0"/>
                    <w:autoSpaceDN w:val="0"/>
                    <w:adjustRightInd w:val="0"/>
                    <w:spacing w:line="300" w:lineRule="exact"/>
                    <w:jc w:val="center"/>
                    <w:rPr>
                      <w:kern w:val="0"/>
                      <w:sz w:val="18"/>
                    </w:rPr>
                  </w:pPr>
                  <w:r>
                    <w:rPr>
                      <w:rFonts w:hint="eastAsia"/>
                      <w:kern w:val="0"/>
                      <w:sz w:val="18"/>
                    </w:rPr>
                    <w:t>95</w:t>
                  </w:r>
                </w:p>
              </w:tc>
            </w:tr>
          </w:tbl>
          <w:p>
            <w:pPr>
              <w:autoSpaceDE w:val="0"/>
              <w:autoSpaceDN w:val="0"/>
              <w:adjustRightInd w:val="0"/>
              <w:spacing w:line="400" w:lineRule="exact"/>
              <w:ind w:firstLine="360" w:firstLineChars="200"/>
              <w:jc w:val="center"/>
              <w:rPr>
                <w:kern w:val="0"/>
              </w:rPr>
            </w:pPr>
            <w:r>
              <w:rPr>
                <w:rFonts w:hint="eastAsia" w:ascii="黑体" w:hAnsi="黑体" w:eastAsia="黑体"/>
                <w:kern w:val="0"/>
                <w:sz w:val="18"/>
              </w:rPr>
              <w:t>表5-2  运输车辆噪声值</w:t>
            </w:r>
            <w:r>
              <w:rPr>
                <w:rFonts w:hint="eastAsia"/>
                <w:kern w:val="0"/>
              </w:rPr>
              <w:t xml:space="preserve">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8"/>
              <w:gridCol w:w="2328"/>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2328" w:type="dxa"/>
                  <w:vAlign w:val="center"/>
                </w:tcPr>
                <w:p>
                  <w:pPr>
                    <w:autoSpaceDE w:val="0"/>
                    <w:autoSpaceDN w:val="0"/>
                    <w:adjustRightInd w:val="0"/>
                    <w:spacing w:line="300" w:lineRule="exact"/>
                    <w:jc w:val="center"/>
                    <w:rPr>
                      <w:kern w:val="0"/>
                      <w:sz w:val="18"/>
                    </w:rPr>
                  </w:pPr>
                  <w:r>
                    <w:rPr>
                      <w:rFonts w:hint="eastAsia"/>
                      <w:kern w:val="0"/>
                      <w:sz w:val="18"/>
                    </w:rPr>
                    <w:t>运输内容</w:t>
                  </w:r>
                </w:p>
              </w:tc>
              <w:tc>
                <w:tcPr>
                  <w:tcW w:w="2328" w:type="dxa"/>
                  <w:vAlign w:val="center"/>
                </w:tcPr>
                <w:p>
                  <w:pPr>
                    <w:autoSpaceDE w:val="0"/>
                    <w:autoSpaceDN w:val="0"/>
                    <w:adjustRightInd w:val="0"/>
                    <w:spacing w:line="300" w:lineRule="exact"/>
                    <w:jc w:val="center"/>
                    <w:rPr>
                      <w:kern w:val="0"/>
                      <w:sz w:val="18"/>
                    </w:rPr>
                  </w:pPr>
                  <w:r>
                    <w:rPr>
                      <w:rFonts w:hint="eastAsia"/>
                      <w:kern w:val="0"/>
                      <w:sz w:val="18"/>
                    </w:rPr>
                    <w:t>车辆类型</w:t>
                  </w:r>
                </w:p>
              </w:tc>
              <w:tc>
                <w:tcPr>
                  <w:tcW w:w="2330" w:type="dxa"/>
                  <w:vAlign w:val="center"/>
                </w:tcPr>
                <w:p>
                  <w:pPr>
                    <w:autoSpaceDE w:val="0"/>
                    <w:autoSpaceDN w:val="0"/>
                    <w:adjustRightInd w:val="0"/>
                    <w:spacing w:line="300" w:lineRule="exact"/>
                    <w:jc w:val="center"/>
                    <w:rPr>
                      <w:kern w:val="0"/>
                      <w:sz w:val="18"/>
                    </w:rPr>
                  </w:pPr>
                  <w:r>
                    <w:rPr>
                      <w:rFonts w:hint="eastAsia"/>
                      <w:kern w:val="0"/>
                      <w:sz w:val="18"/>
                    </w:rPr>
                    <w:t>声源强度Lmax[</w:t>
                  </w:r>
                  <w:r>
                    <w:rPr>
                      <w:kern w:val="0"/>
                      <w:sz w:val="18"/>
                    </w:rPr>
                    <w:t>d</w:t>
                  </w:r>
                  <w:r>
                    <w:rPr>
                      <w:rFonts w:hint="eastAsia"/>
                      <w:kern w:val="0"/>
                      <w:sz w:val="18"/>
                    </w:rPr>
                    <w:t>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328" w:type="dxa"/>
                  <w:vAlign w:val="center"/>
                </w:tcPr>
                <w:p>
                  <w:pPr>
                    <w:autoSpaceDE w:val="0"/>
                    <w:autoSpaceDN w:val="0"/>
                    <w:adjustRightInd w:val="0"/>
                    <w:spacing w:line="300" w:lineRule="exact"/>
                    <w:jc w:val="center"/>
                    <w:rPr>
                      <w:kern w:val="0"/>
                      <w:sz w:val="18"/>
                    </w:rPr>
                  </w:pPr>
                  <w:r>
                    <w:rPr>
                      <w:rFonts w:hint="eastAsia"/>
                      <w:kern w:val="0"/>
                      <w:sz w:val="18"/>
                    </w:rPr>
                    <w:t>各种施工材料</w:t>
                  </w:r>
                </w:p>
              </w:tc>
              <w:tc>
                <w:tcPr>
                  <w:tcW w:w="2328" w:type="dxa"/>
                  <w:vAlign w:val="center"/>
                </w:tcPr>
                <w:p>
                  <w:pPr>
                    <w:autoSpaceDE w:val="0"/>
                    <w:autoSpaceDN w:val="0"/>
                    <w:adjustRightInd w:val="0"/>
                    <w:spacing w:line="300" w:lineRule="exact"/>
                    <w:jc w:val="center"/>
                    <w:rPr>
                      <w:kern w:val="0"/>
                      <w:sz w:val="18"/>
                    </w:rPr>
                  </w:pPr>
                  <w:r>
                    <w:rPr>
                      <w:rFonts w:hint="eastAsia"/>
                      <w:kern w:val="0"/>
                      <w:sz w:val="18"/>
                    </w:rPr>
                    <w:t>载重车</w:t>
                  </w:r>
                </w:p>
              </w:tc>
              <w:tc>
                <w:tcPr>
                  <w:tcW w:w="2330" w:type="dxa"/>
                  <w:vAlign w:val="center"/>
                </w:tcPr>
                <w:p>
                  <w:pPr>
                    <w:autoSpaceDE w:val="0"/>
                    <w:autoSpaceDN w:val="0"/>
                    <w:adjustRightInd w:val="0"/>
                    <w:spacing w:line="300" w:lineRule="exact"/>
                    <w:jc w:val="center"/>
                    <w:rPr>
                      <w:kern w:val="0"/>
                      <w:sz w:val="18"/>
                    </w:rPr>
                  </w:pPr>
                  <w:r>
                    <w:rPr>
                      <w:rFonts w:hint="eastAsia"/>
                      <w:kern w:val="0"/>
                      <w:sz w:val="18"/>
                    </w:rPr>
                    <w:t>80~85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328" w:type="dxa"/>
                  <w:vAlign w:val="center"/>
                </w:tcPr>
                <w:p>
                  <w:pPr>
                    <w:autoSpaceDE w:val="0"/>
                    <w:autoSpaceDN w:val="0"/>
                    <w:adjustRightInd w:val="0"/>
                    <w:spacing w:line="300" w:lineRule="exact"/>
                    <w:jc w:val="center"/>
                    <w:rPr>
                      <w:kern w:val="0"/>
                      <w:sz w:val="18"/>
                    </w:rPr>
                  </w:pPr>
                  <w:r>
                    <w:rPr>
                      <w:rFonts w:hint="eastAsia"/>
                      <w:kern w:val="0"/>
                      <w:sz w:val="18"/>
                    </w:rPr>
                    <w:t>各种轻质材料</w:t>
                  </w:r>
                </w:p>
              </w:tc>
              <w:tc>
                <w:tcPr>
                  <w:tcW w:w="2328" w:type="dxa"/>
                  <w:vAlign w:val="center"/>
                </w:tcPr>
                <w:p>
                  <w:pPr>
                    <w:autoSpaceDE w:val="0"/>
                    <w:autoSpaceDN w:val="0"/>
                    <w:adjustRightInd w:val="0"/>
                    <w:spacing w:line="300" w:lineRule="exact"/>
                    <w:jc w:val="center"/>
                    <w:rPr>
                      <w:kern w:val="0"/>
                      <w:sz w:val="18"/>
                    </w:rPr>
                  </w:pPr>
                  <w:r>
                    <w:rPr>
                      <w:rFonts w:hint="eastAsia"/>
                      <w:kern w:val="0"/>
                      <w:sz w:val="18"/>
                    </w:rPr>
                    <w:t>轻型载重卡车</w:t>
                  </w:r>
                </w:p>
              </w:tc>
              <w:tc>
                <w:tcPr>
                  <w:tcW w:w="2330" w:type="dxa"/>
                  <w:vAlign w:val="center"/>
                </w:tcPr>
                <w:p>
                  <w:pPr>
                    <w:autoSpaceDE w:val="0"/>
                    <w:autoSpaceDN w:val="0"/>
                    <w:adjustRightInd w:val="0"/>
                    <w:spacing w:line="300" w:lineRule="exact"/>
                    <w:jc w:val="center"/>
                    <w:rPr>
                      <w:kern w:val="0"/>
                      <w:sz w:val="18"/>
                    </w:rPr>
                  </w:pPr>
                  <w:r>
                    <w:rPr>
                      <w:rFonts w:hint="eastAsia"/>
                      <w:kern w:val="0"/>
                      <w:sz w:val="18"/>
                    </w:rPr>
                    <w:t>75~80</w:t>
                  </w:r>
                </w:p>
              </w:tc>
            </w:tr>
          </w:tbl>
          <w:p>
            <w:pPr>
              <w:autoSpaceDE w:val="0"/>
              <w:autoSpaceDN w:val="0"/>
              <w:adjustRightInd w:val="0"/>
              <w:spacing w:line="400" w:lineRule="exact"/>
              <w:ind w:firstLine="420" w:firstLineChars="200"/>
              <w:rPr>
                <w:kern w:val="0"/>
              </w:rPr>
            </w:pPr>
            <w:r>
              <w:rPr>
                <w:rFonts w:hint="eastAsia"/>
                <w:kern w:val="0"/>
              </w:rPr>
              <w:t>这些突发性非稳态噪声源将对周围环境产生一定影响。施工单位应采取以下有效的噪声污染防治措施加以控制。</w:t>
            </w:r>
          </w:p>
          <w:p>
            <w:pPr>
              <w:autoSpaceDE w:val="0"/>
              <w:autoSpaceDN w:val="0"/>
              <w:adjustRightInd w:val="0"/>
              <w:spacing w:line="400" w:lineRule="exact"/>
              <w:ind w:firstLine="422" w:firstLineChars="200"/>
              <w:rPr>
                <w:b/>
                <w:kern w:val="0"/>
              </w:rPr>
            </w:pPr>
            <w:r>
              <w:rPr>
                <w:rFonts w:hint="eastAsia"/>
                <w:b/>
                <w:kern w:val="0"/>
              </w:rPr>
              <w:t>治理措施:</w:t>
            </w:r>
          </w:p>
          <w:p>
            <w:pPr>
              <w:autoSpaceDE w:val="0"/>
              <w:autoSpaceDN w:val="0"/>
              <w:adjustRightInd w:val="0"/>
              <w:spacing w:line="400" w:lineRule="exact"/>
              <w:ind w:firstLine="420" w:firstLineChars="200"/>
              <w:rPr>
                <w:kern w:val="0"/>
              </w:rPr>
            </w:pPr>
            <w:r>
              <w:rPr>
                <w:rFonts w:hint="eastAsia"/>
                <w:kern w:val="0"/>
              </w:rPr>
              <w:t xml:space="preserve"> ①合理安排施工时间，禁止夜间 22:00~6:00 进行施工;</w:t>
            </w:r>
          </w:p>
          <w:p>
            <w:pPr>
              <w:autoSpaceDE w:val="0"/>
              <w:autoSpaceDN w:val="0"/>
              <w:adjustRightInd w:val="0"/>
              <w:spacing w:line="400" w:lineRule="exact"/>
              <w:ind w:firstLine="420" w:firstLineChars="200"/>
              <w:rPr>
                <w:kern w:val="0"/>
              </w:rPr>
            </w:pPr>
            <w:r>
              <w:rPr>
                <w:rFonts w:hint="eastAsia"/>
                <w:kern w:val="0"/>
              </w:rPr>
              <w:t>②尽量采用低噪声机械，工程施工所用的施工机械设备应事先对其常规工作状态下的噪声测量，超过国家标准的机械应禁止入场施工。施工过程中经常对设备进行维修保养，避免因使用的设备性能差而使噪声增加的现象发生；</w:t>
            </w:r>
          </w:p>
          <w:p>
            <w:pPr>
              <w:autoSpaceDE w:val="0"/>
              <w:autoSpaceDN w:val="0"/>
              <w:adjustRightInd w:val="0"/>
              <w:spacing w:line="400" w:lineRule="exact"/>
              <w:ind w:firstLine="420" w:firstLineChars="200"/>
              <w:rPr>
                <w:kern w:val="0"/>
              </w:rPr>
            </w:pPr>
            <w:r>
              <w:rPr>
                <w:rFonts w:hint="eastAsia"/>
                <w:kern w:val="0"/>
              </w:rPr>
              <w:t>③在靠近环境保护目标附近路段的施工调整施工时间，要求施工单位通过文明施工、加强有效管理加以缓解敲击、人的喊叫等作为施工活动的声源在靠近居民区域时，采用临 时性降噪措施，如采取隔声板等；</w:t>
            </w:r>
          </w:p>
          <w:p>
            <w:pPr>
              <w:autoSpaceDE w:val="0"/>
              <w:autoSpaceDN w:val="0"/>
              <w:adjustRightInd w:val="0"/>
              <w:spacing w:line="404" w:lineRule="exact"/>
              <w:ind w:firstLine="420" w:firstLineChars="200"/>
              <w:rPr>
                <w:kern w:val="0"/>
              </w:rPr>
            </w:pPr>
            <w:r>
              <w:rPr>
                <w:rFonts w:hint="eastAsia"/>
                <w:kern w:val="0"/>
              </w:rPr>
              <w:t>④施工方应该合理有效的制定施工计划，提高工作效率，把施工时间控制在最短范围内。</w:t>
            </w:r>
          </w:p>
          <w:p>
            <w:pPr>
              <w:autoSpaceDE w:val="0"/>
              <w:autoSpaceDN w:val="0"/>
              <w:adjustRightInd w:val="0"/>
              <w:spacing w:line="404" w:lineRule="exact"/>
              <w:rPr>
                <w:b/>
                <w:kern w:val="0"/>
              </w:rPr>
            </w:pPr>
            <w:r>
              <w:rPr>
                <w:rFonts w:hint="eastAsia"/>
                <w:b/>
                <w:kern w:val="0"/>
              </w:rPr>
              <w:t>5</w:t>
            </w:r>
            <w:r>
              <w:rPr>
                <w:b/>
                <w:kern w:val="0"/>
              </w:rPr>
              <w:t>、固体废物</w:t>
            </w:r>
          </w:p>
          <w:p>
            <w:pPr>
              <w:autoSpaceDE w:val="0"/>
              <w:autoSpaceDN w:val="0"/>
              <w:adjustRightInd w:val="0"/>
              <w:spacing w:line="404" w:lineRule="exact"/>
              <w:ind w:firstLine="420" w:firstLineChars="200"/>
              <w:rPr>
                <w:kern w:val="0"/>
              </w:rPr>
            </w:pPr>
            <w:r>
              <w:rPr>
                <w:rFonts w:hint="eastAsia"/>
                <w:kern w:val="0"/>
              </w:rPr>
              <w:t>施工期产生的固体废物主要为施工人员的生活垃圾、工程弃土和施工废料。</w:t>
            </w:r>
          </w:p>
          <w:p>
            <w:pPr>
              <w:autoSpaceDE w:val="0"/>
              <w:autoSpaceDN w:val="0"/>
              <w:adjustRightInd w:val="0"/>
              <w:spacing w:line="404" w:lineRule="exact"/>
              <w:ind w:firstLine="420" w:firstLineChars="200"/>
              <w:rPr>
                <w:kern w:val="0"/>
              </w:rPr>
            </w:pPr>
            <w:r>
              <w:rPr>
                <w:rFonts w:hint="eastAsia"/>
                <w:kern w:val="0"/>
              </w:rPr>
              <w:t>(1)生活垃圾</w:t>
            </w:r>
          </w:p>
          <w:p>
            <w:pPr>
              <w:autoSpaceDE w:val="0"/>
              <w:autoSpaceDN w:val="0"/>
              <w:adjustRightInd w:val="0"/>
              <w:spacing w:line="404" w:lineRule="exact"/>
              <w:ind w:firstLine="420" w:firstLineChars="200"/>
              <w:rPr>
                <w:kern w:val="0"/>
              </w:rPr>
            </w:pPr>
            <w:r>
              <w:rPr>
                <w:rFonts w:hint="eastAsia"/>
                <w:kern w:val="0"/>
              </w:rPr>
              <w:t>施工人员所产生的生活垃圾量以施工人数20人，排放系数取0.5kg/人·d计，则施工期间生活垃圾产生量约为10kg/d。</w:t>
            </w:r>
          </w:p>
          <w:p>
            <w:pPr>
              <w:autoSpaceDE w:val="0"/>
              <w:autoSpaceDN w:val="0"/>
              <w:adjustRightInd w:val="0"/>
              <w:spacing w:line="404" w:lineRule="exact"/>
              <w:ind w:firstLine="420" w:firstLineChars="200"/>
              <w:rPr>
                <w:kern w:val="0"/>
              </w:rPr>
            </w:pPr>
            <w:r>
              <w:rPr>
                <w:kern w:val="0"/>
              </w:rPr>
              <w:t>施工期产生的生活垃圾具有较大的分散性，且持续时间短。施工人员吃住依托当地的旅馆和饭店或民居，其生活垃圾处理均依托当地的处理设施，不能依托的，收集起来统一按当地环卫部门要求处置。建设单位在河流周围200m范围内不得随意向河流倾倒生活垃圾等固体废物。</w:t>
            </w:r>
          </w:p>
          <w:p>
            <w:pPr>
              <w:autoSpaceDE w:val="0"/>
              <w:autoSpaceDN w:val="0"/>
              <w:adjustRightInd w:val="0"/>
              <w:spacing w:line="404" w:lineRule="exact"/>
              <w:ind w:firstLine="420" w:firstLineChars="200"/>
              <w:rPr>
                <w:kern w:val="0"/>
              </w:rPr>
            </w:pPr>
            <w:r>
              <w:rPr>
                <w:rFonts w:hint="eastAsia"/>
                <w:kern w:val="0"/>
              </w:rPr>
              <w:t>(2)工程弃土</w:t>
            </w:r>
          </w:p>
          <w:p>
            <w:pPr>
              <w:autoSpaceDE w:val="0"/>
              <w:autoSpaceDN w:val="0"/>
              <w:adjustRightInd w:val="0"/>
              <w:spacing w:line="404" w:lineRule="exact"/>
              <w:ind w:firstLine="420" w:firstLineChars="200"/>
              <w:rPr>
                <w:kern w:val="0"/>
              </w:rPr>
            </w:pPr>
            <w:r>
              <w:rPr>
                <w:rFonts w:hint="eastAsia"/>
                <w:kern w:val="0"/>
              </w:rPr>
              <w:t>施工过程中产生的弃土主要为管道在陆地开挖敷设时、穿越工程施工时会产生泥土和碎石。根据施工设计，本工程土石方开挖量约8.4万m</w:t>
            </w:r>
            <w:r>
              <w:rPr>
                <w:rFonts w:hint="eastAsia"/>
                <w:kern w:val="0"/>
                <w:vertAlign w:val="superscript"/>
              </w:rPr>
              <w:t>3</w:t>
            </w:r>
            <w:r>
              <w:rPr>
                <w:rFonts w:hint="eastAsia"/>
                <w:kern w:val="0"/>
              </w:rPr>
              <w:t>。</w:t>
            </w:r>
          </w:p>
          <w:p>
            <w:pPr>
              <w:autoSpaceDE w:val="0"/>
              <w:autoSpaceDN w:val="0"/>
              <w:adjustRightInd w:val="0"/>
              <w:spacing w:line="404" w:lineRule="exact"/>
              <w:ind w:firstLine="420" w:firstLineChars="200"/>
              <w:rPr>
                <w:kern w:val="0"/>
              </w:rPr>
            </w:pPr>
            <w:r>
              <w:rPr>
                <w:rFonts w:hint="eastAsia"/>
                <w:kern w:val="0"/>
              </w:rPr>
              <w:t>项目在管沟开挖过程中主要产生的固废为土石方，大部分可用于管沟回填或两侧绿化，回用量约6.3万m</w:t>
            </w:r>
            <w:r>
              <w:rPr>
                <w:rFonts w:hint="eastAsia"/>
                <w:kern w:val="0"/>
                <w:vertAlign w:val="superscript"/>
              </w:rPr>
              <w:t>3</w:t>
            </w:r>
            <w:r>
              <w:rPr>
                <w:rFonts w:hint="eastAsia"/>
                <w:kern w:val="0"/>
              </w:rPr>
              <w:t>，需外运处置的弃土石方为2.1万m</w:t>
            </w:r>
            <w:r>
              <w:rPr>
                <w:rFonts w:hint="eastAsia"/>
                <w:kern w:val="0"/>
                <w:vertAlign w:val="superscript"/>
              </w:rPr>
              <w:t>3</w:t>
            </w:r>
            <w:r>
              <w:rPr>
                <w:rFonts w:hint="eastAsia"/>
                <w:kern w:val="0"/>
              </w:rPr>
              <w:t>。仅在作业带临时堆放，并及时外运至园区弃土场处置，不设置永久性堆场。</w:t>
            </w:r>
          </w:p>
          <w:p>
            <w:pPr>
              <w:autoSpaceDE w:val="0"/>
              <w:autoSpaceDN w:val="0"/>
              <w:adjustRightInd w:val="0"/>
              <w:spacing w:line="404" w:lineRule="exact"/>
              <w:ind w:firstLine="420" w:firstLineChars="200"/>
              <w:rPr>
                <w:kern w:val="0"/>
              </w:rPr>
            </w:pPr>
            <w:r>
              <w:rPr>
                <w:rFonts w:hint="eastAsia"/>
                <w:kern w:val="0"/>
              </w:rPr>
              <w:t>(3)施工废料</w:t>
            </w:r>
          </w:p>
          <w:p>
            <w:pPr>
              <w:autoSpaceDE w:val="0"/>
              <w:autoSpaceDN w:val="0"/>
              <w:adjustRightInd w:val="0"/>
              <w:spacing w:line="404" w:lineRule="exact"/>
              <w:ind w:firstLine="420" w:firstLineChars="200"/>
              <w:rPr>
                <w:kern w:val="0"/>
              </w:rPr>
            </w:pPr>
            <w:r>
              <w:rPr>
                <w:rFonts w:hint="eastAsia"/>
                <w:kern w:val="0"/>
              </w:rPr>
              <w:t>施工废料主要包括焊接作业中产生的废焊条、防腐作业中产生的废防腐材料及施工过程中产生的废混凝土等。根据类比调查，施工废料的产生量按0.2t/km估算，本项目管道建设产生的废料为1.2t。施工废料中废焊条等可回收利用，剩余不可利用废料依托当地环卫部门有偿清运。</w:t>
            </w:r>
          </w:p>
          <w:p>
            <w:pPr>
              <w:autoSpaceDE w:val="0"/>
              <w:autoSpaceDN w:val="0"/>
              <w:adjustRightInd w:val="0"/>
              <w:spacing w:line="404" w:lineRule="exact"/>
              <w:ind w:firstLine="422" w:firstLineChars="200"/>
              <w:rPr>
                <w:b/>
              </w:rPr>
            </w:pPr>
            <w:r>
              <w:rPr>
                <w:rFonts w:hint="eastAsia"/>
                <w:b/>
                <w:kern w:val="0"/>
              </w:rPr>
              <w:t>治理措施:</w:t>
            </w:r>
            <w:r>
              <w:rPr>
                <w:rFonts w:hint="eastAsia"/>
                <w:b/>
              </w:rPr>
              <w:t xml:space="preserve"> </w:t>
            </w:r>
          </w:p>
          <w:p>
            <w:pPr>
              <w:autoSpaceDE w:val="0"/>
              <w:autoSpaceDN w:val="0"/>
              <w:adjustRightInd w:val="0"/>
              <w:spacing w:line="404" w:lineRule="exact"/>
              <w:ind w:firstLine="420" w:firstLineChars="200"/>
              <w:rPr>
                <w:kern w:val="0"/>
              </w:rPr>
            </w:pPr>
            <w:r>
              <w:rPr>
                <w:rFonts w:hint="eastAsia"/>
              </w:rPr>
              <w:t>①</w:t>
            </w:r>
            <w:r>
              <w:rPr>
                <w:rFonts w:hint="eastAsia"/>
                <w:kern w:val="0"/>
              </w:rPr>
              <w:t>施工建设中产生的土石方全部进行回填，不外排。在土石方临时堆放过程中加强管理，使用篷布进行遮盖，防止起风扬尘以及暴雨天气冲刷。</w:t>
            </w:r>
          </w:p>
          <w:p>
            <w:pPr>
              <w:autoSpaceDE w:val="0"/>
              <w:autoSpaceDN w:val="0"/>
              <w:adjustRightInd w:val="0"/>
              <w:spacing w:line="404" w:lineRule="exact"/>
              <w:ind w:firstLine="420" w:firstLineChars="200"/>
              <w:rPr>
                <w:kern w:val="0"/>
              </w:rPr>
            </w:pPr>
            <w:r>
              <w:rPr>
                <w:rFonts w:hint="eastAsia"/>
                <w:kern w:val="0"/>
              </w:rPr>
              <w:t>②生活垃圾采取集中定点收集，定期清运到当地垃圾收集站进行统一处理，不得任意堆放和丢弃，以减少对环境的影响。</w:t>
            </w:r>
          </w:p>
          <w:p>
            <w:pPr>
              <w:autoSpaceDE w:val="0"/>
              <w:autoSpaceDN w:val="0"/>
              <w:adjustRightInd w:val="0"/>
              <w:spacing w:line="404" w:lineRule="exact"/>
              <w:ind w:firstLine="420" w:firstLineChars="200"/>
              <w:rPr>
                <w:kern w:val="0"/>
              </w:rPr>
            </w:pPr>
            <w:r>
              <w:rPr>
                <w:rFonts w:hint="eastAsia"/>
                <w:kern w:val="0"/>
              </w:rPr>
              <w:t>③对产生的建筑废料，运送当地政府及管理部门指定填埋场处理。</w:t>
            </w:r>
          </w:p>
          <w:p>
            <w:pPr>
              <w:autoSpaceDE w:val="0"/>
              <w:autoSpaceDN w:val="0"/>
              <w:adjustRightInd w:val="0"/>
              <w:spacing w:line="404" w:lineRule="exact"/>
              <w:rPr>
                <w:b/>
                <w:kern w:val="0"/>
              </w:rPr>
            </w:pPr>
            <w:r>
              <w:rPr>
                <w:rFonts w:hint="eastAsia"/>
                <w:b/>
                <w:kern w:val="0"/>
              </w:rPr>
              <w:t>6、施工期环境监测</w:t>
            </w:r>
          </w:p>
          <w:p>
            <w:pPr>
              <w:autoSpaceDE w:val="0"/>
              <w:autoSpaceDN w:val="0"/>
              <w:adjustRightInd w:val="0"/>
              <w:spacing w:line="404" w:lineRule="exact"/>
              <w:ind w:firstLine="420" w:firstLineChars="200"/>
              <w:rPr>
                <w:kern w:val="0"/>
              </w:rPr>
            </w:pPr>
            <w:r>
              <w:rPr>
                <w:kern w:val="0"/>
              </w:rPr>
              <w:t>施工期的环境监测主要是对作业场所的控制监测和事故发生后的影响监测，主要监测对象有土壤、植被、施工作业废气、废水和噪声等。对作业场所的控制监测可视当地具体情况及当地环保部门要求等情况而定，诸如：在人群密集区施工可进行适当噪声监测，在重要河流穿越施工时进行水质监测等。对事故监测可根据事故性质、事故影响的大小等，视具体情况监测大气、土壤、水等。</w:t>
            </w:r>
            <w:r>
              <w:rPr>
                <w:rFonts w:hint="eastAsia"/>
                <w:kern w:val="0"/>
              </w:rPr>
              <w:t>本工程</w:t>
            </w:r>
            <w:r>
              <w:rPr>
                <w:kern w:val="0"/>
              </w:rPr>
              <w:t>监督、监测计划见下表。</w:t>
            </w:r>
          </w:p>
          <w:p>
            <w:pPr>
              <w:pStyle w:val="57"/>
              <w:spacing w:line="400" w:lineRule="exact"/>
              <w:rPr>
                <w:rFonts w:ascii="Times New Roman" w:hAnsi="Times New Roman" w:eastAsia="宋体"/>
                <w:b/>
                <w:bCs w:val="0"/>
                <w:sz w:val="18"/>
                <w:szCs w:val="21"/>
              </w:rPr>
            </w:pPr>
            <w:r>
              <w:rPr>
                <w:rFonts w:ascii="宋体" w:hAnsi="宋体" w:eastAsia="宋体"/>
                <w:b/>
                <w:bCs w:val="0"/>
                <w:sz w:val="18"/>
                <w:szCs w:val="21"/>
              </w:rPr>
              <w:t>表</w:t>
            </w:r>
            <w:r>
              <w:rPr>
                <w:rFonts w:hint="eastAsia" w:ascii="宋体" w:hAnsi="宋体" w:eastAsia="宋体"/>
                <w:b/>
                <w:bCs w:val="0"/>
                <w:sz w:val="18"/>
                <w:szCs w:val="21"/>
              </w:rPr>
              <w:t xml:space="preserve">5-3  </w:t>
            </w:r>
            <w:r>
              <w:rPr>
                <w:rFonts w:ascii="宋体" w:hAnsi="宋体" w:eastAsia="宋体"/>
                <w:b/>
                <w:bCs w:val="0"/>
                <w:sz w:val="18"/>
                <w:szCs w:val="21"/>
              </w:rPr>
              <w:t>施工期环境监督、监测计划</w:t>
            </w:r>
          </w:p>
          <w:tbl>
            <w:tblPr>
              <w:tblStyle w:val="58"/>
              <w:tblW w:w="7779" w:type="dxa"/>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4"/>
              <w:gridCol w:w="3505"/>
              <w:gridCol w:w="1316"/>
              <w:gridCol w:w="19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1024" w:type="dxa"/>
                  <w:vAlign w:val="center"/>
                </w:tcPr>
                <w:p>
                  <w:pPr>
                    <w:kinsoku w:val="0"/>
                    <w:autoSpaceDE w:val="0"/>
                    <w:autoSpaceDN w:val="0"/>
                    <w:adjustRightInd w:val="0"/>
                    <w:snapToGrid w:val="0"/>
                    <w:spacing w:line="300" w:lineRule="exact"/>
                    <w:jc w:val="center"/>
                    <w:textAlignment w:val="baseline"/>
                    <w:rPr>
                      <w:rFonts w:eastAsia="Times New Roman"/>
                      <w:b/>
                      <w:bCs/>
                      <w:kern w:val="0"/>
                      <w:sz w:val="16"/>
                      <w:szCs w:val="21"/>
                    </w:rPr>
                  </w:pPr>
                  <w:r>
                    <w:rPr>
                      <w:rFonts w:ascii="宋体" w:hAnsi="宋体" w:eastAsia="Times New Roman"/>
                      <w:b/>
                      <w:bCs/>
                      <w:kern w:val="0"/>
                      <w:sz w:val="16"/>
                    </w:rPr>
                    <w:t>监测项目</w:t>
                  </w:r>
                </w:p>
              </w:tc>
              <w:tc>
                <w:tcPr>
                  <w:tcW w:w="3505" w:type="dxa"/>
                  <w:vAlign w:val="center"/>
                </w:tcPr>
                <w:p>
                  <w:pPr>
                    <w:kinsoku w:val="0"/>
                    <w:autoSpaceDE w:val="0"/>
                    <w:autoSpaceDN w:val="0"/>
                    <w:adjustRightInd w:val="0"/>
                    <w:snapToGrid w:val="0"/>
                    <w:spacing w:line="300" w:lineRule="exact"/>
                    <w:jc w:val="center"/>
                    <w:textAlignment w:val="baseline"/>
                    <w:rPr>
                      <w:rFonts w:eastAsia="Times New Roman"/>
                      <w:b/>
                      <w:bCs/>
                      <w:kern w:val="0"/>
                      <w:sz w:val="16"/>
                      <w:szCs w:val="21"/>
                    </w:rPr>
                  </w:pPr>
                  <w:r>
                    <w:rPr>
                      <w:rFonts w:ascii="宋体" w:hAnsi="宋体" w:eastAsia="Times New Roman"/>
                      <w:b/>
                      <w:bCs/>
                      <w:kern w:val="0"/>
                      <w:sz w:val="16"/>
                    </w:rPr>
                    <w:t>监督、监测内容</w:t>
                  </w:r>
                </w:p>
              </w:tc>
              <w:tc>
                <w:tcPr>
                  <w:tcW w:w="1316" w:type="dxa"/>
                  <w:vAlign w:val="center"/>
                </w:tcPr>
                <w:p>
                  <w:pPr>
                    <w:kinsoku w:val="0"/>
                    <w:autoSpaceDE w:val="0"/>
                    <w:autoSpaceDN w:val="0"/>
                    <w:adjustRightInd w:val="0"/>
                    <w:snapToGrid w:val="0"/>
                    <w:spacing w:line="300" w:lineRule="exact"/>
                    <w:jc w:val="center"/>
                    <w:textAlignment w:val="baseline"/>
                    <w:rPr>
                      <w:rFonts w:eastAsia="Times New Roman"/>
                      <w:b/>
                      <w:bCs/>
                      <w:kern w:val="0"/>
                      <w:sz w:val="16"/>
                      <w:szCs w:val="21"/>
                    </w:rPr>
                  </w:pPr>
                  <w:r>
                    <w:rPr>
                      <w:rFonts w:ascii="宋体" w:hAnsi="宋体" w:eastAsia="Times New Roman"/>
                      <w:b/>
                      <w:bCs/>
                      <w:kern w:val="0"/>
                      <w:sz w:val="16"/>
                    </w:rPr>
                    <w:t>报告制度</w:t>
                  </w:r>
                </w:p>
              </w:tc>
              <w:tc>
                <w:tcPr>
                  <w:tcW w:w="1934" w:type="dxa"/>
                  <w:vAlign w:val="center"/>
                </w:tcPr>
                <w:p>
                  <w:pPr>
                    <w:kinsoku w:val="0"/>
                    <w:autoSpaceDE w:val="0"/>
                    <w:autoSpaceDN w:val="0"/>
                    <w:adjustRightInd w:val="0"/>
                    <w:snapToGrid w:val="0"/>
                    <w:spacing w:line="300" w:lineRule="exact"/>
                    <w:jc w:val="center"/>
                    <w:textAlignment w:val="baseline"/>
                    <w:rPr>
                      <w:rFonts w:eastAsia="Times New Roman"/>
                      <w:b/>
                      <w:bCs/>
                      <w:kern w:val="0"/>
                      <w:sz w:val="16"/>
                      <w:szCs w:val="21"/>
                    </w:rPr>
                  </w:pPr>
                  <w:r>
                    <w:rPr>
                      <w:rFonts w:ascii="宋体" w:hAnsi="宋体" w:eastAsia="Times New Roman"/>
                      <w:b/>
                      <w:bCs/>
                      <w:kern w:val="0"/>
                      <w:sz w:val="16"/>
                    </w:rPr>
                    <w:t>实施单位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1024"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施工现场清理</w:t>
                  </w:r>
                </w:p>
              </w:tc>
              <w:tc>
                <w:tcPr>
                  <w:tcW w:w="3505"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施工结束后，施工现场的弃土、石、渣等垃</w:t>
                  </w:r>
                </w:p>
                <w:p>
                  <w:pPr>
                    <w:kinsoku w:val="0"/>
                    <w:autoSpaceDE w:val="0"/>
                    <w:autoSpaceDN w:val="0"/>
                    <w:adjustRightInd w:val="0"/>
                    <w:snapToGrid w:val="0"/>
                    <w:spacing w:line="300" w:lineRule="exact"/>
                    <w:jc w:val="center"/>
                    <w:textAlignment w:val="baseline"/>
                    <w:rPr>
                      <w:rFonts w:eastAsia="Times New Roman"/>
                      <w:kern w:val="0"/>
                      <w:sz w:val="16"/>
                    </w:rPr>
                  </w:pPr>
                  <w:r>
                    <w:rPr>
                      <w:rFonts w:ascii="宋体" w:hAnsi="宋体" w:eastAsia="Times New Roman"/>
                      <w:kern w:val="0"/>
                      <w:sz w:val="16"/>
                    </w:rPr>
                    <w:t>圾和生态环境恢复情况；监督频率：施工结</w:t>
                  </w:r>
                </w:p>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束后</w:t>
                  </w:r>
                  <w:r>
                    <w:rPr>
                      <w:rFonts w:eastAsia="Times New Roman"/>
                      <w:kern w:val="0"/>
                      <w:sz w:val="16"/>
                    </w:rPr>
                    <w:t>1</w:t>
                  </w:r>
                  <w:r>
                    <w:rPr>
                      <w:rFonts w:ascii="宋体" w:hAnsi="宋体" w:eastAsia="Times New Roman"/>
                      <w:kern w:val="0"/>
                      <w:sz w:val="16"/>
                    </w:rPr>
                    <w:t>次；监督点：各施工区段</w:t>
                  </w:r>
                </w:p>
              </w:tc>
              <w:tc>
                <w:tcPr>
                  <w:tcW w:w="1316"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报建设单位</w:t>
                  </w:r>
                </w:p>
              </w:tc>
              <w:tc>
                <w:tcPr>
                  <w:tcW w:w="1934"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建设单位和施工单位专、兼职环保人员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024"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施工噪声</w:t>
                  </w:r>
                </w:p>
              </w:tc>
              <w:tc>
                <w:tcPr>
                  <w:tcW w:w="3505"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居民密集区厂界噪声；监测频率：施工中视情况而定；监测点：各环境敏感点段</w:t>
                  </w:r>
                </w:p>
              </w:tc>
              <w:tc>
                <w:tcPr>
                  <w:tcW w:w="1316"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报建设单位</w:t>
                  </w:r>
                </w:p>
              </w:tc>
              <w:tc>
                <w:tcPr>
                  <w:tcW w:w="1934"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建设单位和施工单位专、兼职环保人员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024"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穿越点水质</w:t>
                  </w:r>
                </w:p>
              </w:tc>
              <w:tc>
                <w:tcPr>
                  <w:tcW w:w="3505"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后巴河等河流穿越点施工期间监测地表水质</w:t>
                  </w:r>
                </w:p>
              </w:tc>
              <w:tc>
                <w:tcPr>
                  <w:tcW w:w="1316"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报建设单位和市环保部门</w:t>
                  </w:r>
                </w:p>
              </w:tc>
              <w:tc>
                <w:tcPr>
                  <w:tcW w:w="1934"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建设单位和施工单位专、兼职环保人员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024"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事故监测</w:t>
                  </w:r>
                </w:p>
              </w:tc>
              <w:tc>
                <w:tcPr>
                  <w:tcW w:w="3505"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根据事故性质、事故影响的大小，视具体情况监测大气、土壤、水等</w:t>
                  </w:r>
                </w:p>
              </w:tc>
              <w:tc>
                <w:tcPr>
                  <w:tcW w:w="1316"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报建设单位和市环保部门</w:t>
                  </w:r>
                </w:p>
              </w:tc>
              <w:tc>
                <w:tcPr>
                  <w:tcW w:w="1934"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当地环境监测站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1024"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水土保持</w:t>
                  </w:r>
                </w:p>
              </w:tc>
              <w:tc>
                <w:tcPr>
                  <w:tcW w:w="3505"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影响水土流失的因子；水土流失量；水土流失灾害；水土保持设施效益</w:t>
                  </w:r>
                </w:p>
              </w:tc>
              <w:tc>
                <w:tcPr>
                  <w:tcW w:w="1316" w:type="dxa"/>
                  <w:vAlign w:val="center"/>
                </w:tcPr>
                <w:p>
                  <w:pPr>
                    <w:kinsoku w:val="0"/>
                    <w:autoSpaceDE w:val="0"/>
                    <w:autoSpaceDN w:val="0"/>
                    <w:adjustRightInd w:val="0"/>
                    <w:snapToGrid w:val="0"/>
                    <w:spacing w:line="300" w:lineRule="exact"/>
                    <w:jc w:val="center"/>
                    <w:textAlignment w:val="baseline"/>
                    <w:rPr>
                      <w:rFonts w:eastAsia="Times New Roman"/>
                      <w:kern w:val="0"/>
                      <w:sz w:val="16"/>
                      <w:szCs w:val="21"/>
                    </w:rPr>
                  </w:pPr>
                  <w:r>
                    <w:rPr>
                      <w:rFonts w:ascii="宋体" w:hAnsi="宋体" w:eastAsia="Times New Roman"/>
                      <w:kern w:val="0"/>
                      <w:sz w:val="16"/>
                    </w:rPr>
                    <w:t>报建设单位</w:t>
                  </w:r>
                </w:p>
              </w:tc>
              <w:tc>
                <w:tcPr>
                  <w:tcW w:w="1934" w:type="dxa"/>
                  <w:vAlign w:val="center"/>
                </w:tcPr>
                <w:p>
                  <w:pPr>
                    <w:kinsoku w:val="0"/>
                    <w:autoSpaceDE w:val="0"/>
                    <w:autoSpaceDN w:val="0"/>
                    <w:adjustRightInd w:val="0"/>
                    <w:snapToGrid w:val="0"/>
                    <w:spacing w:line="300" w:lineRule="exact"/>
                    <w:textAlignment w:val="baseline"/>
                    <w:rPr>
                      <w:rFonts w:eastAsia="Times New Roman"/>
                      <w:kern w:val="0"/>
                      <w:sz w:val="16"/>
                      <w:szCs w:val="21"/>
                    </w:rPr>
                  </w:pPr>
                  <w:r>
                    <w:rPr>
                      <w:rFonts w:ascii="宋体" w:hAnsi="宋体" w:eastAsia="Times New Roman"/>
                      <w:kern w:val="0"/>
                      <w:sz w:val="16"/>
                    </w:rPr>
                    <w:t>在有关行政主管部门的协调指导下，委托当地水保监测单位完成</w:t>
                  </w:r>
                </w:p>
              </w:tc>
            </w:tr>
          </w:tbl>
          <w:p>
            <w:pPr>
              <w:autoSpaceDE w:val="0"/>
              <w:autoSpaceDN w:val="0"/>
              <w:adjustRightInd w:val="0"/>
              <w:spacing w:line="100" w:lineRule="exact"/>
              <w:ind w:firstLine="420" w:firstLineChars="200"/>
            </w:pPr>
          </w:p>
          <w:p>
            <w:pPr>
              <w:pStyle w:val="2"/>
              <w:spacing w:after="0" w:line="100" w:lineRule="exact"/>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55" w:type="dxa"/>
            <w:tcMar>
              <w:left w:w="28" w:type="dxa"/>
              <w:right w:w="28" w:type="dxa"/>
            </w:tcMar>
            <w:vAlign w:val="center"/>
          </w:tcPr>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r>
              <w:rPr>
                <w:rFonts w:hint="eastAsia" w:ascii="宋体" w:hAnsi="宋体" w:cs="宋体"/>
                <w:bCs/>
                <w:spacing w:val="10"/>
                <w:szCs w:val="21"/>
              </w:rPr>
              <w:t>运营期生态环境保护措施</w:t>
            </w: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r>
              <w:rPr>
                <w:rFonts w:hint="eastAsia" w:ascii="宋体" w:hAnsi="宋体" w:cs="宋体"/>
                <w:bCs/>
                <w:spacing w:val="10"/>
                <w:szCs w:val="21"/>
              </w:rPr>
              <w:t>运营期生态环境保护措施</w:t>
            </w: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pStyle w:val="2"/>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r>
              <w:rPr>
                <w:rFonts w:hint="eastAsia" w:ascii="宋体" w:hAnsi="宋体" w:cs="宋体"/>
                <w:bCs/>
                <w:spacing w:val="10"/>
                <w:szCs w:val="21"/>
              </w:rPr>
              <w:t>运营期生态环境保护措施</w:t>
            </w: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r>
              <w:rPr>
                <w:rFonts w:hint="eastAsia" w:ascii="宋体" w:hAnsi="宋体" w:cs="宋体"/>
                <w:bCs/>
                <w:spacing w:val="10"/>
                <w:szCs w:val="21"/>
              </w:rPr>
              <w:t>运营期生态环境保护措施</w:t>
            </w: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r>
              <w:rPr>
                <w:rFonts w:hint="eastAsia" w:ascii="宋体" w:hAnsi="宋体" w:cs="宋体"/>
                <w:bCs/>
                <w:spacing w:val="10"/>
                <w:szCs w:val="21"/>
              </w:rPr>
              <w:t>运营期生态环境保护措施</w:t>
            </w: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p>
            <w:pPr>
              <w:adjustRightInd w:val="0"/>
              <w:snapToGrid w:val="0"/>
              <w:jc w:val="center"/>
              <w:rPr>
                <w:rFonts w:ascii="宋体" w:hAnsi="宋体" w:cs="宋体"/>
                <w:bCs/>
                <w:spacing w:val="10"/>
                <w:szCs w:val="21"/>
              </w:rPr>
            </w:pPr>
          </w:p>
        </w:tc>
        <w:tc>
          <w:tcPr>
            <w:tcW w:w="8080" w:type="dxa"/>
          </w:tcPr>
          <w:p>
            <w:pPr>
              <w:autoSpaceDE w:val="0"/>
              <w:autoSpaceDN w:val="0"/>
              <w:adjustRightInd w:val="0"/>
              <w:spacing w:line="400" w:lineRule="exact"/>
              <w:rPr>
                <w:b/>
                <w:kern w:val="0"/>
              </w:rPr>
            </w:pPr>
            <w:r>
              <w:rPr>
                <w:b/>
                <w:kern w:val="0"/>
              </w:rPr>
              <w:t>1、废气</w:t>
            </w:r>
          </w:p>
          <w:p>
            <w:pPr>
              <w:autoSpaceDE w:val="0"/>
              <w:autoSpaceDN w:val="0"/>
              <w:adjustRightInd w:val="0"/>
              <w:spacing w:line="400" w:lineRule="exact"/>
              <w:ind w:firstLine="420" w:firstLineChars="200"/>
              <w:rPr>
                <w:kern w:val="0"/>
              </w:rPr>
            </w:pPr>
            <w:r>
              <w:rPr>
                <w:rFonts w:hint="eastAsia"/>
                <w:kern w:val="0"/>
              </w:rPr>
              <w:t>根据分析，本项目属于天然气供气管道项目，项目建成后将对本项目用气企业形成15x10</w:t>
            </w:r>
            <w:r>
              <w:rPr>
                <w:rFonts w:hint="eastAsia"/>
                <w:kern w:val="0"/>
                <w:vertAlign w:val="superscript"/>
              </w:rPr>
              <w:t>8</w:t>
            </w:r>
            <w:r>
              <w:rPr>
                <w:rFonts w:hint="eastAsia"/>
                <w:kern w:val="0"/>
              </w:rPr>
              <w:t>Nm</w:t>
            </w:r>
            <w:r>
              <w:rPr>
                <w:rFonts w:hint="eastAsia"/>
                <w:kern w:val="0"/>
                <w:vertAlign w:val="superscript"/>
              </w:rPr>
              <w:t>3</w:t>
            </w:r>
            <w:r>
              <w:rPr>
                <w:rFonts w:hint="eastAsia"/>
                <w:kern w:val="0"/>
              </w:rPr>
              <w:t>/d的供气规模，本项目气源来自中石化普光净化厂。项目管道输送过程正常情况下无废气产生，废气排放主要是在配气站非正常情况下的排放，主要包含清管作业、分离器检修以及系统超压排放的天然气。</w:t>
            </w:r>
          </w:p>
          <w:p>
            <w:pPr>
              <w:autoSpaceDE w:val="0"/>
              <w:autoSpaceDN w:val="0"/>
              <w:adjustRightInd w:val="0"/>
              <w:spacing w:line="400" w:lineRule="exact"/>
              <w:ind w:firstLine="420" w:firstLineChars="200"/>
              <w:rPr>
                <w:b/>
                <w:kern w:val="0"/>
              </w:rPr>
            </w:pPr>
            <w:r>
              <w:rPr>
                <w:rFonts w:hint="eastAsia"/>
                <w:kern w:val="0"/>
              </w:rPr>
              <w:t>（1）</w:t>
            </w:r>
            <w:r>
              <w:rPr>
                <w:rFonts w:hint="eastAsia"/>
                <w:b/>
                <w:kern w:val="0"/>
              </w:rPr>
              <w:t>污染物排放、治理措施：</w:t>
            </w:r>
          </w:p>
          <w:p>
            <w:pPr>
              <w:autoSpaceDE w:val="0"/>
              <w:autoSpaceDN w:val="0"/>
              <w:adjustRightInd w:val="0"/>
              <w:spacing w:line="400" w:lineRule="exact"/>
              <w:ind w:firstLine="420" w:firstLineChars="200"/>
              <w:rPr>
                <w:kern w:val="0"/>
              </w:rPr>
            </w:pPr>
            <w:r>
              <w:rPr>
                <w:rFonts w:hint="eastAsia"/>
                <w:kern w:val="0"/>
              </w:rPr>
              <w:t>①清管作业排放的天然气</w:t>
            </w:r>
          </w:p>
          <w:p>
            <w:pPr>
              <w:autoSpaceDE w:val="0"/>
              <w:autoSpaceDN w:val="0"/>
              <w:adjustRightInd w:val="0"/>
              <w:spacing w:line="400" w:lineRule="exact"/>
              <w:ind w:firstLine="420" w:firstLineChars="200"/>
              <w:rPr>
                <w:kern w:val="0"/>
              </w:rPr>
            </w:pPr>
            <w:r>
              <w:rPr>
                <w:rFonts w:hint="eastAsia"/>
                <w:kern w:val="0"/>
              </w:rPr>
              <w:t>本工程清管作业位于配气站内，清管作业的目的在于清扫输气管道内的杂物、积污，提高管道输送效率，减少摩阻损失和管道内壁腐蚀，延长管道使用寿命。工程正常营运期间，每年进行清管作业1~3次，清管作业时收球筒有极少量的天然气将通过高25m的放空立管直接排放。根据类比调查，每次清管收球作业排放天然气约为15m</w:t>
            </w:r>
            <w:r>
              <w:rPr>
                <w:rFonts w:hint="eastAsia"/>
                <w:kern w:val="0"/>
                <w:vertAlign w:val="superscript"/>
              </w:rPr>
              <w:t>3</w:t>
            </w:r>
            <w:r>
              <w:rPr>
                <w:rFonts w:hint="eastAsia"/>
                <w:kern w:val="0"/>
              </w:rPr>
              <w:t>，清管作业排放天然气为瞬时排放，对环境的影响较小。</w:t>
            </w:r>
          </w:p>
          <w:p>
            <w:pPr>
              <w:autoSpaceDE w:val="0"/>
              <w:autoSpaceDN w:val="0"/>
              <w:adjustRightInd w:val="0"/>
              <w:spacing w:line="400" w:lineRule="exact"/>
              <w:ind w:firstLine="420" w:firstLineChars="200"/>
              <w:rPr>
                <w:kern w:val="0"/>
              </w:rPr>
            </w:pPr>
            <w:r>
              <w:rPr>
                <w:rFonts w:hint="eastAsia"/>
                <w:kern w:val="0"/>
              </w:rPr>
              <w:t>②分离器检修排放的天然气</w:t>
            </w:r>
          </w:p>
          <w:p>
            <w:pPr>
              <w:autoSpaceDE w:val="0"/>
              <w:autoSpaceDN w:val="0"/>
              <w:adjustRightInd w:val="0"/>
              <w:spacing w:line="400" w:lineRule="exact"/>
              <w:ind w:firstLine="420" w:firstLineChars="200"/>
              <w:rPr>
                <w:kern w:val="0"/>
              </w:rPr>
            </w:pPr>
            <w:r>
              <w:rPr>
                <w:rFonts w:hint="eastAsia"/>
                <w:kern w:val="0"/>
              </w:rPr>
              <w:t>设置过滤分离器的目的在于除去管输天然气中的小粒径粉尘和可能携带的少量液体。分离器一般每年进行1次定期检修，分离器检修泄漏的少量天然气将通过高25m的放空立管直接排放。根据类比调查，每次分离器检修作业天然气排放量约为10m</w:t>
            </w:r>
            <w:r>
              <w:rPr>
                <w:rFonts w:hint="eastAsia"/>
                <w:kern w:val="0"/>
                <w:vertAlign w:val="superscript"/>
              </w:rPr>
              <w:t>3</w:t>
            </w:r>
            <w:r>
              <w:rPr>
                <w:rFonts w:hint="eastAsia"/>
                <w:kern w:val="0"/>
              </w:rPr>
              <w:t>，分离器检修排放天然气为瞬时排放，对环境的影响较小。</w:t>
            </w:r>
          </w:p>
          <w:p>
            <w:pPr>
              <w:autoSpaceDE w:val="0"/>
              <w:autoSpaceDN w:val="0"/>
              <w:adjustRightInd w:val="0"/>
              <w:spacing w:line="400" w:lineRule="exact"/>
              <w:ind w:firstLine="420" w:firstLineChars="200"/>
              <w:rPr>
                <w:kern w:val="0"/>
              </w:rPr>
            </w:pPr>
            <w:r>
              <w:rPr>
                <w:rFonts w:hint="eastAsia"/>
                <w:kern w:val="0"/>
              </w:rPr>
              <w:t>③系统超压排放的天然气</w:t>
            </w:r>
          </w:p>
          <w:p>
            <w:pPr>
              <w:autoSpaceDE w:val="0"/>
              <w:autoSpaceDN w:val="0"/>
              <w:adjustRightInd w:val="0"/>
              <w:spacing w:line="400" w:lineRule="exact"/>
              <w:ind w:firstLine="420" w:firstLineChars="200"/>
              <w:rPr>
                <w:kern w:val="0"/>
              </w:rPr>
            </w:pPr>
            <w:r>
              <w:rPr>
                <w:rFonts w:hint="eastAsia"/>
                <w:kern w:val="0"/>
              </w:rPr>
              <w:t>根据《石油天然气工程设计防火规范》 （GB50183-2004），本项目配气站属于五级场站，其气源已经脱硫和脱水处理且无需净化，只需经过滤分离、调压后供给使用。故该场站系统超压的情况很少。</w:t>
            </w:r>
          </w:p>
          <w:p>
            <w:pPr>
              <w:autoSpaceDE w:val="0"/>
              <w:autoSpaceDN w:val="0"/>
              <w:adjustRightInd w:val="0"/>
              <w:spacing w:line="400" w:lineRule="exact"/>
              <w:ind w:firstLine="420" w:firstLineChars="200"/>
              <w:rPr>
                <w:kern w:val="0"/>
              </w:rPr>
            </w:pPr>
            <w:r>
              <w:rPr>
                <w:rFonts w:hint="eastAsia"/>
                <w:kern w:val="0"/>
              </w:rPr>
              <w:t>营运期站场系统超压时产生的少量天然气，天然气超压放空系统采用冷放空，放空次数极少，发生频率为1~2次/年，每次持续时间为2~5min。根据经验数据，配气站系统超压情况的废气排放量约100m</w:t>
            </w:r>
            <w:r>
              <w:rPr>
                <w:rFonts w:hint="eastAsia"/>
                <w:kern w:val="0"/>
                <w:vertAlign w:val="superscript"/>
              </w:rPr>
              <w:t>3</w:t>
            </w:r>
            <w:r>
              <w:rPr>
                <w:rFonts w:hint="eastAsia"/>
                <w:kern w:val="0"/>
              </w:rPr>
              <w:t>/a，通过DN200h25m的放空管排放，经扩散稀释，对环境影响小。此外，运行过程中由于操作失误、设备或阀门失控等原因将导致大量天然气排入大气环境，进而影响环境空气；一旦泄漏的天然气遇到明火发生火灾爆炸，则会产生大量的SO</w:t>
            </w:r>
            <w:r>
              <w:rPr>
                <w:rFonts w:hint="eastAsia"/>
                <w:kern w:val="0"/>
                <w:vertAlign w:val="subscript"/>
              </w:rPr>
              <w:t>2</w:t>
            </w:r>
            <w:r>
              <w:rPr>
                <w:rFonts w:hint="eastAsia"/>
                <w:kern w:val="0"/>
              </w:rPr>
              <w:t>、NO</w:t>
            </w:r>
            <w:r>
              <w:rPr>
                <w:rFonts w:hint="eastAsia"/>
                <w:kern w:val="0"/>
                <w:vertAlign w:val="subscript"/>
              </w:rPr>
              <w:t>x</w:t>
            </w:r>
            <w:r>
              <w:rPr>
                <w:rFonts w:hint="eastAsia"/>
                <w:kern w:val="0"/>
              </w:rPr>
              <w:t>、CO等污染物，从而污染事故点附近环境空气，并可能对附近人群造成伤害。本工程设计自动化程度非常高，一旦发生上述情况，紧急截断阀门会迅速关闭，可避免大量天然气的泄漏。</w:t>
            </w:r>
          </w:p>
          <w:p>
            <w:pPr>
              <w:autoSpaceDE w:val="0"/>
              <w:autoSpaceDN w:val="0"/>
              <w:adjustRightInd w:val="0"/>
              <w:spacing w:line="400" w:lineRule="exact"/>
              <w:ind w:firstLine="420" w:firstLineChars="200"/>
              <w:rPr>
                <w:kern w:val="0"/>
              </w:rPr>
            </w:pPr>
            <w:r>
              <w:rPr>
                <w:rFonts w:hint="eastAsia"/>
                <w:kern w:val="0"/>
              </w:rPr>
              <w:t>④柴油发电机废气</w:t>
            </w:r>
          </w:p>
          <w:p>
            <w:pPr>
              <w:autoSpaceDE w:val="0"/>
              <w:autoSpaceDN w:val="0"/>
              <w:adjustRightInd w:val="0"/>
              <w:spacing w:line="400" w:lineRule="exact"/>
              <w:ind w:firstLine="420" w:firstLineChars="200"/>
              <w:rPr>
                <w:kern w:val="0"/>
              </w:rPr>
            </w:pPr>
            <w:r>
              <w:rPr>
                <w:rFonts w:hint="eastAsia"/>
                <w:kern w:val="0"/>
              </w:rPr>
              <w:t>项目配气站遇到停电状况时将会使用站内的备用柴油发电机供电。柴油发电机使用过程会产生废气，其主要成分为 CO、HC、NOx。发电机房采用机械送、排风的形式，发电机房内保持着良好的通风性，发电机燃油废气经发烟处理装置处理后引至发电机房顶排放，废气量很小，采用上述措施后完全能够做到达标排放。</w:t>
            </w:r>
          </w:p>
          <w:p>
            <w:pPr>
              <w:autoSpaceDE w:val="0"/>
              <w:autoSpaceDN w:val="0"/>
              <w:adjustRightInd w:val="0"/>
              <w:spacing w:line="400" w:lineRule="exact"/>
              <w:ind w:firstLine="420" w:firstLineChars="200"/>
              <w:rPr>
                <w:kern w:val="0"/>
              </w:rPr>
            </w:pPr>
            <w:r>
              <w:rPr>
                <w:kern w:val="0"/>
              </w:rPr>
              <w:t>（</w:t>
            </w:r>
            <w:r>
              <w:rPr>
                <w:rFonts w:hint="eastAsia"/>
                <w:kern w:val="0"/>
              </w:rPr>
              <w:t>2</w:t>
            </w:r>
            <w:r>
              <w:rPr>
                <w:kern w:val="0"/>
              </w:rPr>
              <w:t>）监测要求</w:t>
            </w:r>
          </w:p>
          <w:p>
            <w:pPr>
              <w:autoSpaceDE w:val="0"/>
              <w:autoSpaceDN w:val="0"/>
              <w:adjustRightInd w:val="0"/>
              <w:spacing w:line="400" w:lineRule="exact"/>
              <w:ind w:firstLine="420" w:firstLineChars="200"/>
              <w:rPr>
                <w:kern w:val="0"/>
              </w:rPr>
            </w:pPr>
            <w:r>
              <w:rPr>
                <w:rFonts w:hint="eastAsia"/>
                <w:kern w:val="0"/>
              </w:rPr>
              <w:t>根据《排污单位自行监测技术指南 总则》(HJ819-2017) 以及相关规范要求，建设单位拟委托有资质单位机构进行监测。项目废气监测计划见下表。</w:t>
            </w:r>
          </w:p>
          <w:p>
            <w:pPr>
              <w:pStyle w:val="57"/>
              <w:spacing w:line="400" w:lineRule="exact"/>
              <w:rPr>
                <w:rFonts w:ascii="宋体" w:hAnsi="宋体" w:eastAsia="宋体"/>
                <w:b/>
                <w:bCs w:val="0"/>
                <w:sz w:val="18"/>
                <w:szCs w:val="21"/>
              </w:rPr>
            </w:pPr>
            <w:r>
              <w:rPr>
                <w:rFonts w:hint="eastAsia" w:ascii="宋体" w:hAnsi="宋体" w:eastAsia="宋体"/>
                <w:b/>
                <w:bCs w:val="0"/>
                <w:sz w:val="18"/>
                <w:szCs w:val="21"/>
              </w:rPr>
              <w:t>表5-4  废气监测计划</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134"/>
              <w:gridCol w:w="1701"/>
              <w:gridCol w:w="1134"/>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Align w:val="center"/>
                </w:tcPr>
                <w:p>
                  <w:pPr>
                    <w:autoSpaceDE w:val="0"/>
                    <w:autoSpaceDN w:val="0"/>
                    <w:adjustRightInd w:val="0"/>
                    <w:spacing w:line="320" w:lineRule="exact"/>
                    <w:jc w:val="center"/>
                    <w:rPr>
                      <w:kern w:val="0"/>
                      <w:sz w:val="18"/>
                    </w:rPr>
                  </w:pPr>
                  <w:r>
                    <w:rPr>
                      <w:rFonts w:hint="eastAsia"/>
                      <w:kern w:val="0"/>
                      <w:sz w:val="18"/>
                    </w:rPr>
                    <w:t>监测项目</w:t>
                  </w:r>
                </w:p>
              </w:tc>
              <w:tc>
                <w:tcPr>
                  <w:tcW w:w="1134" w:type="dxa"/>
                  <w:vAlign w:val="center"/>
                </w:tcPr>
                <w:p>
                  <w:pPr>
                    <w:autoSpaceDE w:val="0"/>
                    <w:autoSpaceDN w:val="0"/>
                    <w:adjustRightInd w:val="0"/>
                    <w:spacing w:line="320" w:lineRule="exact"/>
                    <w:jc w:val="center"/>
                    <w:rPr>
                      <w:kern w:val="0"/>
                      <w:sz w:val="18"/>
                    </w:rPr>
                  </w:pPr>
                  <w:r>
                    <w:rPr>
                      <w:rFonts w:hint="eastAsia"/>
                      <w:kern w:val="0"/>
                      <w:sz w:val="18"/>
                    </w:rPr>
                    <w:t>监测因子</w:t>
                  </w:r>
                </w:p>
              </w:tc>
              <w:tc>
                <w:tcPr>
                  <w:tcW w:w="1701" w:type="dxa"/>
                  <w:vAlign w:val="center"/>
                </w:tcPr>
                <w:p>
                  <w:pPr>
                    <w:autoSpaceDE w:val="0"/>
                    <w:autoSpaceDN w:val="0"/>
                    <w:adjustRightInd w:val="0"/>
                    <w:spacing w:line="320" w:lineRule="exact"/>
                    <w:jc w:val="center"/>
                    <w:rPr>
                      <w:kern w:val="0"/>
                      <w:sz w:val="18"/>
                    </w:rPr>
                  </w:pPr>
                  <w:r>
                    <w:rPr>
                      <w:rFonts w:hint="eastAsia"/>
                      <w:kern w:val="0"/>
                      <w:sz w:val="18"/>
                    </w:rPr>
                    <w:t>监测点位</w:t>
                  </w:r>
                </w:p>
              </w:tc>
              <w:tc>
                <w:tcPr>
                  <w:tcW w:w="1134" w:type="dxa"/>
                  <w:vAlign w:val="center"/>
                </w:tcPr>
                <w:p>
                  <w:pPr>
                    <w:autoSpaceDE w:val="0"/>
                    <w:autoSpaceDN w:val="0"/>
                    <w:adjustRightInd w:val="0"/>
                    <w:spacing w:line="320" w:lineRule="exact"/>
                    <w:jc w:val="center"/>
                    <w:rPr>
                      <w:kern w:val="0"/>
                      <w:sz w:val="18"/>
                    </w:rPr>
                  </w:pPr>
                  <w:r>
                    <w:rPr>
                      <w:rFonts w:hint="eastAsia"/>
                      <w:kern w:val="0"/>
                      <w:sz w:val="18"/>
                    </w:rPr>
                    <w:t>监测频率</w:t>
                  </w:r>
                </w:p>
              </w:tc>
              <w:tc>
                <w:tcPr>
                  <w:tcW w:w="2768" w:type="dxa"/>
                  <w:vAlign w:val="center"/>
                </w:tcPr>
                <w:p>
                  <w:pPr>
                    <w:autoSpaceDE w:val="0"/>
                    <w:autoSpaceDN w:val="0"/>
                    <w:adjustRightInd w:val="0"/>
                    <w:spacing w:line="320" w:lineRule="exact"/>
                    <w:jc w:val="center"/>
                    <w:rPr>
                      <w:kern w:val="0"/>
                      <w:sz w:val="18"/>
                    </w:rPr>
                  </w:pPr>
                  <w:r>
                    <w:rPr>
                      <w:rFonts w:hint="eastAsia"/>
                      <w:kern w:val="0"/>
                      <w:sz w:val="18"/>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Align w:val="center"/>
                </w:tcPr>
                <w:p>
                  <w:pPr>
                    <w:autoSpaceDE w:val="0"/>
                    <w:autoSpaceDN w:val="0"/>
                    <w:adjustRightInd w:val="0"/>
                    <w:spacing w:line="320" w:lineRule="exact"/>
                    <w:jc w:val="center"/>
                    <w:rPr>
                      <w:kern w:val="0"/>
                      <w:sz w:val="18"/>
                    </w:rPr>
                  </w:pPr>
                  <w:r>
                    <w:rPr>
                      <w:rFonts w:hint="eastAsia"/>
                      <w:kern w:val="0"/>
                      <w:sz w:val="18"/>
                    </w:rPr>
                    <w:t>废气</w:t>
                  </w:r>
                </w:p>
              </w:tc>
              <w:tc>
                <w:tcPr>
                  <w:tcW w:w="1134" w:type="dxa"/>
                  <w:vAlign w:val="center"/>
                </w:tcPr>
                <w:p>
                  <w:pPr>
                    <w:autoSpaceDE w:val="0"/>
                    <w:autoSpaceDN w:val="0"/>
                    <w:adjustRightInd w:val="0"/>
                    <w:spacing w:line="320" w:lineRule="exact"/>
                    <w:jc w:val="center"/>
                    <w:rPr>
                      <w:kern w:val="0"/>
                      <w:sz w:val="18"/>
                    </w:rPr>
                  </w:pPr>
                  <w:r>
                    <w:rPr>
                      <w:rFonts w:hint="eastAsia"/>
                      <w:kern w:val="0"/>
                      <w:sz w:val="18"/>
                    </w:rPr>
                    <w:t>VOCs</w:t>
                  </w:r>
                </w:p>
              </w:tc>
              <w:tc>
                <w:tcPr>
                  <w:tcW w:w="1701" w:type="dxa"/>
                  <w:vAlign w:val="center"/>
                </w:tcPr>
                <w:p>
                  <w:pPr>
                    <w:autoSpaceDE w:val="0"/>
                    <w:autoSpaceDN w:val="0"/>
                    <w:adjustRightInd w:val="0"/>
                    <w:spacing w:line="320" w:lineRule="exact"/>
                    <w:jc w:val="center"/>
                    <w:rPr>
                      <w:kern w:val="0"/>
                      <w:sz w:val="18"/>
                    </w:rPr>
                  </w:pPr>
                  <w:r>
                    <w:rPr>
                      <w:rFonts w:hint="eastAsia"/>
                      <w:kern w:val="0"/>
                      <w:sz w:val="18"/>
                    </w:rPr>
                    <w:t>项目配气站下风向</w:t>
                  </w:r>
                </w:p>
              </w:tc>
              <w:tc>
                <w:tcPr>
                  <w:tcW w:w="1134" w:type="dxa"/>
                  <w:vAlign w:val="center"/>
                </w:tcPr>
                <w:p>
                  <w:pPr>
                    <w:autoSpaceDE w:val="0"/>
                    <w:autoSpaceDN w:val="0"/>
                    <w:adjustRightInd w:val="0"/>
                    <w:spacing w:line="320" w:lineRule="exact"/>
                    <w:jc w:val="center"/>
                    <w:rPr>
                      <w:kern w:val="0"/>
                      <w:sz w:val="18"/>
                    </w:rPr>
                  </w:pPr>
                  <w:r>
                    <w:rPr>
                      <w:rFonts w:hint="eastAsia"/>
                      <w:kern w:val="0"/>
                      <w:sz w:val="18"/>
                    </w:rPr>
                    <w:t>1次/年</w:t>
                  </w:r>
                </w:p>
              </w:tc>
              <w:tc>
                <w:tcPr>
                  <w:tcW w:w="2768" w:type="dxa"/>
                  <w:vAlign w:val="center"/>
                </w:tcPr>
                <w:p>
                  <w:pPr>
                    <w:autoSpaceDE w:val="0"/>
                    <w:autoSpaceDN w:val="0"/>
                    <w:adjustRightInd w:val="0"/>
                    <w:spacing w:line="320" w:lineRule="exact"/>
                    <w:jc w:val="center"/>
                    <w:rPr>
                      <w:kern w:val="0"/>
                      <w:sz w:val="18"/>
                    </w:rPr>
                  </w:pPr>
                  <w:r>
                    <w:rPr>
                      <w:kern w:val="0"/>
                      <w:sz w:val="18"/>
                    </w:rPr>
                    <w:t xml:space="preserve">《挥发性有机物无组织排放控制标准》（GB37822-2019）表A.1的无组织排放特别限值； </w:t>
                  </w:r>
                </w:p>
              </w:tc>
            </w:tr>
          </w:tbl>
          <w:p>
            <w:pPr>
              <w:autoSpaceDE w:val="0"/>
              <w:autoSpaceDN w:val="0"/>
              <w:adjustRightInd w:val="0"/>
              <w:spacing w:line="400" w:lineRule="exact"/>
              <w:rPr>
                <w:b/>
                <w:kern w:val="0"/>
              </w:rPr>
            </w:pPr>
            <w:r>
              <w:rPr>
                <w:b/>
                <w:kern w:val="0"/>
              </w:rPr>
              <w:t>2、废水</w:t>
            </w:r>
          </w:p>
          <w:p>
            <w:pPr>
              <w:autoSpaceDE w:val="0"/>
              <w:autoSpaceDN w:val="0"/>
              <w:adjustRightInd w:val="0"/>
              <w:spacing w:line="400" w:lineRule="exact"/>
              <w:ind w:firstLine="422" w:firstLineChars="200"/>
              <w:rPr>
                <w:b/>
                <w:kern w:val="0"/>
              </w:rPr>
            </w:pPr>
            <w:r>
              <w:rPr>
                <w:b/>
                <w:kern w:val="0"/>
              </w:rPr>
              <w:t>（</w:t>
            </w:r>
            <w:r>
              <w:rPr>
                <w:rFonts w:hint="eastAsia"/>
                <w:b/>
                <w:kern w:val="0"/>
              </w:rPr>
              <w:t>1</w:t>
            </w:r>
            <w:r>
              <w:rPr>
                <w:b/>
                <w:kern w:val="0"/>
              </w:rPr>
              <w:t>）污染物产生情况</w:t>
            </w:r>
          </w:p>
          <w:p>
            <w:pPr>
              <w:autoSpaceDE w:val="0"/>
              <w:autoSpaceDN w:val="0"/>
              <w:adjustRightInd w:val="0"/>
              <w:spacing w:line="400" w:lineRule="exact"/>
              <w:ind w:firstLine="420" w:firstLineChars="200"/>
              <w:rPr>
                <w:kern w:val="0"/>
              </w:rPr>
            </w:pPr>
            <w:r>
              <w:rPr>
                <w:rFonts w:hint="eastAsia"/>
                <w:kern w:val="0"/>
              </w:rPr>
              <w:t>本项目生产用水主要为配气站内过滤设备、汇管、计量设备定期排出的少量残液和定期（约每月1次）清洗过滤分离器和清管接收装置产生的清洗废水。生活用水主要为工作人员生活用水。</w:t>
            </w:r>
          </w:p>
          <w:p>
            <w:pPr>
              <w:autoSpaceDE w:val="0"/>
              <w:autoSpaceDN w:val="0"/>
              <w:adjustRightInd w:val="0"/>
              <w:spacing w:line="400" w:lineRule="exact"/>
              <w:ind w:firstLine="420" w:firstLineChars="200"/>
              <w:rPr>
                <w:kern w:val="0"/>
              </w:rPr>
            </w:pPr>
            <w:r>
              <w:rPr>
                <w:rFonts w:hint="eastAsia"/>
                <w:kern w:val="0"/>
              </w:rPr>
              <w:t>①生产废水</w:t>
            </w:r>
          </w:p>
          <w:p>
            <w:pPr>
              <w:autoSpaceDE w:val="0"/>
              <w:autoSpaceDN w:val="0"/>
              <w:adjustRightInd w:val="0"/>
              <w:spacing w:line="400" w:lineRule="exact"/>
              <w:ind w:firstLine="420" w:firstLineChars="200"/>
              <w:rPr>
                <w:kern w:val="0"/>
              </w:rPr>
            </w:pPr>
            <w:r>
              <w:rPr>
                <w:rFonts w:hint="eastAsia"/>
                <w:kern w:val="0"/>
              </w:rPr>
              <w:t>项目来气已经过脱硫处理，达到管输标准即HS&lt;20mg/m</w:t>
            </w:r>
            <w:r>
              <w:rPr>
                <w:rFonts w:hint="eastAsia"/>
                <w:kern w:val="0"/>
                <w:vertAlign w:val="superscript"/>
              </w:rPr>
              <w:t>3</w:t>
            </w:r>
            <w:r>
              <w:rPr>
                <w:rFonts w:hint="eastAsia"/>
                <w:kern w:val="0"/>
              </w:rPr>
              <w:t>和脱水后的净气，因此输送过程中无饱和残液析出。但营运期管道中一些机械杂质，会随天然气的流动而沉积在过滤器中，需注入清洁水进行清洗，从而产生含机械杂质等废水。经类比和设计单位提供资料分析，其用水量约为0.01m</w:t>
            </w:r>
            <w:r>
              <w:rPr>
                <w:rFonts w:hint="eastAsia"/>
                <w:kern w:val="0"/>
                <w:vertAlign w:val="superscript"/>
              </w:rPr>
              <w:t>3</w:t>
            </w:r>
            <w:r>
              <w:rPr>
                <w:rFonts w:hint="eastAsia"/>
                <w:kern w:val="0"/>
              </w:rPr>
              <w:t>/d（3.65m</w:t>
            </w:r>
            <w:r>
              <w:rPr>
                <w:rFonts w:hint="eastAsia"/>
                <w:kern w:val="0"/>
                <w:vertAlign w:val="superscript"/>
              </w:rPr>
              <w:t>3</w:t>
            </w:r>
            <w:r>
              <w:rPr>
                <w:rFonts w:hint="eastAsia"/>
                <w:kern w:val="0"/>
              </w:rPr>
              <w:t>/a），废水排放洗水按90%计，其清洗废水产生量约0.009m</w:t>
            </w:r>
            <w:r>
              <w:rPr>
                <w:rFonts w:hint="eastAsia"/>
                <w:kern w:val="0"/>
                <w:vertAlign w:val="superscript"/>
              </w:rPr>
              <w:t>3</w:t>
            </w:r>
            <w:r>
              <w:rPr>
                <w:rFonts w:hint="eastAsia"/>
                <w:kern w:val="0"/>
              </w:rPr>
              <w:t>/d（3.3m</w:t>
            </w:r>
            <w:r>
              <w:rPr>
                <w:rFonts w:hint="eastAsia"/>
                <w:kern w:val="0"/>
                <w:vertAlign w:val="superscript"/>
              </w:rPr>
              <w:t>3</w:t>
            </w:r>
            <w:r>
              <w:rPr>
                <w:rFonts w:hint="eastAsia"/>
                <w:kern w:val="0"/>
              </w:rPr>
              <w:t>/a），废水中主要污染物为COD</w:t>
            </w:r>
            <w:r>
              <w:rPr>
                <w:rFonts w:hint="eastAsia"/>
                <w:kern w:val="0"/>
                <w:vertAlign w:val="subscript"/>
              </w:rPr>
              <w:t>Cr</w:t>
            </w:r>
            <w:r>
              <w:rPr>
                <w:rFonts w:hint="eastAsia"/>
                <w:kern w:val="0"/>
              </w:rPr>
              <w:t>和SS。</w:t>
            </w:r>
          </w:p>
          <w:p>
            <w:pPr>
              <w:autoSpaceDE w:val="0"/>
              <w:autoSpaceDN w:val="0"/>
              <w:adjustRightInd w:val="0"/>
              <w:spacing w:line="400" w:lineRule="exact"/>
              <w:ind w:firstLine="420" w:firstLineChars="200"/>
              <w:rPr>
                <w:kern w:val="0"/>
              </w:rPr>
            </w:pPr>
            <w:r>
              <w:rPr>
                <w:rFonts w:hint="eastAsia"/>
                <w:kern w:val="0"/>
              </w:rPr>
              <w:t>天然气进站后，要经过滤分离器进行分离出天然气中含带的极少量残液。类比同类配气站残液产生量情况，本项目配气站残液产生量约为2.0m</w:t>
            </w:r>
            <w:r>
              <w:rPr>
                <w:rFonts w:hint="eastAsia"/>
                <w:kern w:val="0"/>
                <w:vertAlign w:val="superscript"/>
              </w:rPr>
              <w:t>2</w:t>
            </w:r>
            <w:r>
              <w:rPr>
                <w:rFonts w:hint="eastAsia"/>
                <w:kern w:val="0"/>
              </w:rPr>
              <w:t>/a，残液主要污染物为COD、SS和氯化物等。</w:t>
            </w:r>
          </w:p>
          <w:p>
            <w:pPr>
              <w:autoSpaceDE w:val="0"/>
              <w:autoSpaceDN w:val="0"/>
              <w:adjustRightInd w:val="0"/>
              <w:spacing w:line="400" w:lineRule="exact"/>
              <w:ind w:firstLine="420" w:firstLineChars="200"/>
              <w:rPr>
                <w:kern w:val="0"/>
              </w:rPr>
            </w:pPr>
            <w:r>
              <w:rPr>
                <w:rFonts w:hint="eastAsia"/>
                <w:kern w:val="0"/>
              </w:rPr>
              <w:t>②生活污水</w:t>
            </w:r>
          </w:p>
          <w:p>
            <w:pPr>
              <w:autoSpaceDE w:val="0"/>
              <w:autoSpaceDN w:val="0"/>
              <w:adjustRightInd w:val="0"/>
              <w:spacing w:line="400" w:lineRule="exact"/>
              <w:ind w:firstLine="420" w:firstLineChars="200"/>
              <w:rPr>
                <w:kern w:val="0"/>
              </w:rPr>
            </w:pPr>
            <w:r>
              <w:rPr>
                <w:rFonts w:hint="eastAsia"/>
                <w:kern w:val="0"/>
              </w:rPr>
              <w:t>按照项目设计，天然气配气站定员5人，设有1个员工食堂，生活用水量按照0.12m</w:t>
            </w:r>
            <w:r>
              <w:rPr>
                <w:rFonts w:hint="eastAsia"/>
                <w:kern w:val="0"/>
                <w:vertAlign w:val="superscript"/>
              </w:rPr>
              <w:t>3</w:t>
            </w:r>
            <w:r>
              <w:rPr>
                <w:rFonts w:hint="eastAsia"/>
                <w:kern w:val="0"/>
              </w:rPr>
              <w:t>/人.d计，用水量共约0.6m</w:t>
            </w:r>
            <w:r>
              <w:rPr>
                <w:rFonts w:hint="eastAsia"/>
                <w:kern w:val="0"/>
                <w:vertAlign w:val="superscript"/>
              </w:rPr>
              <w:t>3</w:t>
            </w:r>
            <w:r>
              <w:rPr>
                <w:rFonts w:hint="eastAsia"/>
                <w:kern w:val="0"/>
              </w:rPr>
              <w:t>/d，排放系数取0.9，则生活污水产生量约0.54m</w:t>
            </w:r>
            <w:r>
              <w:rPr>
                <w:rFonts w:hint="eastAsia"/>
                <w:kern w:val="0"/>
                <w:vertAlign w:val="superscript"/>
              </w:rPr>
              <w:t>3</w:t>
            </w:r>
            <w:r>
              <w:rPr>
                <w:rFonts w:hint="eastAsia"/>
                <w:kern w:val="0"/>
              </w:rPr>
              <w:t>/d（197.10m</w:t>
            </w:r>
            <w:r>
              <w:rPr>
                <w:rFonts w:hint="eastAsia"/>
                <w:kern w:val="0"/>
                <w:vertAlign w:val="superscript"/>
              </w:rPr>
              <w:t>3</w:t>
            </w:r>
            <w:r>
              <w:rPr>
                <w:rFonts w:hint="eastAsia"/>
                <w:kern w:val="0"/>
              </w:rPr>
              <w:t>/a）。生活污水中主要污染物为 COD、BOD</w:t>
            </w:r>
            <w:r>
              <w:rPr>
                <w:rFonts w:hint="eastAsia"/>
                <w:kern w:val="0"/>
                <w:vertAlign w:val="subscript"/>
              </w:rPr>
              <w:t>5</w:t>
            </w:r>
            <w:r>
              <w:rPr>
                <w:rFonts w:hint="eastAsia"/>
                <w:kern w:val="0"/>
              </w:rPr>
              <w:t>、SS、NH</w:t>
            </w:r>
            <w:r>
              <w:rPr>
                <w:rFonts w:hint="eastAsia"/>
                <w:kern w:val="0"/>
                <w:vertAlign w:val="subscript"/>
              </w:rPr>
              <w:t>3</w:t>
            </w:r>
            <w:r>
              <w:rPr>
                <w:rFonts w:hint="eastAsia" w:ascii="宋体" w:hAnsi="宋体"/>
                <w:kern w:val="0"/>
                <w:vertAlign w:val="subscript"/>
              </w:rPr>
              <w:t>-</w:t>
            </w:r>
            <w:r>
              <w:rPr>
                <w:rFonts w:hint="eastAsia"/>
                <w:kern w:val="0"/>
              </w:rPr>
              <w:t>N。</w:t>
            </w:r>
          </w:p>
          <w:p>
            <w:pPr>
              <w:autoSpaceDE w:val="0"/>
              <w:autoSpaceDN w:val="0"/>
              <w:adjustRightInd w:val="0"/>
              <w:spacing w:line="400" w:lineRule="exact"/>
              <w:ind w:firstLine="420" w:firstLineChars="200"/>
              <w:rPr>
                <w:kern w:val="0"/>
              </w:rPr>
            </w:pPr>
            <w:r>
              <w:rPr>
                <w:rFonts w:hint="eastAsia"/>
                <w:kern w:val="0"/>
              </w:rPr>
              <w:t>③绿化用水</w:t>
            </w:r>
          </w:p>
          <w:p>
            <w:pPr>
              <w:spacing w:line="400" w:lineRule="exact"/>
              <w:ind w:firstLine="420" w:firstLineChars="200"/>
              <w:rPr>
                <w:kern w:val="0"/>
                <w:szCs w:val="21"/>
              </w:rPr>
            </w:pPr>
            <w:r>
              <w:rPr>
                <w:rFonts w:hint="eastAsia"/>
                <w:kern w:val="0"/>
                <w:szCs w:val="21"/>
              </w:rPr>
              <w:t>项目配气站内绿化用地面积约为1230m</w:t>
            </w:r>
            <w:r>
              <w:rPr>
                <w:rFonts w:hint="eastAsia"/>
                <w:kern w:val="0"/>
                <w:szCs w:val="21"/>
                <w:vertAlign w:val="superscript"/>
              </w:rPr>
              <w:t>2</w:t>
            </w:r>
            <w:r>
              <w:rPr>
                <w:rFonts w:hint="eastAsia"/>
                <w:kern w:val="0"/>
                <w:szCs w:val="21"/>
              </w:rPr>
              <w:t>，</w:t>
            </w:r>
            <w:r>
              <w:rPr>
                <w:rFonts w:ascii="宋体" w:hAnsi="宋体"/>
                <w:szCs w:val="21"/>
              </w:rPr>
              <w:t>根据《建筑给水排水设计规范（</w:t>
            </w:r>
            <w:r>
              <w:rPr>
                <w:szCs w:val="21"/>
              </w:rPr>
              <w:t>2009</w:t>
            </w:r>
            <w:r>
              <w:rPr>
                <w:rFonts w:ascii="宋体" w:hAnsi="宋体"/>
                <w:szCs w:val="21"/>
              </w:rPr>
              <w:t>年版）》（</w:t>
            </w:r>
            <w:r>
              <w:rPr>
                <w:szCs w:val="21"/>
              </w:rPr>
              <w:t>GB50015-2003</w:t>
            </w:r>
            <w:r>
              <w:rPr>
                <w:rFonts w:ascii="宋体" w:hAnsi="宋体"/>
                <w:szCs w:val="21"/>
              </w:rPr>
              <w:t>），绿化用水按</w:t>
            </w:r>
            <w:r>
              <w:rPr>
                <w:szCs w:val="21"/>
              </w:rPr>
              <w:t>1.5L/m</w:t>
            </w:r>
            <w:r>
              <w:rPr>
                <w:szCs w:val="21"/>
                <w:vertAlign w:val="superscript"/>
              </w:rPr>
              <w:t>2</w:t>
            </w:r>
            <w:r>
              <w:rPr>
                <w:szCs w:val="21"/>
              </w:rPr>
              <w:t>·d</w:t>
            </w:r>
            <w:r>
              <w:rPr>
                <w:rFonts w:ascii="宋体" w:hAnsi="宋体"/>
                <w:szCs w:val="21"/>
              </w:rPr>
              <w:t>计，根据达州当地气象气候情况，年绿化浇灌天数取</w:t>
            </w:r>
            <w:r>
              <w:rPr>
                <w:rFonts w:hint="eastAsia"/>
                <w:szCs w:val="21"/>
              </w:rPr>
              <w:t>200</w:t>
            </w:r>
            <w:r>
              <w:rPr>
                <w:rFonts w:hint="eastAsia" w:ascii="宋体" w:hAnsi="宋体"/>
                <w:szCs w:val="21"/>
              </w:rPr>
              <w:t>天，</w:t>
            </w:r>
            <w:r>
              <w:rPr>
                <w:rFonts w:ascii="宋体" w:hAnsi="宋体"/>
                <w:szCs w:val="21"/>
              </w:rPr>
              <w:t>则绿化用水量为</w:t>
            </w:r>
            <w:r>
              <w:rPr>
                <w:rFonts w:hint="eastAsia"/>
                <w:szCs w:val="21"/>
              </w:rPr>
              <w:t>1.845</w:t>
            </w:r>
            <w:r>
              <w:rPr>
                <w:szCs w:val="21"/>
              </w:rPr>
              <w:t>m</w:t>
            </w:r>
            <w:r>
              <w:rPr>
                <w:szCs w:val="21"/>
                <w:vertAlign w:val="superscript"/>
              </w:rPr>
              <w:t>3</w:t>
            </w:r>
            <w:r>
              <w:rPr>
                <w:szCs w:val="21"/>
              </w:rPr>
              <w:t>/d（</w:t>
            </w:r>
            <w:r>
              <w:rPr>
                <w:rFonts w:hint="eastAsia"/>
                <w:szCs w:val="21"/>
              </w:rPr>
              <w:t>369</w:t>
            </w:r>
            <w:r>
              <w:rPr>
                <w:szCs w:val="21"/>
              </w:rPr>
              <w:t>m</w:t>
            </w:r>
            <w:r>
              <w:rPr>
                <w:szCs w:val="21"/>
                <w:vertAlign w:val="superscript"/>
              </w:rPr>
              <w:t>3</w:t>
            </w:r>
            <w:r>
              <w:rPr>
                <w:szCs w:val="21"/>
              </w:rPr>
              <w:t>/a）</w:t>
            </w:r>
            <w:r>
              <w:rPr>
                <w:rFonts w:ascii="宋体" w:hAnsi="宋体"/>
                <w:szCs w:val="21"/>
              </w:rPr>
              <w:t>。</w:t>
            </w:r>
            <w:r>
              <w:rPr>
                <w:rFonts w:hint="eastAsia" w:ascii="宋体" w:hAnsi="宋体"/>
                <w:szCs w:val="21"/>
              </w:rPr>
              <w:t>绿化用水量为</w:t>
            </w:r>
            <w:r>
              <w:rPr>
                <w:rFonts w:hint="eastAsia"/>
                <w:kern w:val="0"/>
                <w:szCs w:val="21"/>
              </w:rPr>
              <w:t>绿化用水基本上经蒸发、渗透等途径损耗，不产生废水。</w:t>
            </w:r>
          </w:p>
          <w:p>
            <w:pPr>
              <w:autoSpaceDE w:val="0"/>
              <w:autoSpaceDN w:val="0"/>
              <w:adjustRightInd w:val="0"/>
              <w:spacing w:line="400" w:lineRule="exact"/>
              <w:ind w:firstLine="422" w:firstLineChars="200"/>
              <w:rPr>
                <w:b/>
                <w:kern w:val="0"/>
              </w:rPr>
            </w:pPr>
            <w:r>
              <w:rPr>
                <w:rFonts w:hint="eastAsia"/>
                <w:b/>
                <w:kern w:val="0"/>
              </w:rPr>
              <w:t>（2）污染治理措施</w:t>
            </w:r>
          </w:p>
          <w:p>
            <w:pPr>
              <w:autoSpaceDE w:val="0"/>
              <w:autoSpaceDN w:val="0"/>
              <w:adjustRightInd w:val="0"/>
              <w:spacing w:line="400" w:lineRule="exact"/>
              <w:ind w:firstLine="420" w:firstLineChars="200"/>
              <w:rPr>
                <w:kern w:val="0"/>
              </w:rPr>
            </w:pPr>
            <w:r>
              <w:rPr>
                <w:rFonts w:hint="eastAsia"/>
                <w:kern w:val="0"/>
              </w:rPr>
              <w:t>①设备清洗废水处理措施</w:t>
            </w:r>
          </w:p>
          <w:p>
            <w:pPr>
              <w:autoSpaceDE w:val="0"/>
              <w:autoSpaceDN w:val="0"/>
              <w:adjustRightInd w:val="0"/>
              <w:spacing w:line="400" w:lineRule="exact"/>
              <w:ind w:firstLine="420" w:firstLineChars="200"/>
              <w:rPr>
                <w:kern w:val="0"/>
              </w:rPr>
            </w:pPr>
            <w:r>
              <w:rPr>
                <w:rFonts w:hint="eastAsia"/>
                <w:kern w:val="0"/>
              </w:rPr>
              <w:t>根据上述分析，过滤器、清管接收装置的清洗废水产生量约为0.009m</w:t>
            </w:r>
            <w:r>
              <w:rPr>
                <w:rFonts w:hint="eastAsia"/>
                <w:kern w:val="0"/>
                <w:vertAlign w:val="superscript"/>
              </w:rPr>
              <w:t>3</w:t>
            </w:r>
            <w:r>
              <w:rPr>
                <w:rFonts w:hint="eastAsia"/>
                <w:kern w:val="0"/>
              </w:rPr>
              <w:t>/d（3.3m</w:t>
            </w:r>
            <w:r>
              <w:rPr>
                <w:rFonts w:hint="eastAsia"/>
                <w:kern w:val="0"/>
                <w:vertAlign w:val="superscript"/>
              </w:rPr>
              <w:t>3</w:t>
            </w:r>
            <w:r>
              <w:rPr>
                <w:rFonts w:hint="eastAsia"/>
                <w:kern w:val="0"/>
              </w:rPr>
              <w:t>/a），废水中主要污染物为COD和SS，其浓度分别为80mg/L和400mg/L。由于其产生量很少，通过排入站内污水收集池（排污池），定期交由委托单位拉运至园区污水处理厂，经处理后达标排放。</w:t>
            </w:r>
          </w:p>
          <w:p>
            <w:pPr>
              <w:autoSpaceDE w:val="0"/>
              <w:autoSpaceDN w:val="0"/>
              <w:adjustRightInd w:val="0"/>
              <w:spacing w:line="400" w:lineRule="exact"/>
              <w:ind w:firstLine="420" w:firstLineChars="200"/>
              <w:rPr>
                <w:kern w:val="0"/>
              </w:rPr>
            </w:pPr>
            <w:r>
              <w:rPr>
                <w:rFonts w:hint="eastAsia"/>
                <w:kern w:val="0"/>
              </w:rPr>
              <w:t>②残液处理措施</w:t>
            </w:r>
          </w:p>
          <w:p>
            <w:pPr>
              <w:autoSpaceDE w:val="0"/>
              <w:autoSpaceDN w:val="0"/>
              <w:adjustRightInd w:val="0"/>
              <w:spacing w:line="400" w:lineRule="exact"/>
              <w:ind w:firstLine="420" w:firstLineChars="200"/>
              <w:rPr>
                <w:kern w:val="0"/>
              </w:rPr>
            </w:pPr>
            <w:r>
              <w:rPr>
                <w:rFonts w:hint="eastAsia"/>
                <w:kern w:val="0"/>
              </w:rPr>
              <w:t>本项目残液产生量约为2m</w:t>
            </w:r>
            <w:r>
              <w:rPr>
                <w:rFonts w:hint="eastAsia"/>
                <w:kern w:val="0"/>
                <w:vertAlign w:val="superscript"/>
              </w:rPr>
              <w:t>3</w:t>
            </w:r>
            <w:r>
              <w:rPr>
                <w:rFonts w:hint="eastAsia"/>
                <w:kern w:val="0"/>
              </w:rPr>
              <w:t>/a，排入站场内防渗排污池，与清洗废水一同拉运处置。</w:t>
            </w:r>
          </w:p>
          <w:p>
            <w:pPr>
              <w:autoSpaceDE w:val="0"/>
              <w:autoSpaceDN w:val="0"/>
              <w:adjustRightInd w:val="0"/>
              <w:spacing w:line="400" w:lineRule="exact"/>
              <w:ind w:firstLine="420" w:firstLineChars="200"/>
              <w:rPr>
                <w:kern w:val="0"/>
              </w:rPr>
            </w:pPr>
            <w:r>
              <w:rPr>
                <w:rFonts w:hint="eastAsia"/>
                <w:kern w:val="0"/>
              </w:rPr>
              <w:t>③生活污水</w:t>
            </w:r>
          </w:p>
          <w:p>
            <w:pPr>
              <w:autoSpaceDE w:val="0"/>
              <w:autoSpaceDN w:val="0"/>
              <w:adjustRightInd w:val="0"/>
              <w:spacing w:line="400" w:lineRule="exact"/>
              <w:ind w:firstLine="420" w:firstLineChars="200"/>
              <w:rPr>
                <w:kern w:val="0"/>
              </w:rPr>
            </w:pPr>
            <w:r>
              <w:rPr>
                <w:rFonts w:hint="eastAsia"/>
                <w:kern w:val="0"/>
              </w:rPr>
              <w:t>生活污水产生量0.54m</w:t>
            </w:r>
            <w:r>
              <w:rPr>
                <w:rFonts w:hint="eastAsia"/>
                <w:kern w:val="0"/>
                <w:vertAlign w:val="superscript"/>
              </w:rPr>
              <w:t>3</w:t>
            </w:r>
            <w:r>
              <w:rPr>
                <w:rFonts w:hint="eastAsia"/>
                <w:kern w:val="0"/>
              </w:rPr>
              <w:t>/d（197.10m</w:t>
            </w:r>
            <w:r>
              <w:rPr>
                <w:rFonts w:hint="eastAsia"/>
                <w:kern w:val="0"/>
                <w:vertAlign w:val="superscript"/>
              </w:rPr>
              <w:t>3</w:t>
            </w:r>
            <w:r>
              <w:rPr>
                <w:rFonts w:hint="eastAsia"/>
                <w:kern w:val="0"/>
              </w:rPr>
              <w:t>/a）。项目在配气站内修建1个初沉池(10.0m</w:t>
            </w:r>
            <w:r>
              <w:rPr>
                <w:rFonts w:hint="eastAsia"/>
                <w:kern w:val="0"/>
                <w:vertAlign w:val="superscript"/>
              </w:rPr>
              <w:t>3</w:t>
            </w:r>
            <w:r>
              <w:rPr>
                <w:rFonts w:hint="eastAsia"/>
                <w:kern w:val="0"/>
              </w:rPr>
              <w:t>) 和隔油池1个(1.0m</w:t>
            </w:r>
            <w:r>
              <w:rPr>
                <w:rFonts w:hint="eastAsia"/>
                <w:kern w:val="0"/>
                <w:vertAlign w:val="superscript"/>
              </w:rPr>
              <w:t>3</w:t>
            </w:r>
            <w:r>
              <w:rPr>
                <w:rFonts w:hint="eastAsia"/>
                <w:kern w:val="0"/>
              </w:rPr>
              <w:t>)，食堂含油废水先经隔油池处理后再与其他生活污水进入初沉池处理后，定期由附近农户清运做农肥，后期园区污水管网接通后，直接接入污水管网进入园区污水处理厂处理后达标排放。</w:t>
            </w:r>
          </w:p>
          <w:p>
            <w:pPr>
              <w:autoSpaceDE w:val="0"/>
              <w:autoSpaceDN w:val="0"/>
              <w:adjustRightInd w:val="0"/>
              <w:spacing w:line="400" w:lineRule="exact"/>
              <w:ind w:firstLine="422" w:firstLineChars="200"/>
              <w:rPr>
                <w:b/>
                <w:kern w:val="0"/>
              </w:rPr>
            </w:pPr>
            <w:r>
              <w:rPr>
                <w:b/>
                <w:kern w:val="0"/>
              </w:rPr>
              <w:t>（</w:t>
            </w:r>
            <w:r>
              <w:rPr>
                <w:rFonts w:hint="eastAsia"/>
                <w:b/>
                <w:kern w:val="0"/>
              </w:rPr>
              <w:t>3</w:t>
            </w:r>
            <w:r>
              <w:rPr>
                <w:b/>
                <w:kern w:val="0"/>
              </w:rPr>
              <w:t>）排入园区管网的依托可行性分析</w:t>
            </w:r>
          </w:p>
          <w:p>
            <w:pPr>
              <w:autoSpaceDE w:val="0"/>
              <w:autoSpaceDN w:val="0"/>
              <w:adjustRightInd w:val="0"/>
              <w:spacing w:line="400" w:lineRule="exact"/>
              <w:ind w:firstLine="420" w:firstLineChars="200"/>
            </w:pPr>
            <w:r>
              <w:t>1</w:t>
            </w:r>
            <w:r>
              <w:rPr>
                <w:rFonts w:hAnsi="宋体"/>
              </w:rPr>
              <w:t>）宣汉县普光工业园区污水处理厂现状</w:t>
            </w:r>
          </w:p>
          <w:p>
            <w:pPr>
              <w:adjustRightInd w:val="0"/>
              <w:snapToGrid w:val="0"/>
              <w:spacing w:line="400" w:lineRule="exact"/>
              <w:ind w:firstLine="420" w:firstLineChars="200"/>
            </w:pPr>
            <w:r>
              <w:rPr>
                <w:rFonts w:hAnsi="宋体"/>
              </w:rPr>
              <w:t>宣汉县普光工业园区污水处理厂位于宣汉县土主镇石人村的普光经济开发区普光功能区内。该污水处理厂于</w:t>
            </w:r>
            <w:r>
              <w:t>2013</w:t>
            </w:r>
            <w:r>
              <w:rPr>
                <w:rFonts w:hAnsi="宋体"/>
              </w:rPr>
              <w:t>年</w:t>
            </w:r>
            <w:r>
              <w:t>5</w:t>
            </w:r>
            <w:r>
              <w:rPr>
                <w:rFonts w:hAnsi="宋体"/>
              </w:rPr>
              <w:t>月西南交通大学完成了《宣汉县普光工业园区污水处理厂工程项目环境影响报告书》的编制，</w:t>
            </w:r>
            <w:r>
              <w:t>2013</w:t>
            </w:r>
            <w:r>
              <w:rPr>
                <w:rFonts w:hAnsi="宋体"/>
              </w:rPr>
              <w:t>年月</w:t>
            </w:r>
            <w:r>
              <w:t>6</w:t>
            </w:r>
            <w:r>
              <w:rPr>
                <w:rFonts w:hAnsi="宋体"/>
              </w:rPr>
              <w:t>月</w:t>
            </w:r>
            <w:r>
              <w:t>17</w:t>
            </w:r>
            <w:r>
              <w:rPr>
                <w:rFonts w:hAnsi="宋体"/>
              </w:rPr>
              <w:t>日宣汉县环境保护局以</w:t>
            </w:r>
            <w:r>
              <w:rPr>
                <w:rFonts w:hint="eastAsia" w:hAnsi="宋体"/>
              </w:rPr>
              <w:t>“</w:t>
            </w:r>
            <w:r>
              <w:rPr>
                <w:rFonts w:hAnsi="宋体"/>
              </w:rPr>
              <w:t>宣环审</w:t>
            </w:r>
            <w:r>
              <w:t>[2013]45</w:t>
            </w:r>
            <w:r>
              <w:rPr>
                <w:rFonts w:hAnsi="宋体"/>
              </w:rPr>
              <w:t>号</w:t>
            </w:r>
            <w:r>
              <w:rPr>
                <w:rFonts w:hint="eastAsia" w:hAnsi="宋体"/>
              </w:rPr>
              <w:t>”</w:t>
            </w:r>
            <w:r>
              <w:rPr>
                <w:rFonts w:hAnsi="宋体"/>
              </w:rPr>
              <w:t>对该环评报书进行了批复。该厂于</w:t>
            </w:r>
            <w:r>
              <w:t>2014</w:t>
            </w:r>
            <w:r>
              <w:rPr>
                <w:rFonts w:hAnsi="宋体"/>
              </w:rPr>
              <w:t>年</w:t>
            </w:r>
            <w:r>
              <w:t>5</w:t>
            </w:r>
            <w:r>
              <w:rPr>
                <w:rFonts w:hAnsi="宋体"/>
              </w:rPr>
              <w:t>月开始建设，厂区于</w:t>
            </w:r>
            <w:r>
              <w:t>2018</w:t>
            </w:r>
            <w:r>
              <w:rPr>
                <w:rFonts w:hAnsi="宋体"/>
              </w:rPr>
              <w:t>年</w:t>
            </w:r>
            <w:r>
              <w:t>4</w:t>
            </w:r>
            <w:r>
              <w:rPr>
                <w:rFonts w:hAnsi="宋体"/>
              </w:rPr>
              <w:t>月开始建设，项目整体于</w:t>
            </w:r>
            <w:r>
              <w:t>2020</w:t>
            </w:r>
            <w:r>
              <w:rPr>
                <w:rFonts w:hAnsi="宋体"/>
              </w:rPr>
              <w:t>年</w:t>
            </w:r>
            <w:r>
              <w:t>9</w:t>
            </w:r>
            <w:r>
              <w:rPr>
                <w:rFonts w:hAnsi="宋体"/>
              </w:rPr>
              <w:t>月建设完成，于</w:t>
            </w:r>
            <w:r>
              <w:t>2021</w:t>
            </w:r>
            <w:r>
              <w:rPr>
                <w:rFonts w:hAnsi="宋体"/>
              </w:rPr>
              <w:t>年</w:t>
            </w:r>
            <w:r>
              <w:t>4</w:t>
            </w:r>
            <w:r>
              <w:rPr>
                <w:rFonts w:hAnsi="宋体"/>
              </w:rPr>
              <w:t>月正式投入生产。目前实际建设规模为</w:t>
            </w:r>
            <w:r>
              <w:t>2000m</w:t>
            </w:r>
            <w:r>
              <w:rPr>
                <w:vertAlign w:val="superscript"/>
              </w:rPr>
              <w:t>3</w:t>
            </w:r>
            <w:r>
              <w:t>/d</w:t>
            </w:r>
            <w:r>
              <w:rPr>
                <w:rFonts w:hAnsi="宋体"/>
              </w:rPr>
              <w:t>。</w:t>
            </w:r>
          </w:p>
          <w:p>
            <w:pPr>
              <w:adjustRightInd w:val="0"/>
              <w:snapToGrid w:val="0"/>
              <w:spacing w:line="400" w:lineRule="exact"/>
              <w:ind w:firstLine="420" w:firstLineChars="200"/>
            </w:pPr>
            <w:r>
              <w:t>2</w:t>
            </w:r>
            <w:r>
              <w:rPr>
                <w:rFonts w:hAnsi="宋体"/>
              </w:rPr>
              <w:t>）水处理工艺</w:t>
            </w:r>
          </w:p>
          <w:p>
            <w:pPr>
              <w:widowControl/>
              <w:adjustRightInd w:val="0"/>
              <w:snapToGrid w:val="0"/>
              <w:spacing w:line="400" w:lineRule="exact"/>
              <w:ind w:firstLine="420" w:firstLineChars="200"/>
            </w:pPr>
            <w:r>
              <w:rPr>
                <w:rFonts w:hAnsi="宋体"/>
              </w:rPr>
              <w:t>工业园区污水通过格栅去除污水中纸屑及漂浮物等，防止堵塞后续处理设备和设施，产生栅渣定期清理外运处理，然后污水自流流至旋流沉砂池，通过旋流沉砂池对污水进行水量调节及水质均匀，有利用保证后续生化处理系统稳定运行，确保达标排放，在旋流沉砂池内安装污水提升泵，将污水提升至厌氧缺氧池，在厌氧缺氧池中与好氧消化的回流混合液进行充分混合，在缺氧环境下进行生物脱氮，以去除污水中的氨氮，为了提高处理效果，缺氧池出水自流进入好氧接触氧化池，在好氧接触氧化池内布置了生物填料，好氧微生物附着在上面生长、繁殖，从而达到消耗水中污染物，曝气方式采用曝气器曝气</w:t>
            </w:r>
            <w:r>
              <w:t xml:space="preserve"> </w:t>
            </w:r>
            <w:r>
              <w:rPr>
                <w:rFonts w:hAnsi="宋体"/>
              </w:rPr>
              <w:t>充氧，在有氧的情况下，借助好氧微生物</w:t>
            </w:r>
            <w:r>
              <w:t>(</w:t>
            </w:r>
            <w:r>
              <w:rPr>
                <w:rFonts w:hAnsi="宋体"/>
              </w:rPr>
              <w:t>主要是好氧菌及兼性菌，包括兼性微生物</w:t>
            </w:r>
            <w:r>
              <w:t>)</w:t>
            </w:r>
            <w:r>
              <w:rPr>
                <w:rFonts w:hAnsi="宋体"/>
              </w:rPr>
              <w:t>的生长繁殖，经好氧处理后的水自流进入二沉池，在该池中进行泥水分离。二沉池采用竖流式沉淀池，池内安装中心导流筒，采用中心进水，四周溢流水方式，进入中间水池，经中间水池处理的水进入滤布滤池，滤布滤池采用</w:t>
            </w:r>
            <w:r>
              <w:t>DA863</w:t>
            </w:r>
            <w:r>
              <w:rPr>
                <w:rFonts w:hAnsi="宋体"/>
              </w:rPr>
              <w:t>彗星式滤料，小阻力配水系统，气水反冲洗，恒水位或变水位过滤方式。剩余污泥排至污泥池，净化后水经紫外消毒处理后实现达到排放标准。通过以上工艺净化处理后最终达标排放至后河。</w:t>
            </w:r>
            <w:r>
              <w:t xml:space="preserve"> </w:t>
            </w:r>
          </w:p>
          <w:p>
            <w:pPr>
              <w:widowControl/>
              <w:adjustRightInd w:val="0"/>
              <w:snapToGrid w:val="0"/>
              <w:spacing w:line="400" w:lineRule="exact"/>
              <w:ind w:firstLine="420" w:firstLineChars="200"/>
              <w:jc w:val="left"/>
            </w:pPr>
            <w:r>
              <w:rPr>
                <w:rFonts w:hAnsi="宋体"/>
              </w:rPr>
              <w:t>污泥处理：二沉池沉淀下来的生化污泥，一部分用于补充接触氧化池内流失的污泥，另一部分剩余污泥则排放至污泥池进行贮存。</w:t>
            </w:r>
            <w:r>
              <w:t xml:space="preserve"> </w:t>
            </w:r>
          </w:p>
          <w:p>
            <w:pPr>
              <w:adjustRightInd w:val="0"/>
              <w:snapToGrid w:val="0"/>
              <w:spacing w:line="400" w:lineRule="exact"/>
              <w:ind w:firstLine="420" w:firstLineChars="200"/>
            </w:pPr>
            <w:r>
              <w:rPr>
                <w:rFonts w:hAnsi="宋体"/>
              </w:rPr>
              <w:t>消毒工艺：采用紫外线消毒管。</w:t>
            </w:r>
          </w:p>
          <w:p>
            <w:pPr>
              <w:widowControl/>
              <w:adjustRightInd w:val="0"/>
              <w:snapToGrid w:val="0"/>
              <w:spacing w:line="400" w:lineRule="exact"/>
              <w:ind w:firstLine="420" w:firstLineChars="200"/>
              <w:jc w:val="left"/>
            </w:pPr>
            <w:r>
              <w:rPr>
                <w:rFonts w:hAnsi="宋体"/>
              </w:rPr>
              <w:t>污泥处置：厂内污泥暂存于污泥浓缩池内，污泥暂存池作防腐、防渗处理；污泥及时外运，做到</w:t>
            </w:r>
            <w:r>
              <w:rPr>
                <w:rFonts w:hint="eastAsia" w:hAnsi="宋体"/>
              </w:rPr>
              <w:t>“</w:t>
            </w:r>
            <w:r>
              <w:rPr>
                <w:rFonts w:hAnsi="宋体"/>
              </w:rPr>
              <w:t>日产日清</w:t>
            </w:r>
            <w:r>
              <w:rPr>
                <w:rFonts w:hint="eastAsia" w:hAnsi="宋体"/>
              </w:rPr>
              <w:t>”</w:t>
            </w:r>
            <w:r>
              <w:rPr>
                <w:rFonts w:hAnsi="宋体"/>
              </w:rPr>
              <w:t>，通过浓缩脱水干化后的污泥，由污水处理厂配置的污泥专用运输车运输至宣汉县城市生活垃圾卫生填埋场填埋处。</w:t>
            </w:r>
          </w:p>
          <w:p>
            <w:pPr>
              <w:adjustRightInd w:val="0"/>
              <w:snapToGrid w:val="0"/>
              <w:spacing w:line="400" w:lineRule="exact"/>
              <w:ind w:firstLine="420" w:firstLineChars="200"/>
            </w:pPr>
            <w:r>
              <w:rPr>
                <w:rFonts w:hAnsi="宋体"/>
              </w:rPr>
              <w:t>宣汉县普光工业园区污水处理厂废水处理工艺流程见下图。</w:t>
            </w:r>
          </w:p>
          <w:p>
            <w:pPr>
              <w:pStyle w:val="13"/>
            </w:pPr>
            <w:r>
              <w:drawing>
                <wp:inline distT="0" distB="0" distL="0" distR="0">
                  <wp:extent cx="4908550" cy="2941955"/>
                  <wp:effectExtent l="0" t="0" r="6350" b="0"/>
                  <wp:docPr id="3" name="图片 3" descr="C:\Users\ADMINI~1.SC-\AppData\Local\Temp\ksohtml1100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SC-\AppData\Local\Temp\ksohtml11008\wps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08845" cy="2942593"/>
                          </a:xfrm>
                          <a:prstGeom prst="rect">
                            <a:avLst/>
                          </a:prstGeom>
                          <a:noFill/>
                          <a:ln>
                            <a:noFill/>
                          </a:ln>
                        </pic:spPr>
                      </pic:pic>
                    </a:graphicData>
                  </a:graphic>
                </wp:inline>
              </w:drawing>
            </w:r>
          </w:p>
          <w:p>
            <w:pPr>
              <w:pStyle w:val="13"/>
            </w:pPr>
            <w:r>
              <mc:AlternateContent>
                <mc:Choice Requires="wps">
                  <w:drawing>
                    <wp:anchor distT="0" distB="0" distL="114300" distR="114300" simplePos="0" relativeHeight="251671552" behindDoc="0" locked="0" layoutInCell="1" allowOverlap="1">
                      <wp:simplePos x="0" y="0"/>
                      <wp:positionH relativeFrom="column">
                        <wp:posOffset>38735</wp:posOffset>
                      </wp:positionH>
                      <wp:positionV relativeFrom="paragraph">
                        <wp:posOffset>1270</wp:posOffset>
                      </wp:positionV>
                      <wp:extent cx="4939030" cy="2159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4938765" cy="2160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6"/>
                                    </w:rPr>
                                  </w:pPr>
                                  <w:r>
                                    <w:rPr>
                                      <w:rFonts w:hint="eastAsia"/>
                                      <w:sz w:val="16"/>
                                    </w:rPr>
                                    <w:t xml:space="preserve">图5-1  </w:t>
                                  </w:r>
                                  <w:r>
                                    <w:rPr>
                                      <w:rFonts w:ascii="黑体" w:hAnsi="黑体" w:eastAsia="黑体"/>
                                      <w:color w:val="000000"/>
                                      <w:sz w:val="16"/>
                                      <w:szCs w:val="21"/>
                                    </w:rPr>
                                    <w:t>宣汉县普光工业园区污水处理厂废水处理工艺流程图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0.1pt;height:17pt;width:388.9pt;z-index:251671552;mso-width-relative:page;mso-height-relative:page;" filled="f" stroked="f" coordsize="21600,21600" o:gfxdata="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KNgXtcAAAAFAQAADwAAAAAAAAABACAAAAAiAAAA&#10;ZHJzL2Rvd25yZXYueG1sUEsBAhQAFAAAAAgAh07iQHQHVQ5BAgAAdAQAAA4AAAAAAAAAAQAgAAAA&#10;JgEAAGRycy9lMm9Eb2MueG1sUEsFBgAAAAAGAAYAWQEAANkFAAAAAA==&#10;">
                      <v:fill on="f" focussize="0,0"/>
                      <v:stroke on="f" weight="0.5pt"/>
                      <v:imagedata o:title=""/>
                      <o:lock v:ext="edit" aspectratio="f"/>
                      <v:textbox>
                        <w:txbxContent>
                          <w:p>
                            <w:pPr>
                              <w:jc w:val="center"/>
                              <w:rPr>
                                <w:sz w:val="16"/>
                              </w:rPr>
                            </w:pPr>
                            <w:r>
                              <w:rPr>
                                <w:rFonts w:hint="eastAsia"/>
                                <w:sz w:val="16"/>
                              </w:rPr>
                              <w:t xml:space="preserve">图5-1  </w:t>
                            </w:r>
                            <w:r>
                              <w:rPr>
                                <w:rFonts w:ascii="黑体" w:hAnsi="黑体" w:eastAsia="黑体"/>
                                <w:color w:val="000000"/>
                                <w:sz w:val="16"/>
                                <w:szCs w:val="21"/>
                              </w:rPr>
                              <w:t>宣汉县普光工业园区污水处理厂废水处理工艺流程图</w:t>
                            </w:r>
                          </w:p>
                          <w:p/>
                        </w:txbxContent>
                      </v:textbox>
                    </v:shape>
                  </w:pict>
                </mc:Fallback>
              </mc:AlternateContent>
            </w:r>
          </w:p>
          <w:p>
            <w:pPr>
              <w:adjustRightInd w:val="0"/>
              <w:snapToGrid w:val="0"/>
              <w:spacing w:line="400" w:lineRule="exact"/>
              <w:ind w:firstLine="420" w:firstLineChars="200"/>
              <w:rPr>
                <w:rFonts w:eastAsia="黑体"/>
                <w:bCs/>
                <w:sz w:val="18"/>
                <w:szCs w:val="18"/>
              </w:rPr>
            </w:pPr>
            <w:r>
              <w:t>3</w:t>
            </w:r>
            <w:r>
              <w:rPr>
                <w:rFonts w:hAnsi="宋体"/>
              </w:rPr>
              <w:t>）依托可行性分析</w:t>
            </w:r>
          </w:p>
          <w:p>
            <w:pPr>
              <w:adjustRightInd w:val="0"/>
              <w:snapToGrid w:val="0"/>
              <w:spacing w:line="400" w:lineRule="exact"/>
              <w:ind w:firstLine="420" w:firstLineChars="200"/>
              <w:rPr>
                <w:rFonts w:ascii="宋体"/>
                <w:sz w:val="24"/>
              </w:rPr>
            </w:pPr>
            <w:r>
              <w:rPr>
                <w:rFonts w:hAnsi="宋体"/>
              </w:rPr>
              <w:t>根据</w:t>
            </w:r>
            <w:r>
              <w:rPr>
                <w:rFonts w:hint="eastAsia" w:hAnsi="宋体"/>
              </w:rPr>
              <w:t>宣汉县环境保护局出具了《关于宣汉县普光工业园区污水处理厂工程项目环境影响报告书的批复》（宣环审</w:t>
            </w:r>
            <w:r>
              <w:t>[2013]45</w:t>
            </w:r>
            <w:r>
              <w:rPr>
                <w:rFonts w:hint="eastAsia" w:hAnsi="宋体"/>
              </w:rPr>
              <w:t>号）及“</w:t>
            </w:r>
            <w:r>
              <w:rPr>
                <w:rFonts w:hAnsi="宋体"/>
              </w:rPr>
              <w:t>宣汉县普光工业园区污水处理厂技改项目竣工环境保护验收意见</w:t>
            </w:r>
            <w:r>
              <w:rPr>
                <w:rFonts w:hint="eastAsia" w:hAnsi="宋体"/>
              </w:rPr>
              <w:t>”</w:t>
            </w:r>
            <w:r>
              <w:rPr>
                <w:rFonts w:hAnsi="宋体"/>
              </w:rPr>
              <w:t>（</w:t>
            </w:r>
            <w:r>
              <w:t>2021</w:t>
            </w:r>
            <w:r>
              <w:rPr>
                <w:rFonts w:hAnsi="宋体"/>
              </w:rPr>
              <w:t>年</w:t>
            </w:r>
            <w:r>
              <w:t>8</w:t>
            </w:r>
            <w:r>
              <w:rPr>
                <w:rFonts w:hAnsi="宋体"/>
              </w:rPr>
              <w:t>月</w:t>
            </w:r>
            <w:r>
              <w:t>9</w:t>
            </w:r>
            <w:r>
              <w:rPr>
                <w:rFonts w:hAnsi="宋体"/>
              </w:rPr>
              <w:t>日），宣汉县普光工业园区污水处理厂</w:t>
            </w:r>
            <w:r>
              <w:rPr>
                <w:rFonts w:hint="eastAsia" w:hAnsi="宋体"/>
              </w:rPr>
              <w:t>设计规模为</w:t>
            </w:r>
            <w:r>
              <w:t>1.0</w:t>
            </w:r>
            <w:r>
              <w:rPr>
                <w:rFonts w:hint="eastAsia" w:hAnsi="宋体"/>
              </w:rPr>
              <w:t>万</w:t>
            </w:r>
            <w:r>
              <w:t>m</w:t>
            </w:r>
            <w:r>
              <w:rPr>
                <w:rFonts w:hint="eastAsia"/>
                <w:vertAlign w:val="superscript"/>
              </w:rPr>
              <w:t>3</w:t>
            </w:r>
            <w:r>
              <w:t>/d</w:t>
            </w:r>
            <w:r>
              <w:rPr>
                <w:rFonts w:hint="eastAsia" w:hAnsi="宋体"/>
              </w:rPr>
              <w:t>，目前实际</w:t>
            </w:r>
            <w:r>
              <w:rPr>
                <w:rFonts w:hAnsi="宋体"/>
              </w:rPr>
              <w:t>处理废水规模为</w:t>
            </w:r>
            <w:r>
              <w:t>2000m</w:t>
            </w:r>
            <w:r>
              <w:rPr>
                <w:vertAlign w:val="superscript"/>
              </w:rPr>
              <w:t>3</w:t>
            </w:r>
            <w:r>
              <w:t>/d</w:t>
            </w:r>
            <w:r>
              <w:rPr>
                <w:rFonts w:hAnsi="宋体"/>
              </w:rPr>
              <w:t>，专门针对园区企业所产污水进行处理，现富余能力充足。</w:t>
            </w:r>
          </w:p>
          <w:p>
            <w:pPr>
              <w:adjustRightInd w:val="0"/>
              <w:snapToGrid w:val="0"/>
              <w:spacing w:line="400" w:lineRule="exact"/>
              <w:ind w:firstLine="420" w:firstLineChars="200"/>
            </w:pPr>
            <w:r>
              <w:rPr>
                <w:rFonts w:hAnsi="宋体"/>
              </w:rPr>
              <w:t>本项目日产废水量约为</w:t>
            </w:r>
            <w:r>
              <w:rPr>
                <w:rFonts w:hint="eastAsia"/>
              </w:rPr>
              <w:t>202.4</w:t>
            </w:r>
            <w:r>
              <w:t>m</w:t>
            </w:r>
            <w:r>
              <w:rPr>
                <w:vertAlign w:val="superscript"/>
              </w:rPr>
              <w:t>3</w:t>
            </w:r>
            <w:r>
              <w:t>/d</w:t>
            </w:r>
            <w:r>
              <w:rPr>
                <w:rFonts w:hAnsi="宋体"/>
              </w:rPr>
              <w:t>，</w:t>
            </w:r>
            <w:r>
              <w:rPr>
                <w:rFonts w:hint="eastAsia" w:hAnsi="宋体"/>
              </w:rPr>
              <w:t>占现状污水处理厂处理规模的</w:t>
            </w:r>
            <w:r>
              <w:rPr>
                <w:rFonts w:hint="eastAsia"/>
              </w:rPr>
              <w:t>10.12%</w:t>
            </w:r>
            <w:r>
              <w:rPr>
                <w:rFonts w:hint="eastAsia" w:hAnsi="宋体"/>
              </w:rPr>
              <w:t>，占比较小，且</w:t>
            </w:r>
            <w:r>
              <w:rPr>
                <w:rFonts w:hAnsi="宋体"/>
              </w:rPr>
              <w:t>小于宣汉县普光工业园区污水处理厂富余处理能力</w:t>
            </w:r>
            <w:r>
              <w:rPr>
                <w:rFonts w:hint="eastAsia" w:hAnsi="宋体"/>
              </w:rPr>
              <w:t>，后期污水处理厂扩建后，将有更多富余能力</w:t>
            </w:r>
            <w:r>
              <w:rPr>
                <w:rFonts w:hAnsi="宋体"/>
              </w:rPr>
              <w:t>。由此可见，宣汉县普光工业园区污水处理厂处理能力完全能够收纳本项目产生的生产废水。</w:t>
            </w:r>
          </w:p>
          <w:p>
            <w:pPr>
              <w:spacing w:line="400" w:lineRule="exact"/>
              <w:ind w:firstLine="420" w:firstLineChars="200"/>
              <w:rPr>
                <w:rFonts w:ascii="宋体"/>
              </w:rPr>
            </w:pPr>
            <w:r>
              <w:rPr>
                <w:rFonts w:hAnsi="宋体"/>
              </w:rPr>
              <w:t>由此可见，项目营运期废水依托</w:t>
            </w:r>
            <w:r>
              <w:rPr>
                <w:rFonts w:hint="eastAsia" w:hAnsi="宋体"/>
              </w:rPr>
              <w:t>园区污水处理厂</w:t>
            </w:r>
            <w:r>
              <w:rPr>
                <w:rFonts w:hAnsi="宋体"/>
              </w:rPr>
              <w:t>处理是可行的。</w:t>
            </w:r>
          </w:p>
          <w:p>
            <w:pPr>
              <w:autoSpaceDE w:val="0"/>
              <w:autoSpaceDN w:val="0"/>
              <w:adjustRightInd w:val="0"/>
              <w:spacing w:line="400" w:lineRule="exact"/>
              <w:rPr>
                <w:b/>
                <w:kern w:val="0"/>
              </w:rPr>
            </w:pPr>
            <w:r>
              <w:rPr>
                <w:rFonts w:hint="eastAsia"/>
                <w:b/>
                <w:kern w:val="0"/>
              </w:rPr>
              <w:t>3</w:t>
            </w:r>
            <w:r>
              <w:rPr>
                <w:b/>
                <w:kern w:val="0"/>
              </w:rPr>
              <w:t>、噪声</w:t>
            </w:r>
          </w:p>
          <w:p>
            <w:pPr>
              <w:autoSpaceDE w:val="0"/>
              <w:autoSpaceDN w:val="0"/>
              <w:adjustRightInd w:val="0"/>
              <w:spacing w:line="400" w:lineRule="exact"/>
              <w:ind w:firstLine="422" w:firstLineChars="200"/>
              <w:rPr>
                <w:b/>
                <w:kern w:val="0"/>
              </w:rPr>
            </w:pPr>
            <w:r>
              <w:rPr>
                <w:rFonts w:hint="eastAsia"/>
                <w:b/>
                <w:kern w:val="0"/>
              </w:rPr>
              <w:t>（1）噪声源强</w:t>
            </w:r>
          </w:p>
          <w:p>
            <w:pPr>
              <w:autoSpaceDE w:val="0"/>
              <w:autoSpaceDN w:val="0"/>
              <w:adjustRightInd w:val="0"/>
              <w:spacing w:line="400" w:lineRule="exact"/>
              <w:ind w:firstLine="420" w:firstLineChars="200"/>
              <w:rPr>
                <w:kern w:val="0"/>
              </w:rPr>
            </w:pPr>
            <w:r>
              <w:rPr>
                <w:rFonts w:hint="eastAsia"/>
                <w:kern w:val="0"/>
              </w:rPr>
              <w:t>正常工况下，项目天然气管道运输过程中不会产生噪声，在项目运营期，噪声主要是由场站的分离器、超声流量计和阀门产生，其噪声值一般在</w:t>
            </w:r>
            <w:r>
              <w:rPr>
                <w:kern w:val="0"/>
              </w:rPr>
              <w:t>65-75dB</w:t>
            </w:r>
            <w:r>
              <w:rPr>
                <w:rFonts w:hint="eastAsia"/>
                <w:kern w:val="0"/>
              </w:rPr>
              <w:t>（</w:t>
            </w:r>
            <w:r>
              <w:rPr>
                <w:kern w:val="0"/>
              </w:rPr>
              <w:t>A</w:t>
            </w:r>
            <w:r>
              <w:rPr>
                <w:rFonts w:hint="eastAsia"/>
                <w:kern w:val="0"/>
              </w:rPr>
              <w:t>）。此外，系统清管、超压和事故工况下管道放空会产生瞬时强噪声，噪声值可达</w:t>
            </w:r>
            <w:r>
              <w:rPr>
                <w:kern w:val="0"/>
              </w:rPr>
              <w:t>90-105dB</w:t>
            </w:r>
            <w:r>
              <w:rPr>
                <w:rFonts w:hint="eastAsia"/>
                <w:kern w:val="0"/>
              </w:rPr>
              <w:t>（</w:t>
            </w:r>
            <w:r>
              <w:rPr>
                <w:kern w:val="0"/>
              </w:rPr>
              <w:t>A</w:t>
            </w:r>
            <w:r>
              <w:rPr>
                <w:rFonts w:hint="eastAsia"/>
                <w:kern w:val="0"/>
              </w:rPr>
              <w:t>）。因此，本工程正常运行过程中噪声较小，加之输气站的围墙对降低噪声有很好的效果，因此输气管道工程运营期间噪声对环境的影响通常比较小。</w:t>
            </w:r>
          </w:p>
          <w:p>
            <w:pPr>
              <w:autoSpaceDE w:val="0"/>
              <w:autoSpaceDN w:val="0"/>
              <w:adjustRightInd w:val="0"/>
              <w:spacing w:line="400" w:lineRule="exact"/>
              <w:ind w:firstLine="420" w:firstLineChars="200"/>
              <w:rPr>
                <w:kern w:val="0"/>
              </w:rPr>
            </w:pPr>
            <w:r>
              <w:rPr>
                <w:rFonts w:hint="eastAsia"/>
                <w:kern w:val="0"/>
              </w:rPr>
              <w:t>本次环评主要对配气站的噪声贡献值进行分析。主要发声设备及源强统计见下表：</w:t>
            </w:r>
          </w:p>
          <w:p>
            <w:pPr>
              <w:widowControl/>
              <w:kinsoku w:val="0"/>
              <w:autoSpaceDE w:val="0"/>
              <w:autoSpaceDN w:val="0"/>
              <w:adjustRightInd w:val="0"/>
              <w:snapToGrid w:val="0"/>
              <w:spacing w:line="400" w:lineRule="exact"/>
              <w:jc w:val="center"/>
              <w:textAlignment w:val="baseline"/>
              <w:outlineLvl w:val="4"/>
              <w:rPr>
                <w:b/>
                <w:bCs/>
                <w:kern w:val="0"/>
                <w:sz w:val="18"/>
                <w:szCs w:val="21"/>
              </w:rPr>
            </w:pPr>
            <w:r>
              <w:rPr>
                <w:rFonts w:hint="eastAsia" w:ascii="宋体" w:hAnsi="宋体"/>
                <w:b/>
                <w:bCs/>
                <w:kern w:val="0"/>
                <w:sz w:val="18"/>
              </w:rPr>
              <w:t>表</w:t>
            </w:r>
            <w:r>
              <w:rPr>
                <w:rFonts w:hint="eastAsia"/>
                <w:b/>
                <w:bCs/>
                <w:kern w:val="0"/>
                <w:sz w:val="18"/>
              </w:rPr>
              <w:t xml:space="preserve">5-5     </w:t>
            </w:r>
            <w:r>
              <w:rPr>
                <w:rFonts w:hint="eastAsia" w:ascii="宋体" w:hAnsi="宋体"/>
                <w:b/>
                <w:bCs/>
                <w:kern w:val="0"/>
                <w:sz w:val="18"/>
              </w:rPr>
              <w:t>项目场站发生设备及源强统计表</w:t>
            </w:r>
          </w:p>
          <w:tbl>
            <w:tblPr>
              <w:tblStyle w:val="58"/>
              <w:tblW w:w="484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7"/>
              <w:gridCol w:w="1883"/>
              <w:gridCol w:w="1128"/>
              <w:gridCol w:w="1154"/>
              <w:gridCol w:w="1525"/>
              <w:gridCol w:w="12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 w:hRule="atLeast"/>
              </w:trPr>
              <w:tc>
                <w:tcPr>
                  <w:tcW w:w="432"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b/>
                      <w:bCs/>
                      <w:kern w:val="0"/>
                      <w:sz w:val="18"/>
                      <w:szCs w:val="18"/>
                    </w:rPr>
                  </w:pPr>
                  <w:r>
                    <w:rPr>
                      <w:rFonts w:hint="eastAsia" w:ascii="宋体" w:hAnsi="宋体" w:eastAsia="Times New Roman"/>
                      <w:b/>
                      <w:bCs/>
                      <w:kern w:val="0"/>
                      <w:sz w:val="18"/>
                      <w:szCs w:val="18"/>
                    </w:rPr>
                    <w:t>场站</w:t>
                  </w:r>
                </w:p>
              </w:tc>
              <w:tc>
                <w:tcPr>
                  <w:tcW w:w="1238"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b/>
                      <w:bCs/>
                      <w:kern w:val="0"/>
                      <w:sz w:val="18"/>
                      <w:szCs w:val="18"/>
                    </w:rPr>
                  </w:pPr>
                  <w:r>
                    <w:rPr>
                      <w:rFonts w:hint="eastAsia" w:ascii="宋体" w:hAnsi="宋体" w:eastAsia="Times New Roman"/>
                      <w:b/>
                      <w:bCs/>
                      <w:kern w:val="0"/>
                      <w:sz w:val="18"/>
                      <w:szCs w:val="18"/>
                    </w:rPr>
                    <w:t>发生设备</w:t>
                  </w:r>
                </w:p>
              </w:tc>
              <w:tc>
                <w:tcPr>
                  <w:tcW w:w="742"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b/>
                      <w:bCs/>
                      <w:kern w:val="0"/>
                      <w:sz w:val="18"/>
                      <w:szCs w:val="18"/>
                    </w:rPr>
                  </w:pPr>
                  <w:r>
                    <w:rPr>
                      <w:rFonts w:hint="eastAsia" w:ascii="宋体" w:hAnsi="宋体" w:eastAsia="Times New Roman"/>
                      <w:b/>
                      <w:bCs/>
                      <w:kern w:val="0"/>
                      <w:sz w:val="18"/>
                      <w:szCs w:val="18"/>
                    </w:rPr>
                    <w:t>数量（台）</w:t>
                  </w:r>
                </w:p>
              </w:tc>
              <w:tc>
                <w:tcPr>
                  <w:tcW w:w="759"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b/>
                      <w:bCs/>
                      <w:kern w:val="0"/>
                      <w:sz w:val="18"/>
                      <w:szCs w:val="18"/>
                    </w:rPr>
                  </w:pPr>
                  <w:r>
                    <w:rPr>
                      <w:rFonts w:hint="eastAsia" w:ascii="宋体" w:hAnsi="宋体" w:eastAsia="Times New Roman"/>
                      <w:b/>
                      <w:bCs/>
                      <w:kern w:val="0"/>
                      <w:sz w:val="18"/>
                      <w:szCs w:val="18"/>
                    </w:rPr>
                    <w:t>源强dB（A）</w:t>
                  </w:r>
                </w:p>
              </w:tc>
              <w:tc>
                <w:tcPr>
                  <w:tcW w:w="1003"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b/>
                      <w:bCs/>
                      <w:kern w:val="0"/>
                      <w:sz w:val="18"/>
                      <w:szCs w:val="18"/>
                    </w:rPr>
                  </w:pPr>
                  <w:r>
                    <w:rPr>
                      <w:rFonts w:hint="eastAsia" w:ascii="宋体" w:hAnsi="宋体" w:eastAsia="Times New Roman"/>
                      <w:b/>
                      <w:bCs/>
                      <w:kern w:val="0"/>
                      <w:sz w:val="18"/>
                      <w:szCs w:val="18"/>
                    </w:rPr>
                    <w:t>噪声特性</w:t>
                  </w:r>
                </w:p>
              </w:tc>
              <w:tc>
                <w:tcPr>
                  <w:tcW w:w="826"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b/>
                      <w:bCs/>
                      <w:kern w:val="0"/>
                      <w:sz w:val="18"/>
                      <w:szCs w:val="18"/>
                    </w:rPr>
                  </w:pPr>
                  <w:r>
                    <w:rPr>
                      <w:rFonts w:hint="eastAsia" w:ascii="宋体" w:hAnsi="宋体" w:eastAsia="Times New Roman"/>
                      <w:b/>
                      <w:bCs/>
                      <w:kern w:val="0"/>
                      <w:sz w:val="18"/>
                      <w:szCs w:val="18"/>
                    </w:rPr>
                    <w:t>主要处理措施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 w:hRule="atLeast"/>
              </w:trPr>
              <w:tc>
                <w:tcPr>
                  <w:tcW w:w="432" w:type="pct"/>
                  <w:vMerge w:val="restart"/>
                  <w:vAlign w:val="center"/>
                </w:tcPr>
                <w:p>
                  <w:pPr>
                    <w:widowControl/>
                    <w:kinsoku w:val="0"/>
                    <w:autoSpaceDE w:val="0"/>
                    <w:autoSpaceDN w:val="0"/>
                    <w:adjustRightInd w:val="0"/>
                    <w:snapToGrid w:val="0"/>
                    <w:spacing w:line="300" w:lineRule="exact"/>
                    <w:jc w:val="center"/>
                    <w:textAlignment w:val="baseline"/>
                    <w:rPr>
                      <w:rFonts w:ascii="宋体" w:hAnsi="宋体" w:eastAsiaTheme="minorEastAsia"/>
                      <w:kern w:val="0"/>
                      <w:sz w:val="18"/>
                      <w:szCs w:val="18"/>
                    </w:rPr>
                  </w:pPr>
                  <w:r>
                    <w:rPr>
                      <w:rFonts w:hint="eastAsia" w:ascii="宋体" w:hAnsi="宋体" w:eastAsia="Times New Roman"/>
                      <w:kern w:val="0"/>
                      <w:sz w:val="18"/>
                      <w:szCs w:val="18"/>
                    </w:rPr>
                    <w:t>配气站</w:t>
                  </w:r>
                </w:p>
              </w:tc>
              <w:tc>
                <w:tcPr>
                  <w:tcW w:w="1238"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kern w:val="0"/>
                      <w:sz w:val="18"/>
                      <w:szCs w:val="18"/>
                    </w:rPr>
                  </w:pPr>
                  <w:r>
                    <w:rPr>
                      <w:rFonts w:hint="eastAsia" w:ascii="宋体" w:hAnsi="宋体" w:eastAsia="Times New Roman"/>
                      <w:kern w:val="0"/>
                      <w:sz w:val="18"/>
                      <w:szCs w:val="18"/>
                    </w:rPr>
                    <w:t>过滤分离器</w:t>
                  </w:r>
                </w:p>
              </w:tc>
              <w:tc>
                <w:tcPr>
                  <w:tcW w:w="742" w:type="pct"/>
                  <w:vAlign w:val="center"/>
                </w:tcPr>
                <w:p>
                  <w:pPr>
                    <w:widowControl/>
                    <w:kinsoku w:val="0"/>
                    <w:autoSpaceDE w:val="0"/>
                    <w:autoSpaceDN w:val="0"/>
                    <w:adjustRightInd w:val="0"/>
                    <w:snapToGrid w:val="0"/>
                    <w:spacing w:line="300" w:lineRule="exact"/>
                    <w:jc w:val="center"/>
                    <w:textAlignment w:val="baseline"/>
                    <w:rPr>
                      <w:rFonts w:eastAsiaTheme="minorEastAsia"/>
                      <w:kern w:val="0"/>
                      <w:sz w:val="18"/>
                      <w:szCs w:val="18"/>
                    </w:rPr>
                  </w:pPr>
                  <w:r>
                    <w:rPr>
                      <w:rFonts w:hint="eastAsia" w:eastAsiaTheme="minorEastAsia"/>
                      <w:kern w:val="0"/>
                      <w:sz w:val="18"/>
                      <w:szCs w:val="18"/>
                    </w:rPr>
                    <w:t>2</w:t>
                  </w:r>
                </w:p>
              </w:tc>
              <w:tc>
                <w:tcPr>
                  <w:tcW w:w="759" w:type="pct"/>
                  <w:vAlign w:val="center"/>
                </w:tcPr>
                <w:p>
                  <w:pPr>
                    <w:widowControl/>
                    <w:kinsoku w:val="0"/>
                    <w:autoSpaceDE w:val="0"/>
                    <w:autoSpaceDN w:val="0"/>
                    <w:adjustRightInd w:val="0"/>
                    <w:snapToGrid w:val="0"/>
                    <w:spacing w:line="300" w:lineRule="exact"/>
                    <w:jc w:val="center"/>
                    <w:textAlignment w:val="baseline"/>
                    <w:rPr>
                      <w:rFonts w:eastAsia="Times New Roman"/>
                      <w:kern w:val="0"/>
                      <w:sz w:val="18"/>
                      <w:szCs w:val="18"/>
                    </w:rPr>
                  </w:pPr>
                  <w:r>
                    <w:rPr>
                      <w:rFonts w:eastAsia="Times New Roman"/>
                      <w:kern w:val="0"/>
                      <w:sz w:val="18"/>
                      <w:szCs w:val="18"/>
                    </w:rPr>
                    <w:t>70</w:t>
                  </w:r>
                </w:p>
              </w:tc>
              <w:tc>
                <w:tcPr>
                  <w:tcW w:w="1003"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kern w:val="0"/>
                      <w:sz w:val="18"/>
                      <w:szCs w:val="18"/>
                    </w:rPr>
                  </w:pPr>
                  <w:r>
                    <w:rPr>
                      <w:rFonts w:hint="eastAsia" w:ascii="宋体" w:hAnsi="宋体" w:eastAsia="Times New Roman"/>
                      <w:kern w:val="0"/>
                      <w:sz w:val="18"/>
                      <w:szCs w:val="18"/>
                    </w:rPr>
                    <w:t>室外连续声源</w:t>
                  </w:r>
                </w:p>
              </w:tc>
              <w:tc>
                <w:tcPr>
                  <w:tcW w:w="826" w:type="pct"/>
                  <w:vMerge w:val="restart"/>
                  <w:vAlign w:val="center"/>
                </w:tcPr>
                <w:p>
                  <w:pPr>
                    <w:widowControl/>
                    <w:kinsoku w:val="0"/>
                    <w:autoSpaceDE w:val="0"/>
                    <w:autoSpaceDN w:val="0"/>
                    <w:adjustRightInd w:val="0"/>
                    <w:snapToGrid w:val="0"/>
                    <w:spacing w:line="300" w:lineRule="exact"/>
                    <w:jc w:val="center"/>
                    <w:textAlignment w:val="baseline"/>
                    <w:rPr>
                      <w:rFonts w:eastAsia="Times New Roman"/>
                      <w:kern w:val="0"/>
                      <w:sz w:val="18"/>
                      <w:szCs w:val="18"/>
                    </w:rPr>
                  </w:pPr>
                  <w:r>
                    <w:rPr>
                      <w:rFonts w:hint="eastAsia" w:ascii="宋体" w:hAnsi="宋体" w:eastAsia="Times New Roman"/>
                      <w:sz w:val="18"/>
                      <w:szCs w:val="18"/>
                    </w:rPr>
                    <w:t>选用低噪声设备，基础减震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 w:hRule="atLeast"/>
              </w:trPr>
              <w:tc>
                <w:tcPr>
                  <w:tcW w:w="432" w:type="pct"/>
                  <w:vMerge w:val="continue"/>
                  <w:vAlign w:val="center"/>
                </w:tcPr>
                <w:p>
                  <w:pPr>
                    <w:widowControl/>
                    <w:spacing w:line="300" w:lineRule="exact"/>
                    <w:jc w:val="left"/>
                    <w:rPr>
                      <w:rFonts w:ascii="宋体" w:hAnsi="宋体" w:eastAsia="Times New Roman"/>
                      <w:kern w:val="0"/>
                      <w:sz w:val="18"/>
                      <w:szCs w:val="18"/>
                    </w:rPr>
                  </w:pPr>
                </w:p>
              </w:tc>
              <w:tc>
                <w:tcPr>
                  <w:tcW w:w="1238"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kern w:val="0"/>
                      <w:sz w:val="18"/>
                      <w:szCs w:val="18"/>
                    </w:rPr>
                  </w:pPr>
                  <w:r>
                    <w:rPr>
                      <w:rFonts w:hint="eastAsia" w:ascii="宋体" w:hAnsi="宋体" w:eastAsia="Times New Roman"/>
                      <w:kern w:val="0"/>
                      <w:sz w:val="18"/>
                      <w:szCs w:val="18"/>
                    </w:rPr>
                    <w:t>超声流量计</w:t>
                  </w:r>
                </w:p>
              </w:tc>
              <w:tc>
                <w:tcPr>
                  <w:tcW w:w="742" w:type="pct"/>
                  <w:vAlign w:val="center"/>
                </w:tcPr>
                <w:p>
                  <w:pPr>
                    <w:widowControl/>
                    <w:kinsoku w:val="0"/>
                    <w:autoSpaceDE w:val="0"/>
                    <w:autoSpaceDN w:val="0"/>
                    <w:adjustRightInd w:val="0"/>
                    <w:snapToGrid w:val="0"/>
                    <w:spacing w:line="300" w:lineRule="exact"/>
                    <w:jc w:val="center"/>
                    <w:textAlignment w:val="baseline"/>
                    <w:rPr>
                      <w:rFonts w:eastAsia="Times New Roman"/>
                      <w:kern w:val="0"/>
                      <w:sz w:val="18"/>
                      <w:szCs w:val="18"/>
                    </w:rPr>
                  </w:pPr>
                  <w:r>
                    <w:rPr>
                      <w:rFonts w:eastAsia="Times New Roman"/>
                      <w:kern w:val="0"/>
                      <w:sz w:val="18"/>
                      <w:szCs w:val="18"/>
                    </w:rPr>
                    <w:t>1</w:t>
                  </w:r>
                </w:p>
              </w:tc>
              <w:tc>
                <w:tcPr>
                  <w:tcW w:w="759" w:type="pct"/>
                  <w:vAlign w:val="center"/>
                </w:tcPr>
                <w:p>
                  <w:pPr>
                    <w:widowControl/>
                    <w:kinsoku w:val="0"/>
                    <w:autoSpaceDE w:val="0"/>
                    <w:autoSpaceDN w:val="0"/>
                    <w:adjustRightInd w:val="0"/>
                    <w:snapToGrid w:val="0"/>
                    <w:spacing w:line="300" w:lineRule="exact"/>
                    <w:jc w:val="center"/>
                    <w:textAlignment w:val="baseline"/>
                    <w:rPr>
                      <w:rFonts w:eastAsia="Times New Roman"/>
                      <w:kern w:val="0"/>
                      <w:sz w:val="18"/>
                      <w:szCs w:val="18"/>
                    </w:rPr>
                  </w:pPr>
                  <w:r>
                    <w:rPr>
                      <w:rFonts w:eastAsia="Times New Roman"/>
                      <w:kern w:val="0"/>
                      <w:sz w:val="18"/>
                      <w:szCs w:val="18"/>
                    </w:rPr>
                    <w:t>85</w:t>
                  </w:r>
                </w:p>
              </w:tc>
              <w:tc>
                <w:tcPr>
                  <w:tcW w:w="1003"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kern w:val="0"/>
                      <w:sz w:val="18"/>
                      <w:szCs w:val="18"/>
                    </w:rPr>
                  </w:pPr>
                  <w:r>
                    <w:rPr>
                      <w:rFonts w:hint="eastAsia" w:ascii="宋体" w:hAnsi="宋体" w:eastAsia="Times New Roman"/>
                      <w:kern w:val="0"/>
                      <w:sz w:val="18"/>
                      <w:szCs w:val="18"/>
                    </w:rPr>
                    <w:t>室外连续声源</w:t>
                  </w:r>
                </w:p>
              </w:tc>
              <w:tc>
                <w:tcPr>
                  <w:tcW w:w="826" w:type="pct"/>
                  <w:vMerge w:val="continue"/>
                  <w:vAlign w:val="center"/>
                </w:tcPr>
                <w:p>
                  <w:pPr>
                    <w:widowControl/>
                    <w:spacing w:line="300" w:lineRule="exact"/>
                    <w:jc w:val="left"/>
                    <w:rPr>
                      <w:rFonts w:eastAsia="Times New Roman"/>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 w:hRule="atLeast"/>
              </w:trPr>
              <w:tc>
                <w:tcPr>
                  <w:tcW w:w="432" w:type="pct"/>
                  <w:vMerge w:val="continue"/>
                  <w:vAlign w:val="center"/>
                </w:tcPr>
                <w:p>
                  <w:pPr>
                    <w:widowControl/>
                    <w:spacing w:line="300" w:lineRule="exact"/>
                    <w:jc w:val="left"/>
                    <w:rPr>
                      <w:rFonts w:ascii="宋体" w:hAnsi="宋体" w:eastAsia="Times New Roman"/>
                      <w:kern w:val="0"/>
                      <w:sz w:val="18"/>
                      <w:szCs w:val="18"/>
                    </w:rPr>
                  </w:pPr>
                </w:p>
              </w:tc>
              <w:tc>
                <w:tcPr>
                  <w:tcW w:w="1238"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kern w:val="0"/>
                      <w:sz w:val="18"/>
                      <w:szCs w:val="18"/>
                    </w:rPr>
                  </w:pPr>
                  <w:r>
                    <w:rPr>
                      <w:rFonts w:hint="eastAsia" w:ascii="宋体" w:hAnsi="宋体" w:eastAsia="Times New Roman"/>
                      <w:kern w:val="0"/>
                      <w:sz w:val="18"/>
                      <w:szCs w:val="18"/>
                    </w:rPr>
                    <w:t>手动球阀</w:t>
                  </w:r>
                </w:p>
              </w:tc>
              <w:tc>
                <w:tcPr>
                  <w:tcW w:w="742" w:type="pct"/>
                  <w:vAlign w:val="center"/>
                </w:tcPr>
                <w:p>
                  <w:pPr>
                    <w:widowControl/>
                    <w:kinsoku w:val="0"/>
                    <w:autoSpaceDE w:val="0"/>
                    <w:autoSpaceDN w:val="0"/>
                    <w:adjustRightInd w:val="0"/>
                    <w:snapToGrid w:val="0"/>
                    <w:spacing w:line="300" w:lineRule="exact"/>
                    <w:jc w:val="center"/>
                    <w:textAlignment w:val="baseline"/>
                    <w:rPr>
                      <w:rFonts w:eastAsia="Times New Roman"/>
                      <w:kern w:val="0"/>
                      <w:sz w:val="18"/>
                      <w:szCs w:val="18"/>
                    </w:rPr>
                  </w:pPr>
                  <w:r>
                    <w:rPr>
                      <w:rFonts w:eastAsia="Times New Roman"/>
                      <w:kern w:val="0"/>
                      <w:sz w:val="18"/>
                      <w:szCs w:val="18"/>
                    </w:rPr>
                    <w:t>1</w:t>
                  </w:r>
                </w:p>
              </w:tc>
              <w:tc>
                <w:tcPr>
                  <w:tcW w:w="759" w:type="pct"/>
                  <w:vAlign w:val="center"/>
                </w:tcPr>
                <w:p>
                  <w:pPr>
                    <w:widowControl/>
                    <w:kinsoku w:val="0"/>
                    <w:autoSpaceDE w:val="0"/>
                    <w:autoSpaceDN w:val="0"/>
                    <w:adjustRightInd w:val="0"/>
                    <w:snapToGrid w:val="0"/>
                    <w:spacing w:line="300" w:lineRule="exact"/>
                    <w:jc w:val="center"/>
                    <w:textAlignment w:val="baseline"/>
                    <w:rPr>
                      <w:rFonts w:eastAsia="Times New Roman"/>
                      <w:kern w:val="0"/>
                      <w:sz w:val="18"/>
                      <w:szCs w:val="18"/>
                    </w:rPr>
                  </w:pPr>
                  <w:r>
                    <w:rPr>
                      <w:rFonts w:eastAsia="Times New Roman"/>
                      <w:kern w:val="0"/>
                      <w:sz w:val="18"/>
                      <w:szCs w:val="18"/>
                    </w:rPr>
                    <w:t>85</w:t>
                  </w:r>
                </w:p>
              </w:tc>
              <w:tc>
                <w:tcPr>
                  <w:tcW w:w="1003"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kern w:val="0"/>
                      <w:sz w:val="18"/>
                      <w:szCs w:val="18"/>
                    </w:rPr>
                  </w:pPr>
                  <w:r>
                    <w:rPr>
                      <w:rFonts w:hint="eastAsia" w:ascii="宋体" w:hAnsi="宋体" w:eastAsia="Times New Roman"/>
                      <w:kern w:val="0"/>
                      <w:sz w:val="18"/>
                      <w:szCs w:val="18"/>
                    </w:rPr>
                    <w:t>室外瞬时声源</w:t>
                  </w:r>
                </w:p>
              </w:tc>
              <w:tc>
                <w:tcPr>
                  <w:tcW w:w="826" w:type="pct"/>
                  <w:vMerge w:val="continue"/>
                  <w:vAlign w:val="center"/>
                </w:tcPr>
                <w:p>
                  <w:pPr>
                    <w:widowControl/>
                    <w:spacing w:line="300" w:lineRule="exact"/>
                    <w:jc w:val="left"/>
                    <w:rPr>
                      <w:rFonts w:eastAsia="Times New Roman"/>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 w:hRule="atLeast"/>
              </w:trPr>
              <w:tc>
                <w:tcPr>
                  <w:tcW w:w="432" w:type="pct"/>
                  <w:vMerge w:val="continue"/>
                  <w:vAlign w:val="center"/>
                </w:tcPr>
                <w:p>
                  <w:pPr>
                    <w:widowControl/>
                    <w:spacing w:line="300" w:lineRule="exact"/>
                    <w:jc w:val="left"/>
                    <w:rPr>
                      <w:rFonts w:ascii="宋体" w:hAnsi="宋体" w:eastAsia="Times New Roman"/>
                      <w:kern w:val="0"/>
                      <w:sz w:val="18"/>
                      <w:szCs w:val="18"/>
                    </w:rPr>
                  </w:pPr>
                </w:p>
              </w:tc>
              <w:tc>
                <w:tcPr>
                  <w:tcW w:w="1238"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kern w:val="0"/>
                      <w:sz w:val="18"/>
                      <w:szCs w:val="18"/>
                    </w:rPr>
                  </w:pPr>
                  <w:r>
                    <w:rPr>
                      <w:rFonts w:hint="eastAsia" w:ascii="宋体" w:hAnsi="宋体" w:eastAsia="Times New Roman"/>
                      <w:kern w:val="0"/>
                      <w:sz w:val="18"/>
                      <w:szCs w:val="18"/>
                    </w:rPr>
                    <w:t>电动球阀</w:t>
                  </w:r>
                </w:p>
              </w:tc>
              <w:tc>
                <w:tcPr>
                  <w:tcW w:w="742" w:type="pct"/>
                  <w:vAlign w:val="center"/>
                </w:tcPr>
                <w:p>
                  <w:pPr>
                    <w:widowControl/>
                    <w:kinsoku w:val="0"/>
                    <w:autoSpaceDE w:val="0"/>
                    <w:autoSpaceDN w:val="0"/>
                    <w:adjustRightInd w:val="0"/>
                    <w:snapToGrid w:val="0"/>
                    <w:spacing w:line="300" w:lineRule="exact"/>
                    <w:jc w:val="center"/>
                    <w:textAlignment w:val="baseline"/>
                    <w:rPr>
                      <w:rFonts w:eastAsia="Times New Roman"/>
                      <w:kern w:val="0"/>
                      <w:sz w:val="18"/>
                      <w:szCs w:val="18"/>
                    </w:rPr>
                  </w:pPr>
                  <w:r>
                    <w:rPr>
                      <w:rFonts w:eastAsia="Times New Roman"/>
                      <w:kern w:val="0"/>
                      <w:sz w:val="18"/>
                      <w:szCs w:val="18"/>
                    </w:rPr>
                    <w:t>1</w:t>
                  </w:r>
                </w:p>
              </w:tc>
              <w:tc>
                <w:tcPr>
                  <w:tcW w:w="759" w:type="pct"/>
                  <w:vAlign w:val="center"/>
                </w:tcPr>
                <w:p>
                  <w:pPr>
                    <w:widowControl/>
                    <w:kinsoku w:val="0"/>
                    <w:autoSpaceDE w:val="0"/>
                    <w:autoSpaceDN w:val="0"/>
                    <w:adjustRightInd w:val="0"/>
                    <w:snapToGrid w:val="0"/>
                    <w:spacing w:line="300" w:lineRule="exact"/>
                    <w:jc w:val="center"/>
                    <w:textAlignment w:val="baseline"/>
                    <w:rPr>
                      <w:rFonts w:eastAsia="Times New Roman"/>
                      <w:kern w:val="0"/>
                      <w:sz w:val="18"/>
                      <w:szCs w:val="18"/>
                    </w:rPr>
                  </w:pPr>
                  <w:r>
                    <w:rPr>
                      <w:rFonts w:eastAsia="Times New Roman"/>
                      <w:kern w:val="0"/>
                      <w:sz w:val="18"/>
                      <w:szCs w:val="18"/>
                    </w:rPr>
                    <w:t>80</w:t>
                  </w:r>
                </w:p>
              </w:tc>
              <w:tc>
                <w:tcPr>
                  <w:tcW w:w="1003"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kern w:val="0"/>
                      <w:sz w:val="18"/>
                      <w:szCs w:val="18"/>
                    </w:rPr>
                  </w:pPr>
                  <w:r>
                    <w:rPr>
                      <w:rFonts w:hint="eastAsia" w:ascii="宋体" w:hAnsi="宋体" w:eastAsia="Times New Roman"/>
                      <w:kern w:val="0"/>
                      <w:sz w:val="18"/>
                      <w:szCs w:val="18"/>
                    </w:rPr>
                    <w:t>室外瞬时声源</w:t>
                  </w:r>
                </w:p>
              </w:tc>
              <w:tc>
                <w:tcPr>
                  <w:tcW w:w="826" w:type="pct"/>
                  <w:vMerge w:val="continue"/>
                  <w:vAlign w:val="center"/>
                </w:tcPr>
                <w:p>
                  <w:pPr>
                    <w:widowControl/>
                    <w:spacing w:line="300" w:lineRule="exact"/>
                    <w:jc w:val="left"/>
                    <w:rPr>
                      <w:rFonts w:eastAsia="Times New Roman"/>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 w:hRule="atLeast"/>
              </w:trPr>
              <w:tc>
                <w:tcPr>
                  <w:tcW w:w="432" w:type="pct"/>
                  <w:vMerge w:val="continue"/>
                  <w:vAlign w:val="center"/>
                </w:tcPr>
                <w:p>
                  <w:pPr>
                    <w:widowControl/>
                    <w:spacing w:line="300" w:lineRule="exact"/>
                    <w:jc w:val="left"/>
                    <w:rPr>
                      <w:rFonts w:ascii="宋体" w:hAnsi="宋体" w:eastAsia="Times New Roman"/>
                      <w:kern w:val="0"/>
                      <w:sz w:val="18"/>
                      <w:szCs w:val="18"/>
                    </w:rPr>
                  </w:pPr>
                </w:p>
              </w:tc>
              <w:tc>
                <w:tcPr>
                  <w:tcW w:w="1238"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kern w:val="0"/>
                      <w:sz w:val="18"/>
                      <w:szCs w:val="18"/>
                    </w:rPr>
                  </w:pPr>
                  <w:r>
                    <w:rPr>
                      <w:rFonts w:hint="eastAsia" w:ascii="宋体" w:hAnsi="宋体" w:eastAsia="Times New Roman"/>
                      <w:kern w:val="0"/>
                      <w:sz w:val="18"/>
                      <w:szCs w:val="18"/>
                    </w:rPr>
                    <w:t>节流阀</w:t>
                  </w:r>
                </w:p>
              </w:tc>
              <w:tc>
                <w:tcPr>
                  <w:tcW w:w="742" w:type="pct"/>
                  <w:vAlign w:val="center"/>
                </w:tcPr>
                <w:p>
                  <w:pPr>
                    <w:widowControl/>
                    <w:kinsoku w:val="0"/>
                    <w:autoSpaceDE w:val="0"/>
                    <w:autoSpaceDN w:val="0"/>
                    <w:adjustRightInd w:val="0"/>
                    <w:snapToGrid w:val="0"/>
                    <w:spacing w:line="300" w:lineRule="exact"/>
                    <w:jc w:val="center"/>
                    <w:textAlignment w:val="baseline"/>
                    <w:rPr>
                      <w:rFonts w:eastAsia="Times New Roman"/>
                      <w:kern w:val="0"/>
                      <w:sz w:val="18"/>
                      <w:szCs w:val="18"/>
                    </w:rPr>
                  </w:pPr>
                  <w:r>
                    <w:rPr>
                      <w:rFonts w:eastAsia="Times New Roman"/>
                      <w:kern w:val="0"/>
                      <w:sz w:val="18"/>
                      <w:szCs w:val="18"/>
                    </w:rPr>
                    <w:t>1</w:t>
                  </w:r>
                </w:p>
              </w:tc>
              <w:tc>
                <w:tcPr>
                  <w:tcW w:w="759" w:type="pct"/>
                  <w:vAlign w:val="center"/>
                </w:tcPr>
                <w:p>
                  <w:pPr>
                    <w:widowControl/>
                    <w:kinsoku w:val="0"/>
                    <w:autoSpaceDE w:val="0"/>
                    <w:autoSpaceDN w:val="0"/>
                    <w:adjustRightInd w:val="0"/>
                    <w:snapToGrid w:val="0"/>
                    <w:spacing w:line="300" w:lineRule="exact"/>
                    <w:jc w:val="center"/>
                    <w:textAlignment w:val="baseline"/>
                    <w:rPr>
                      <w:rFonts w:eastAsia="Times New Roman"/>
                      <w:kern w:val="0"/>
                      <w:sz w:val="18"/>
                      <w:szCs w:val="18"/>
                    </w:rPr>
                  </w:pPr>
                  <w:r>
                    <w:rPr>
                      <w:rFonts w:eastAsia="Times New Roman"/>
                      <w:kern w:val="0"/>
                      <w:sz w:val="18"/>
                      <w:szCs w:val="18"/>
                    </w:rPr>
                    <w:t>80~95</w:t>
                  </w:r>
                </w:p>
              </w:tc>
              <w:tc>
                <w:tcPr>
                  <w:tcW w:w="1003"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kern w:val="0"/>
                      <w:sz w:val="18"/>
                      <w:szCs w:val="18"/>
                    </w:rPr>
                  </w:pPr>
                  <w:r>
                    <w:rPr>
                      <w:rFonts w:hint="eastAsia" w:ascii="宋体" w:hAnsi="宋体" w:eastAsia="Times New Roman"/>
                      <w:kern w:val="0"/>
                      <w:sz w:val="18"/>
                      <w:szCs w:val="18"/>
                    </w:rPr>
                    <w:t>室外连续声源</w:t>
                  </w:r>
                </w:p>
              </w:tc>
              <w:tc>
                <w:tcPr>
                  <w:tcW w:w="826" w:type="pct"/>
                  <w:vMerge w:val="continue"/>
                  <w:vAlign w:val="center"/>
                </w:tcPr>
                <w:p>
                  <w:pPr>
                    <w:widowControl/>
                    <w:spacing w:line="300" w:lineRule="exact"/>
                    <w:jc w:val="left"/>
                    <w:rPr>
                      <w:rFonts w:eastAsia="Times New Roman"/>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 w:hRule="atLeast"/>
              </w:trPr>
              <w:tc>
                <w:tcPr>
                  <w:tcW w:w="432" w:type="pct"/>
                  <w:vMerge w:val="continue"/>
                  <w:vAlign w:val="center"/>
                </w:tcPr>
                <w:p>
                  <w:pPr>
                    <w:widowControl/>
                    <w:spacing w:line="300" w:lineRule="exact"/>
                    <w:jc w:val="left"/>
                    <w:rPr>
                      <w:rFonts w:ascii="宋体" w:hAnsi="宋体" w:eastAsia="Times New Roman"/>
                      <w:kern w:val="0"/>
                      <w:sz w:val="18"/>
                      <w:szCs w:val="18"/>
                    </w:rPr>
                  </w:pPr>
                </w:p>
              </w:tc>
              <w:tc>
                <w:tcPr>
                  <w:tcW w:w="1238"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kern w:val="0"/>
                      <w:sz w:val="18"/>
                      <w:szCs w:val="18"/>
                    </w:rPr>
                  </w:pPr>
                  <w:r>
                    <w:rPr>
                      <w:rFonts w:hint="eastAsia" w:ascii="宋体" w:hAnsi="宋体" w:eastAsia="Times New Roman"/>
                      <w:kern w:val="0"/>
                      <w:sz w:val="18"/>
                      <w:szCs w:val="18"/>
                    </w:rPr>
                    <w:t>放空管</w:t>
                  </w:r>
                </w:p>
              </w:tc>
              <w:tc>
                <w:tcPr>
                  <w:tcW w:w="742" w:type="pct"/>
                  <w:vAlign w:val="center"/>
                </w:tcPr>
                <w:p>
                  <w:pPr>
                    <w:widowControl/>
                    <w:kinsoku w:val="0"/>
                    <w:autoSpaceDE w:val="0"/>
                    <w:autoSpaceDN w:val="0"/>
                    <w:adjustRightInd w:val="0"/>
                    <w:snapToGrid w:val="0"/>
                    <w:spacing w:line="300" w:lineRule="exact"/>
                    <w:jc w:val="center"/>
                    <w:textAlignment w:val="baseline"/>
                    <w:rPr>
                      <w:rFonts w:eastAsia="Times New Roman"/>
                      <w:kern w:val="0"/>
                      <w:sz w:val="18"/>
                      <w:szCs w:val="18"/>
                    </w:rPr>
                  </w:pPr>
                  <w:r>
                    <w:rPr>
                      <w:rFonts w:eastAsia="Times New Roman"/>
                      <w:kern w:val="0"/>
                      <w:sz w:val="18"/>
                      <w:szCs w:val="18"/>
                    </w:rPr>
                    <w:t>1</w:t>
                  </w:r>
                </w:p>
              </w:tc>
              <w:tc>
                <w:tcPr>
                  <w:tcW w:w="759" w:type="pct"/>
                  <w:vAlign w:val="center"/>
                </w:tcPr>
                <w:p>
                  <w:pPr>
                    <w:widowControl/>
                    <w:kinsoku w:val="0"/>
                    <w:autoSpaceDE w:val="0"/>
                    <w:autoSpaceDN w:val="0"/>
                    <w:adjustRightInd w:val="0"/>
                    <w:snapToGrid w:val="0"/>
                    <w:spacing w:line="300" w:lineRule="exact"/>
                    <w:jc w:val="center"/>
                    <w:textAlignment w:val="baseline"/>
                    <w:rPr>
                      <w:rFonts w:eastAsia="Times New Roman"/>
                      <w:kern w:val="0"/>
                      <w:sz w:val="18"/>
                      <w:szCs w:val="18"/>
                    </w:rPr>
                  </w:pPr>
                  <w:r>
                    <w:rPr>
                      <w:rFonts w:eastAsia="Times New Roman"/>
                      <w:kern w:val="0"/>
                      <w:sz w:val="18"/>
                      <w:szCs w:val="18"/>
                    </w:rPr>
                    <w:t>105</w:t>
                  </w:r>
                </w:p>
              </w:tc>
              <w:tc>
                <w:tcPr>
                  <w:tcW w:w="1003" w:type="pct"/>
                  <w:vAlign w:val="center"/>
                </w:tcPr>
                <w:p>
                  <w:pPr>
                    <w:widowControl/>
                    <w:kinsoku w:val="0"/>
                    <w:autoSpaceDE w:val="0"/>
                    <w:autoSpaceDN w:val="0"/>
                    <w:adjustRightInd w:val="0"/>
                    <w:snapToGrid w:val="0"/>
                    <w:spacing w:line="300" w:lineRule="exact"/>
                    <w:jc w:val="center"/>
                    <w:textAlignment w:val="baseline"/>
                    <w:rPr>
                      <w:rFonts w:ascii="宋体" w:hAnsi="宋体" w:eastAsia="Times New Roman"/>
                      <w:kern w:val="0"/>
                      <w:sz w:val="18"/>
                      <w:szCs w:val="18"/>
                    </w:rPr>
                  </w:pPr>
                  <w:r>
                    <w:rPr>
                      <w:rFonts w:hint="eastAsia" w:ascii="宋体" w:hAnsi="宋体" w:eastAsia="Times New Roman"/>
                      <w:kern w:val="0"/>
                      <w:sz w:val="18"/>
                      <w:szCs w:val="18"/>
                    </w:rPr>
                    <w:t>室外瞬时声源</w:t>
                  </w:r>
                </w:p>
              </w:tc>
              <w:tc>
                <w:tcPr>
                  <w:tcW w:w="826" w:type="pct"/>
                  <w:vMerge w:val="continue"/>
                  <w:vAlign w:val="center"/>
                </w:tcPr>
                <w:p>
                  <w:pPr>
                    <w:widowControl/>
                    <w:spacing w:line="300" w:lineRule="exact"/>
                    <w:jc w:val="left"/>
                    <w:rPr>
                      <w:rFonts w:eastAsia="Times New Roman"/>
                      <w:kern w:val="0"/>
                      <w:sz w:val="18"/>
                      <w:szCs w:val="18"/>
                    </w:rPr>
                  </w:pPr>
                </w:p>
              </w:tc>
            </w:tr>
          </w:tbl>
          <w:p>
            <w:pPr>
              <w:autoSpaceDE w:val="0"/>
              <w:autoSpaceDN w:val="0"/>
              <w:adjustRightInd w:val="0"/>
              <w:spacing w:line="400" w:lineRule="exact"/>
              <w:ind w:firstLine="422" w:firstLineChars="200"/>
              <w:rPr>
                <w:b/>
                <w:kern w:val="0"/>
              </w:rPr>
            </w:pPr>
            <w:r>
              <w:rPr>
                <w:rFonts w:hint="eastAsia"/>
                <w:b/>
                <w:kern w:val="0"/>
              </w:rPr>
              <w:t>（2）治理措施</w:t>
            </w:r>
          </w:p>
          <w:p>
            <w:pPr>
              <w:autoSpaceDE w:val="0"/>
              <w:autoSpaceDN w:val="0"/>
              <w:adjustRightInd w:val="0"/>
              <w:spacing w:line="400" w:lineRule="exact"/>
              <w:ind w:firstLine="420" w:firstLineChars="200"/>
              <w:rPr>
                <w:kern w:val="0"/>
              </w:rPr>
            </w:pPr>
            <w:r>
              <w:rPr>
                <w:rFonts w:hint="eastAsia"/>
                <w:kern w:val="0"/>
              </w:rPr>
              <w:t>由于噪声源强主要集中在配气站工艺装置区和发电机房。为有效控制噪声，主要采取如下控制措施：</w:t>
            </w:r>
          </w:p>
          <w:p>
            <w:pPr>
              <w:autoSpaceDE w:val="0"/>
              <w:autoSpaceDN w:val="0"/>
              <w:adjustRightInd w:val="0"/>
              <w:spacing w:line="400" w:lineRule="exact"/>
              <w:ind w:firstLine="420" w:firstLineChars="200"/>
              <w:rPr>
                <w:kern w:val="0"/>
              </w:rPr>
            </w:pPr>
            <w:r>
              <w:rPr>
                <w:rFonts w:hint="eastAsia"/>
                <w:kern w:val="0"/>
              </w:rPr>
              <w:t>①首先，平面布置时进行合理布局，控制气流速度，减少配气站工艺管线的弯头、三通等管建，降低站内噪声。②其次，选用高效低噪声的分离器和调压设备，</w:t>
            </w:r>
            <w:r>
              <w:rPr>
                <w:kern w:val="0"/>
              </w:rPr>
              <w:t>在设备底座安装防震垫</w:t>
            </w:r>
            <w:r>
              <w:rPr>
                <w:rFonts w:hint="eastAsia"/>
                <w:kern w:val="0"/>
              </w:rPr>
              <w:t>。③最后，同时对发电机房按照规范安装防火隔音门、采用密闭围护结构等措施。④此外，站场四周设置有围墙，一是确保站场的安全，二是起到隔声作用。</w:t>
            </w:r>
          </w:p>
          <w:p>
            <w:pPr>
              <w:autoSpaceDE w:val="0"/>
              <w:autoSpaceDN w:val="0"/>
              <w:adjustRightInd w:val="0"/>
              <w:spacing w:line="400" w:lineRule="exact"/>
              <w:ind w:firstLine="422" w:firstLineChars="200"/>
              <w:rPr>
                <w:b/>
                <w:kern w:val="0"/>
              </w:rPr>
            </w:pPr>
            <w:r>
              <w:rPr>
                <w:rFonts w:hint="eastAsia"/>
                <w:b/>
                <w:kern w:val="0"/>
              </w:rPr>
              <w:t>（3）噪声预测</w:t>
            </w:r>
          </w:p>
          <w:p>
            <w:pPr>
              <w:autoSpaceDE w:val="0"/>
              <w:autoSpaceDN w:val="0"/>
              <w:adjustRightInd w:val="0"/>
              <w:spacing w:line="400" w:lineRule="exact"/>
              <w:ind w:firstLine="420" w:firstLineChars="200"/>
              <w:rPr>
                <w:kern w:val="0"/>
              </w:rPr>
            </w:pPr>
            <w:r>
              <w:rPr>
                <w:rFonts w:hint="eastAsia"/>
                <w:kern w:val="0"/>
              </w:rPr>
              <w:t>本次预测以配气站内各设备的噪声源为源强，各噪声源噪声传播至各厂界综合叠加后，得到对各厂界的最大噪声贡献值。预测结果如下。</w:t>
            </w:r>
          </w:p>
          <w:p>
            <w:pPr>
              <w:widowControl/>
              <w:kinsoku w:val="0"/>
              <w:autoSpaceDE w:val="0"/>
              <w:autoSpaceDN w:val="0"/>
              <w:adjustRightInd w:val="0"/>
              <w:snapToGrid w:val="0"/>
              <w:spacing w:line="400" w:lineRule="exact"/>
              <w:jc w:val="center"/>
              <w:textAlignment w:val="baseline"/>
              <w:outlineLvl w:val="4"/>
              <w:rPr>
                <w:rFonts w:ascii="宋体" w:hAnsi="宋体"/>
                <w:b/>
                <w:bCs/>
                <w:kern w:val="0"/>
                <w:sz w:val="18"/>
              </w:rPr>
            </w:pPr>
            <w:r>
              <w:rPr>
                <w:rFonts w:hint="eastAsia" w:ascii="宋体" w:hAnsi="宋体"/>
                <w:b/>
                <w:bCs/>
                <w:kern w:val="0"/>
                <w:sz w:val="18"/>
              </w:rPr>
              <w:t>表5-6   声源到厂界预测点的贡献值</w:t>
            </w:r>
          </w:p>
          <w:tbl>
            <w:tblPr>
              <w:tblStyle w:val="17"/>
              <w:tblW w:w="7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116"/>
              <w:gridCol w:w="1082"/>
              <w:gridCol w:w="1435"/>
              <w:gridCol w:w="1437"/>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 w:hRule="atLeast"/>
                <w:jc w:val="center"/>
              </w:trPr>
              <w:tc>
                <w:tcPr>
                  <w:tcW w:w="712" w:type="pct"/>
                  <w:vMerge w:val="restart"/>
                  <w:vAlign w:val="center"/>
                </w:tcPr>
                <w:p>
                  <w:pPr>
                    <w:pStyle w:val="52"/>
                    <w:spacing w:before="0" w:after="0" w:line="280" w:lineRule="exact"/>
                    <w:ind w:firstLine="36"/>
                    <w:rPr>
                      <w:rFonts w:ascii="Times New Roman" w:hAnsi="Times New Roman" w:cs="Times New Roman"/>
                      <w:b/>
                      <w:bCs/>
                    </w:rPr>
                  </w:pPr>
                  <w:r>
                    <w:rPr>
                      <w:rFonts w:ascii="宋体" w:hAnsi="宋体" w:cs="Times New Roman"/>
                      <w:b/>
                      <w:bCs/>
                    </w:rPr>
                    <w:t>预测方位</w:t>
                  </w:r>
                </w:p>
              </w:tc>
              <w:tc>
                <w:tcPr>
                  <w:tcW w:w="746" w:type="pct"/>
                  <w:vMerge w:val="restart"/>
                  <w:vAlign w:val="center"/>
                </w:tcPr>
                <w:p>
                  <w:pPr>
                    <w:pStyle w:val="52"/>
                    <w:spacing w:before="0" w:after="0" w:line="280" w:lineRule="exact"/>
                    <w:ind w:firstLine="36"/>
                    <w:rPr>
                      <w:rFonts w:ascii="Times New Roman" w:hAnsi="Times New Roman" w:cs="Times New Roman"/>
                      <w:b/>
                      <w:bCs/>
                    </w:rPr>
                  </w:pPr>
                  <w:r>
                    <w:rPr>
                      <w:rFonts w:ascii="宋体" w:hAnsi="宋体" w:cs="Times New Roman"/>
                      <w:b/>
                      <w:bCs/>
                    </w:rPr>
                    <w:t>时段</w:t>
                  </w:r>
                </w:p>
              </w:tc>
              <w:tc>
                <w:tcPr>
                  <w:tcW w:w="724" w:type="pct"/>
                  <w:vMerge w:val="restart"/>
                  <w:vAlign w:val="center"/>
                </w:tcPr>
                <w:p>
                  <w:pPr>
                    <w:pStyle w:val="60"/>
                    <w:widowControl w:val="0"/>
                    <w:spacing w:line="280" w:lineRule="exact"/>
                    <w:rPr>
                      <w:rFonts w:ascii="Times New Roman" w:hAnsi="Times New Roman"/>
                      <w:b/>
                    </w:rPr>
                  </w:pPr>
                  <w:r>
                    <w:rPr>
                      <w:rFonts w:ascii="宋体" w:hAnsi="宋体"/>
                      <w:b/>
                    </w:rPr>
                    <w:t>贡献值</w:t>
                  </w:r>
                </w:p>
              </w:tc>
              <w:tc>
                <w:tcPr>
                  <w:tcW w:w="1921" w:type="pct"/>
                  <w:gridSpan w:val="2"/>
                  <w:vAlign w:val="center"/>
                </w:tcPr>
                <w:p>
                  <w:pPr>
                    <w:pStyle w:val="52"/>
                    <w:spacing w:before="0" w:after="0" w:line="280" w:lineRule="exact"/>
                    <w:ind w:firstLine="36"/>
                    <w:rPr>
                      <w:rFonts w:ascii="Times New Roman" w:hAnsi="Times New Roman" w:cs="Times New Roman"/>
                      <w:b/>
                      <w:bCs/>
                    </w:rPr>
                  </w:pPr>
                  <w:r>
                    <w:rPr>
                      <w:rFonts w:ascii="宋体" w:hAnsi="宋体" w:cs="Times New Roman"/>
                      <w:b/>
                      <w:bCs/>
                    </w:rPr>
                    <w:t>标准限值（</w:t>
                  </w:r>
                  <w:r>
                    <w:rPr>
                      <w:rFonts w:ascii="Times New Roman" w:hAnsi="Times New Roman" w:cs="Times New Roman"/>
                      <w:b/>
                      <w:bCs/>
                    </w:rPr>
                    <w:t>dB</w:t>
                  </w:r>
                  <w:r>
                    <w:rPr>
                      <w:rFonts w:ascii="宋体" w:hAnsi="宋体" w:cs="Times New Roman"/>
                      <w:b/>
                      <w:bCs/>
                    </w:rPr>
                    <w:t>（</w:t>
                  </w:r>
                  <w:r>
                    <w:rPr>
                      <w:rFonts w:ascii="Times New Roman" w:hAnsi="Times New Roman" w:cs="Times New Roman"/>
                      <w:b/>
                      <w:bCs/>
                    </w:rPr>
                    <w:t>A</w:t>
                  </w:r>
                  <w:r>
                    <w:rPr>
                      <w:rFonts w:ascii="宋体" w:hAnsi="宋体" w:cs="Times New Roman"/>
                      <w:b/>
                      <w:bCs/>
                    </w:rPr>
                    <w:t>））</w:t>
                  </w:r>
                </w:p>
              </w:tc>
              <w:tc>
                <w:tcPr>
                  <w:tcW w:w="896" w:type="pct"/>
                  <w:vMerge w:val="restart"/>
                  <w:vAlign w:val="center"/>
                </w:tcPr>
                <w:p>
                  <w:pPr>
                    <w:pStyle w:val="52"/>
                    <w:spacing w:before="0" w:after="0" w:line="280" w:lineRule="exact"/>
                    <w:ind w:firstLine="36"/>
                    <w:rPr>
                      <w:rFonts w:ascii="Times New Roman" w:hAnsi="Times New Roman" w:cs="Times New Roman"/>
                      <w:b/>
                      <w:bCs/>
                    </w:rPr>
                  </w:pPr>
                  <w:r>
                    <w:rPr>
                      <w:rFonts w:ascii="宋体" w:hAnsi="宋体" w:cs="Times New Roman"/>
                      <w:b/>
                      <w:bCs/>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 w:hRule="atLeast"/>
                <w:jc w:val="center"/>
              </w:trPr>
              <w:tc>
                <w:tcPr>
                  <w:tcW w:w="712" w:type="pct"/>
                  <w:vMerge w:val="continue"/>
                  <w:vAlign w:val="center"/>
                </w:tcPr>
                <w:p>
                  <w:pPr>
                    <w:widowControl/>
                    <w:spacing w:line="280" w:lineRule="exact"/>
                    <w:jc w:val="left"/>
                    <w:rPr>
                      <w:b/>
                      <w:bCs/>
                      <w:sz w:val="18"/>
                      <w:szCs w:val="18"/>
                    </w:rPr>
                  </w:pPr>
                </w:p>
              </w:tc>
              <w:tc>
                <w:tcPr>
                  <w:tcW w:w="746" w:type="pct"/>
                  <w:vMerge w:val="continue"/>
                  <w:vAlign w:val="center"/>
                </w:tcPr>
                <w:p>
                  <w:pPr>
                    <w:widowControl/>
                    <w:spacing w:line="280" w:lineRule="exact"/>
                    <w:jc w:val="left"/>
                    <w:rPr>
                      <w:b/>
                      <w:bCs/>
                      <w:sz w:val="18"/>
                      <w:szCs w:val="18"/>
                    </w:rPr>
                  </w:pPr>
                </w:p>
              </w:tc>
              <w:tc>
                <w:tcPr>
                  <w:tcW w:w="724" w:type="pct"/>
                  <w:vMerge w:val="continue"/>
                  <w:vAlign w:val="center"/>
                </w:tcPr>
                <w:p>
                  <w:pPr>
                    <w:widowControl/>
                    <w:spacing w:line="280" w:lineRule="exact"/>
                    <w:jc w:val="left"/>
                    <w:rPr>
                      <w:b/>
                      <w:sz w:val="18"/>
                      <w:szCs w:val="18"/>
                    </w:rPr>
                  </w:pPr>
                </w:p>
              </w:tc>
              <w:tc>
                <w:tcPr>
                  <w:tcW w:w="960" w:type="pct"/>
                  <w:vAlign w:val="center"/>
                </w:tcPr>
                <w:p>
                  <w:pPr>
                    <w:pStyle w:val="52"/>
                    <w:spacing w:before="0" w:after="0" w:line="280" w:lineRule="exact"/>
                    <w:ind w:firstLine="36"/>
                    <w:rPr>
                      <w:rFonts w:ascii="Times New Roman" w:hAnsi="Times New Roman" w:cs="Times New Roman"/>
                      <w:b/>
                      <w:bCs/>
                    </w:rPr>
                  </w:pPr>
                  <w:r>
                    <w:rPr>
                      <w:rFonts w:ascii="宋体" w:hAnsi="宋体" w:cs="Times New Roman"/>
                      <w:b/>
                      <w:bCs/>
                    </w:rPr>
                    <w:t>昼间噪声</w:t>
                  </w:r>
                </w:p>
              </w:tc>
              <w:tc>
                <w:tcPr>
                  <w:tcW w:w="961" w:type="pct"/>
                  <w:vAlign w:val="center"/>
                </w:tcPr>
                <w:p>
                  <w:pPr>
                    <w:pStyle w:val="52"/>
                    <w:spacing w:before="0" w:after="0" w:line="280" w:lineRule="exact"/>
                    <w:ind w:firstLine="36"/>
                    <w:rPr>
                      <w:rFonts w:ascii="Times New Roman" w:hAnsi="Times New Roman" w:cs="Times New Roman"/>
                      <w:b/>
                      <w:bCs/>
                    </w:rPr>
                  </w:pPr>
                  <w:r>
                    <w:rPr>
                      <w:rFonts w:ascii="宋体" w:hAnsi="宋体" w:cs="Times New Roman"/>
                      <w:b/>
                      <w:bCs/>
                    </w:rPr>
                    <w:t>夜间噪声</w:t>
                  </w:r>
                </w:p>
              </w:tc>
              <w:tc>
                <w:tcPr>
                  <w:tcW w:w="896" w:type="pct"/>
                  <w:vMerge w:val="continue"/>
                  <w:vAlign w:val="center"/>
                </w:tcPr>
                <w:p>
                  <w:pPr>
                    <w:widowControl/>
                    <w:spacing w:line="280" w:lineRule="exact"/>
                    <w:jc w:val="left"/>
                    <w:rPr>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 w:hRule="atLeast"/>
                <w:jc w:val="center"/>
              </w:trPr>
              <w:tc>
                <w:tcPr>
                  <w:tcW w:w="712" w:type="pct"/>
                  <w:vMerge w:val="restart"/>
                  <w:vAlign w:val="center"/>
                </w:tcPr>
                <w:p>
                  <w:pPr>
                    <w:pStyle w:val="52"/>
                    <w:spacing w:before="0" w:after="0" w:line="280" w:lineRule="exact"/>
                    <w:ind w:firstLine="36"/>
                    <w:rPr>
                      <w:rFonts w:ascii="Times New Roman" w:hAnsi="Times New Roman" w:cs="Times New Roman"/>
                      <w:bCs/>
                    </w:rPr>
                  </w:pPr>
                  <w:r>
                    <w:rPr>
                      <w:rFonts w:ascii="宋体" w:hAnsi="宋体" w:cs="Times New Roman"/>
                      <w:bCs/>
                    </w:rPr>
                    <w:t>东侧</w:t>
                  </w:r>
                </w:p>
              </w:tc>
              <w:tc>
                <w:tcPr>
                  <w:tcW w:w="746" w:type="pct"/>
                  <w:vAlign w:val="center"/>
                </w:tcPr>
                <w:p>
                  <w:pPr>
                    <w:pStyle w:val="52"/>
                    <w:spacing w:before="0" w:after="0" w:line="280" w:lineRule="exact"/>
                    <w:ind w:firstLine="36"/>
                    <w:rPr>
                      <w:rFonts w:ascii="Times New Roman" w:hAnsi="Times New Roman" w:cs="Times New Roman"/>
                      <w:bCs/>
                    </w:rPr>
                  </w:pPr>
                  <w:r>
                    <w:rPr>
                      <w:rFonts w:ascii="宋体" w:hAnsi="宋体" w:cs="Times New Roman"/>
                      <w:bCs/>
                    </w:rPr>
                    <w:t>昼间</w:t>
                  </w:r>
                </w:p>
              </w:tc>
              <w:tc>
                <w:tcPr>
                  <w:tcW w:w="724" w:type="pct"/>
                  <w:vAlign w:val="center"/>
                </w:tcPr>
                <w:p>
                  <w:pPr>
                    <w:pStyle w:val="52"/>
                    <w:spacing w:before="0" w:after="0" w:line="280" w:lineRule="exact"/>
                    <w:ind w:firstLine="36"/>
                    <w:rPr>
                      <w:rFonts w:ascii="Times New Roman" w:hAnsi="Times New Roman" w:cs="Times New Roman"/>
                      <w:bCs/>
                    </w:rPr>
                  </w:pPr>
                  <w:r>
                    <w:rPr>
                      <w:rFonts w:hint="eastAsia" w:ascii="Times New Roman" w:hAnsi="Times New Roman" w:cs="Times New Roman"/>
                      <w:bCs/>
                    </w:rPr>
                    <w:t>38.5</w:t>
                  </w:r>
                </w:p>
              </w:tc>
              <w:tc>
                <w:tcPr>
                  <w:tcW w:w="960" w:type="pct"/>
                  <w:vMerge w:val="restart"/>
                  <w:vAlign w:val="center"/>
                </w:tcPr>
                <w:p>
                  <w:pPr>
                    <w:widowControl/>
                    <w:spacing w:line="280" w:lineRule="exact"/>
                    <w:jc w:val="center"/>
                    <w:rPr>
                      <w:bCs/>
                      <w:sz w:val="18"/>
                      <w:szCs w:val="18"/>
                    </w:rPr>
                  </w:pPr>
                  <w:r>
                    <w:rPr>
                      <w:rFonts w:hint="eastAsia"/>
                      <w:bCs/>
                      <w:sz w:val="18"/>
                      <w:szCs w:val="18"/>
                    </w:rPr>
                    <w:t>65</w:t>
                  </w:r>
                </w:p>
              </w:tc>
              <w:tc>
                <w:tcPr>
                  <w:tcW w:w="961" w:type="pct"/>
                  <w:vMerge w:val="restart"/>
                  <w:vAlign w:val="center"/>
                </w:tcPr>
                <w:p>
                  <w:pPr>
                    <w:widowControl/>
                    <w:spacing w:line="280" w:lineRule="exact"/>
                    <w:jc w:val="center"/>
                    <w:rPr>
                      <w:bCs/>
                      <w:sz w:val="18"/>
                      <w:szCs w:val="18"/>
                    </w:rPr>
                  </w:pPr>
                  <w:r>
                    <w:rPr>
                      <w:rFonts w:hint="eastAsia"/>
                      <w:bCs/>
                      <w:sz w:val="18"/>
                      <w:szCs w:val="18"/>
                    </w:rPr>
                    <w:t>55</w:t>
                  </w:r>
                </w:p>
              </w:tc>
              <w:tc>
                <w:tcPr>
                  <w:tcW w:w="896" w:type="pct"/>
                  <w:vAlign w:val="center"/>
                </w:tcPr>
                <w:p>
                  <w:pPr>
                    <w:spacing w:line="280" w:lineRule="exact"/>
                    <w:jc w:val="center"/>
                    <w:rPr>
                      <w:bCs/>
                      <w:sz w:val="18"/>
                      <w:szCs w:val="18"/>
                    </w:rPr>
                  </w:pPr>
                  <w:r>
                    <w:rPr>
                      <w:rFonts w:ascii="宋体" w:hAnsi="宋体"/>
                      <w:bCs/>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 w:hRule="atLeast"/>
                <w:jc w:val="center"/>
              </w:trPr>
              <w:tc>
                <w:tcPr>
                  <w:tcW w:w="712" w:type="pct"/>
                  <w:vMerge w:val="continue"/>
                  <w:vAlign w:val="center"/>
                </w:tcPr>
                <w:p>
                  <w:pPr>
                    <w:widowControl/>
                    <w:spacing w:line="280" w:lineRule="exact"/>
                    <w:jc w:val="left"/>
                    <w:rPr>
                      <w:bCs/>
                      <w:sz w:val="18"/>
                      <w:szCs w:val="18"/>
                    </w:rPr>
                  </w:pPr>
                </w:p>
              </w:tc>
              <w:tc>
                <w:tcPr>
                  <w:tcW w:w="746" w:type="pct"/>
                  <w:vAlign w:val="center"/>
                </w:tcPr>
                <w:p>
                  <w:pPr>
                    <w:pStyle w:val="52"/>
                    <w:spacing w:before="0" w:after="0" w:line="280" w:lineRule="exact"/>
                    <w:ind w:firstLine="36"/>
                    <w:rPr>
                      <w:rFonts w:ascii="Times New Roman" w:hAnsi="Times New Roman" w:cs="Times New Roman"/>
                      <w:bCs/>
                    </w:rPr>
                  </w:pPr>
                  <w:r>
                    <w:rPr>
                      <w:rFonts w:ascii="宋体" w:hAnsi="宋体" w:cs="Times New Roman"/>
                      <w:bCs/>
                    </w:rPr>
                    <w:t>夜间</w:t>
                  </w:r>
                </w:p>
              </w:tc>
              <w:tc>
                <w:tcPr>
                  <w:tcW w:w="724" w:type="pct"/>
                  <w:vAlign w:val="center"/>
                </w:tcPr>
                <w:p>
                  <w:pPr>
                    <w:pStyle w:val="52"/>
                    <w:spacing w:before="0" w:after="0" w:line="280" w:lineRule="exact"/>
                    <w:ind w:firstLine="36"/>
                    <w:rPr>
                      <w:rFonts w:ascii="Times New Roman" w:hAnsi="Times New Roman" w:cs="Times New Roman"/>
                      <w:bCs/>
                    </w:rPr>
                  </w:pPr>
                  <w:r>
                    <w:rPr>
                      <w:rFonts w:hint="eastAsia" w:ascii="Times New Roman" w:hAnsi="Times New Roman" w:cs="Times New Roman"/>
                      <w:bCs/>
                    </w:rPr>
                    <w:t>38.5</w:t>
                  </w:r>
                </w:p>
              </w:tc>
              <w:tc>
                <w:tcPr>
                  <w:tcW w:w="960" w:type="pct"/>
                  <w:vMerge w:val="continue"/>
                  <w:vAlign w:val="center"/>
                </w:tcPr>
                <w:p>
                  <w:pPr>
                    <w:widowControl/>
                    <w:spacing w:line="280" w:lineRule="exact"/>
                    <w:jc w:val="left"/>
                    <w:rPr>
                      <w:bCs/>
                      <w:sz w:val="18"/>
                      <w:szCs w:val="18"/>
                    </w:rPr>
                  </w:pPr>
                </w:p>
              </w:tc>
              <w:tc>
                <w:tcPr>
                  <w:tcW w:w="961" w:type="pct"/>
                  <w:vMerge w:val="continue"/>
                  <w:vAlign w:val="center"/>
                </w:tcPr>
                <w:p>
                  <w:pPr>
                    <w:widowControl/>
                    <w:spacing w:line="280" w:lineRule="exact"/>
                    <w:jc w:val="left"/>
                    <w:rPr>
                      <w:bCs/>
                      <w:sz w:val="18"/>
                      <w:szCs w:val="18"/>
                    </w:rPr>
                  </w:pPr>
                </w:p>
              </w:tc>
              <w:tc>
                <w:tcPr>
                  <w:tcW w:w="896" w:type="pct"/>
                  <w:vAlign w:val="center"/>
                </w:tcPr>
                <w:p>
                  <w:pPr>
                    <w:spacing w:line="280" w:lineRule="exact"/>
                    <w:jc w:val="center"/>
                    <w:rPr>
                      <w:bCs/>
                      <w:sz w:val="18"/>
                      <w:szCs w:val="18"/>
                    </w:rPr>
                  </w:pPr>
                  <w:r>
                    <w:rPr>
                      <w:rFonts w:ascii="宋体" w:hAnsi="宋体"/>
                      <w:bCs/>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 w:hRule="atLeast"/>
                <w:jc w:val="center"/>
              </w:trPr>
              <w:tc>
                <w:tcPr>
                  <w:tcW w:w="712" w:type="pct"/>
                  <w:vMerge w:val="restart"/>
                  <w:vAlign w:val="center"/>
                </w:tcPr>
                <w:p>
                  <w:pPr>
                    <w:pStyle w:val="52"/>
                    <w:spacing w:before="0" w:after="0" w:line="280" w:lineRule="exact"/>
                    <w:ind w:firstLine="36"/>
                    <w:rPr>
                      <w:rFonts w:ascii="Times New Roman" w:hAnsi="Times New Roman" w:cs="Times New Roman"/>
                      <w:bCs/>
                    </w:rPr>
                  </w:pPr>
                  <w:r>
                    <w:rPr>
                      <w:rFonts w:ascii="宋体" w:hAnsi="宋体" w:cs="Times New Roman"/>
                      <w:bCs/>
                    </w:rPr>
                    <w:t>西侧</w:t>
                  </w:r>
                </w:p>
              </w:tc>
              <w:tc>
                <w:tcPr>
                  <w:tcW w:w="746" w:type="pct"/>
                  <w:vAlign w:val="center"/>
                </w:tcPr>
                <w:p>
                  <w:pPr>
                    <w:pStyle w:val="52"/>
                    <w:spacing w:before="0" w:after="0" w:line="280" w:lineRule="exact"/>
                    <w:ind w:firstLine="36"/>
                    <w:rPr>
                      <w:rFonts w:ascii="Times New Roman" w:hAnsi="Times New Roman" w:cs="Times New Roman"/>
                      <w:bCs/>
                    </w:rPr>
                  </w:pPr>
                  <w:r>
                    <w:rPr>
                      <w:rFonts w:ascii="宋体" w:hAnsi="宋体" w:cs="Times New Roman"/>
                      <w:bCs/>
                    </w:rPr>
                    <w:t>昼间</w:t>
                  </w:r>
                </w:p>
              </w:tc>
              <w:tc>
                <w:tcPr>
                  <w:tcW w:w="724" w:type="pct"/>
                  <w:vAlign w:val="center"/>
                </w:tcPr>
                <w:p>
                  <w:pPr>
                    <w:pStyle w:val="52"/>
                    <w:spacing w:before="0" w:after="0" w:line="280" w:lineRule="exact"/>
                    <w:ind w:firstLine="36"/>
                    <w:rPr>
                      <w:rFonts w:ascii="Times New Roman" w:hAnsi="Times New Roman" w:cs="Times New Roman"/>
                      <w:bCs/>
                    </w:rPr>
                  </w:pPr>
                  <w:r>
                    <w:rPr>
                      <w:rFonts w:hint="eastAsia" w:ascii="Times New Roman" w:hAnsi="Times New Roman" w:cs="Times New Roman"/>
                      <w:bCs/>
                    </w:rPr>
                    <w:t>52.9</w:t>
                  </w:r>
                </w:p>
              </w:tc>
              <w:tc>
                <w:tcPr>
                  <w:tcW w:w="960" w:type="pct"/>
                  <w:vMerge w:val="continue"/>
                  <w:vAlign w:val="center"/>
                </w:tcPr>
                <w:p>
                  <w:pPr>
                    <w:widowControl/>
                    <w:spacing w:line="280" w:lineRule="exact"/>
                    <w:jc w:val="left"/>
                    <w:rPr>
                      <w:bCs/>
                      <w:sz w:val="18"/>
                      <w:szCs w:val="18"/>
                    </w:rPr>
                  </w:pPr>
                </w:p>
              </w:tc>
              <w:tc>
                <w:tcPr>
                  <w:tcW w:w="961" w:type="pct"/>
                  <w:vMerge w:val="continue"/>
                  <w:vAlign w:val="center"/>
                </w:tcPr>
                <w:p>
                  <w:pPr>
                    <w:widowControl/>
                    <w:spacing w:line="280" w:lineRule="exact"/>
                    <w:jc w:val="left"/>
                    <w:rPr>
                      <w:bCs/>
                      <w:sz w:val="18"/>
                      <w:szCs w:val="18"/>
                    </w:rPr>
                  </w:pPr>
                </w:p>
              </w:tc>
              <w:tc>
                <w:tcPr>
                  <w:tcW w:w="896" w:type="pct"/>
                  <w:vAlign w:val="center"/>
                </w:tcPr>
                <w:p>
                  <w:pPr>
                    <w:spacing w:line="280" w:lineRule="exact"/>
                    <w:jc w:val="center"/>
                    <w:rPr>
                      <w:bCs/>
                      <w:sz w:val="18"/>
                      <w:szCs w:val="18"/>
                    </w:rPr>
                  </w:pPr>
                  <w:r>
                    <w:rPr>
                      <w:rFonts w:ascii="宋体" w:hAnsi="宋体"/>
                      <w:bCs/>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 w:hRule="atLeast"/>
                <w:jc w:val="center"/>
              </w:trPr>
              <w:tc>
                <w:tcPr>
                  <w:tcW w:w="712" w:type="pct"/>
                  <w:vMerge w:val="continue"/>
                  <w:vAlign w:val="center"/>
                </w:tcPr>
                <w:p>
                  <w:pPr>
                    <w:widowControl/>
                    <w:spacing w:line="280" w:lineRule="exact"/>
                    <w:jc w:val="left"/>
                    <w:rPr>
                      <w:bCs/>
                      <w:sz w:val="18"/>
                      <w:szCs w:val="18"/>
                    </w:rPr>
                  </w:pPr>
                </w:p>
              </w:tc>
              <w:tc>
                <w:tcPr>
                  <w:tcW w:w="746" w:type="pct"/>
                  <w:vAlign w:val="center"/>
                </w:tcPr>
                <w:p>
                  <w:pPr>
                    <w:pStyle w:val="52"/>
                    <w:spacing w:before="0" w:after="0" w:line="280" w:lineRule="exact"/>
                    <w:ind w:firstLine="36"/>
                    <w:rPr>
                      <w:rFonts w:ascii="Times New Roman" w:hAnsi="Times New Roman" w:cs="Times New Roman"/>
                      <w:bCs/>
                    </w:rPr>
                  </w:pPr>
                  <w:r>
                    <w:rPr>
                      <w:rFonts w:ascii="宋体" w:hAnsi="宋体" w:cs="Times New Roman"/>
                      <w:bCs/>
                    </w:rPr>
                    <w:t>夜间</w:t>
                  </w:r>
                </w:p>
              </w:tc>
              <w:tc>
                <w:tcPr>
                  <w:tcW w:w="724" w:type="pct"/>
                  <w:vAlign w:val="center"/>
                </w:tcPr>
                <w:p>
                  <w:pPr>
                    <w:pStyle w:val="52"/>
                    <w:spacing w:before="0" w:after="0" w:line="280" w:lineRule="exact"/>
                    <w:ind w:firstLine="36"/>
                    <w:rPr>
                      <w:rFonts w:ascii="Times New Roman" w:hAnsi="Times New Roman" w:cs="Times New Roman"/>
                      <w:bCs/>
                    </w:rPr>
                  </w:pPr>
                  <w:r>
                    <w:rPr>
                      <w:rFonts w:hint="eastAsia" w:ascii="Times New Roman" w:hAnsi="Times New Roman" w:cs="Times New Roman"/>
                      <w:bCs/>
                    </w:rPr>
                    <w:t>52.9</w:t>
                  </w:r>
                </w:p>
              </w:tc>
              <w:tc>
                <w:tcPr>
                  <w:tcW w:w="960" w:type="pct"/>
                  <w:vMerge w:val="continue"/>
                  <w:vAlign w:val="center"/>
                </w:tcPr>
                <w:p>
                  <w:pPr>
                    <w:widowControl/>
                    <w:spacing w:line="280" w:lineRule="exact"/>
                    <w:jc w:val="left"/>
                    <w:rPr>
                      <w:bCs/>
                      <w:sz w:val="18"/>
                      <w:szCs w:val="18"/>
                    </w:rPr>
                  </w:pPr>
                </w:p>
              </w:tc>
              <w:tc>
                <w:tcPr>
                  <w:tcW w:w="961" w:type="pct"/>
                  <w:vMerge w:val="continue"/>
                  <w:vAlign w:val="center"/>
                </w:tcPr>
                <w:p>
                  <w:pPr>
                    <w:widowControl/>
                    <w:spacing w:line="280" w:lineRule="exact"/>
                    <w:jc w:val="left"/>
                    <w:rPr>
                      <w:bCs/>
                      <w:sz w:val="18"/>
                      <w:szCs w:val="18"/>
                    </w:rPr>
                  </w:pPr>
                </w:p>
              </w:tc>
              <w:tc>
                <w:tcPr>
                  <w:tcW w:w="896" w:type="pct"/>
                  <w:vAlign w:val="center"/>
                </w:tcPr>
                <w:p>
                  <w:pPr>
                    <w:spacing w:line="280" w:lineRule="exact"/>
                    <w:jc w:val="center"/>
                    <w:rPr>
                      <w:bCs/>
                      <w:sz w:val="18"/>
                      <w:szCs w:val="18"/>
                    </w:rPr>
                  </w:pPr>
                  <w:r>
                    <w:rPr>
                      <w:rFonts w:ascii="宋体" w:hAnsi="宋体"/>
                      <w:bCs/>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 w:hRule="atLeast"/>
                <w:jc w:val="center"/>
              </w:trPr>
              <w:tc>
                <w:tcPr>
                  <w:tcW w:w="712" w:type="pct"/>
                  <w:vMerge w:val="restart"/>
                  <w:vAlign w:val="center"/>
                </w:tcPr>
                <w:p>
                  <w:pPr>
                    <w:widowControl/>
                    <w:spacing w:line="280" w:lineRule="exact"/>
                    <w:jc w:val="center"/>
                    <w:rPr>
                      <w:bCs/>
                      <w:sz w:val="18"/>
                      <w:szCs w:val="18"/>
                    </w:rPr>
                  </w:pPr>
                  <w:r>
                    <w:rPr>
                      <w:rFonts w:ascii="宋体" w:hAnsi="宋体"/>
                      <w:bCs/>
                      <w:sz w:val="18"/>
                      <w:szCs w:val="18"/>
                    </w:rPr>
                    <w:t>南侧</w:t>
                  </w:r>
                </w:p>
              </w:tc>
              <w:tc>
                <w:tcPr>
                  <w:tcW w:w="746" w:type="pct"/>
                  <w:vAlign w:val="center"/>
                </w:tcPr>
                <w:p>
                  <w:pPr>
                    <w:pStyle w:val="52"/>
                    <w:spacing w:before="0" w:after="0" w:line="280" w:lineRule="exact"/>
                    <w:ind w:firstLine="36"/>
                    <w:rPr>
                      <w:rFonts w:ascii="Times New Roman" w:hAnsi="Times New Roman" w:cs="Times New Roman"/>
                      <w:bCs/>
                    </w:rPr>
                  </w:pPr>
                  <w:r>
                    <w:rPr>
                      <w:rFonts w:ascii="宋体" w:hAnsi="宋体" w:cs="Times New Roman"/>
                      <w:bCs/>
                    </w:rPr>
                    <w:t>昼间</w:t>
                  </w:r>
                </w:p>
              </w:tc>
              <w:tc>
                <w:tcPr>
                  <w:tcW w:w="724" w:type="pct"/>
                  <w:vAlign w:val="center"/>
                </w:tcPr>
                <w:p>
                  <w:pPr>
                    <w:pStyle w:val="52"/>
                    <w:spacing w:before="0" w:after="0" w:line="280" w:lineRule="exact"/>
                    <w:ind w:firstLine="36"/>
                    <w:rPr>
                      <w:rFonts w:ascii="Times New Roman" w:hAnsi="Times New Roman" w:cs="Times New Roman"/>
                      <w:bCs/>
                    </w:rPr>
                  </w:pPr>
                  <w:r>
                    <w:rPr>
                      <w:rFonts w:hint="eastAsia" w:ascii="Times New Roman" w:hAnsi="Times New Roman" w:cs="Times New Roman"/>
                      <w:bCs/>
                    </w:rPr>
                    <w:t>50.1</w:t>
                  </w:r>
                </w:p>
              </w:tc>
              <w:tc>
                <w:tcPr>
                  <w:tcW w:w="960" w:type="pct"/>
                  <w:vMerge w:val="continue"/>
                  <w:vAlign w:val="center"/>
                </w:tcPr>
                <w:p>
                  <w:pPr>
                    <w:widowControl/>
                    <w:spacing w:line="280" w:lineRule="exact"/>
                    <w:jc w:val="left"/>
                    <w:rPr>
                      <w:bCs/>
                      <w:sz w:val="18"/>
                      <w:szCs w:val="18"/>
                    </w:rPr>
                  </w:pPr>
                </w:p>
              </w:tc>
              <w:tc>
                <w:tcPr>
                  <w:tcW w:w="961" w:type="pct"/>
                  <w:vMerge w:val="continue"/>
                  <w:vAlign w:val="center"/>
                </w:tcPr>
                <w:p>
                  <w:pPr>
                    <w:widowControl/>
                    <w:spacing w:line="280" w:lineRule="exact"/>
                    <w:jc w:val="left"/>
                    <w:rPr>
                      <w:bCs/>
                      <w:sz w:val="18"/>
                      <w:szCs w:val="18"/>
                    </w:rPr>
                  </w:pPr>
                </w:p>
              </w:tc>
              <w:tc>
                <w:tcPr>
                  <w:tcW w:w="896" w:type="pct"/>
                  <w:vAlign w:val="center"/>
                </w:tcPr>
                <w:p>
                  <w:pPr>
                    <w:spacing w:line="280" w:lineRule="exact"/>
                    <w:jc w:val="center"/>
                    <w:rPr>
                      <w:bCs/>
                      <w:sz w:val="18"/>
                      <w:szCs w:val="18"/>
                    </w:rPr>
                  </w:pPr>
                  <w:r>
                    <w:rPr>
                      <w:rFonts w:ascii="宋体" w:hAnsi="宋体"/>
                      <w:bCs/>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 w:hRule="atLeast"/>
                <w:jc w:val="center"/>
              </w:trPr>
              <w:tc>
                <w:tcPr>
                  <w:tcW w:w="712" w:type="pct"/>
                  <w:vMerge w:val="continue"/>
                  <w:vAlign w:val="center"/>
                </w:tcPr>
                <w:p>
                  <w:pPr>
                    <w:widowControl/>
                    <w:spacing w:line="280" w:lineRule="exact"/>
                    <w:jc w:val="center"/>
                    <w:rPr>
                      <w:bCs/>
                      <w:sz w:val="18"/>
                      <w:szCs w:val="18"/>
                    </w:rPr>
                  </w:pPr>
                </w:p>
              </w:tc>
              <w:tc>
                <w:tcPr>
                  <w:tcW w:w="746" w:type="pct"/>
                  <w:vAlign w:val="center"/>
                </w:tcPr>
                <w:p>
                  <w:pPr>
                    <w:pStyle w:val="52"/>
                    <w:spacing w:before="0" w:after="0" w:line="280" w:lineRule="exact"/>
                    <w:ind w:firstLine="36"/>
                    <w:rPr>
                      <w:rFonts w:ascii="Times New Roman" w:hAnsi="Times New Roman" w:cs="Times New Roman"/>
                      <w:bCs/>
                    </w:rPr>
                  </w:pPr>
                  <w:r>
                    <w:rPr>
                      <w:rFonts w:ascii="宋体" w:hAnsi="宋体" w:cs="Times New Roman"/>
                      <w:bCs/>
                    </w:rPr>
                    <w:t>夜间</w:t>
                  </w:r>
                </w:p>
              </w:tc>
              <w:tc>
                <w:tcPr>
                  <w:tcW w:w="724" w:type="pct"/>
                  <w:vAlign w:val="center"/>
                </w:tcPr>
                <w:p>
                  <w:pPr>
                    <w:pStyle w:val="52"/>
                    <w:spacing w:before="0" w:after="0" w:line="280" w:lineRule="exact"/>
                    <w:ind w:firstLine="36"/>
                    <w:rPr>
                      <w:rFonts w:ascii="Times New Roman" w:hAnsi="Times New Roman" w:cs="Times New Roman"/>
                      <w:bCs/>
                    </w:rPr>
                  </w:pPr>
                  <w:r>
                    <w:rPr>
                      <w:rFonts w:hint="eastAsia" w:ascii="Times New Roman" w:hAnsi="Times New Roman" w:cs="Times New Roman"/>
                      <w:bCs/>
                    </w:rPr>
                    <w:t>50.1</w:t>
                  </w:r>
                </w:p>
              </w:tc>
              <w:tc>
                <w:tcPr>
                  <w:tcW w:w="960" w:type="pct"/>
                  <w:vMerge w:val="continue"/>
                  <w:vAlign w:val="center"/>
                </w:tcPr>
                <w:p>
                  <w:pPr>
                    <w:widowControl/>
                    <w:spacing w:line="280" w:lineRule="exact"/>
                    <w:jc w:val="left"/>
                    <w:rPr>
                      <w:bCs/>
                      <w:sz w:val="18"/>
                      <w:szCs w:val="18"/>
                    </w:rPr>
                  </w:pPr>
                </w:p>
              </w:tc>
              <w:tc>
                <w:tcPr>
                  <w:tcW w:w="961" w:type="pct"/>
                  <w:vMerge w:val="continue"/>
                  <w:vAlign w:val="center"/>
                </w:tcPr>
                <w:p>
                  <w:pPr>
                    <w:widowControl/>
                    <w:spacing w:line="280" w:lineRule="exact"/>
                    <w:jc w:val="left"/>
                    <w:rPr>
                      <w:bCs/>
                      <w:sz w:val="18"/>
                      <w:szCs w:val="18"/>
                    </w:rPr>
                  </w:pPr>
                </w:p>
              </w:tc>
              <w:tc>
                <w:tcPr>
                  <w:tcW w:w="896" w:type="pct"/>
                  <w:vAlign w:val="center"/>
                </w:tcPr>
                <w:p>
                  <w:pPr>
                    <w:spacing w:line="280" w:lineRule="exact"/>
                    <w:jc w:val="center"/>
                    <w:rPr>
                      <w:bCs/>
                      <w:sz w:val="18"/>
                      <w:szCs w:val="18"/>
                    </w:rPr>
                  </w:pPr>
                  <w:r>
                    <w:rPr>
                      <w:rFonts w:ascii="宋体" w:hAnsi="宋体"/>
                      <w:bCs/>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 w:hRule="atLeast"/>
                <w:jc w:val="center"/>
              </w:trPr>
              <w:tc>
                <w:tcPr>
                  <w:tcW w:w="712" w:type="pct"/>
                  <w:vMerge w:val="restart"/>
                  <w:vAlign w:val="center"/>
                </w:tcPr>
                <w:p>
                  <w:pPr>
                    <w:widowControl/>
                    <w:spacing w:line="280" w:lineRule="exact"/>
                    <w:jc w:val="center"/>
                    <w:rPr>
                      <w:bCs/>
                      <w:sz w:val="18"/>
                      <w:szCs w:val="18"/>
                    </w:rPr>
                  </w:pPr>
                  <w:r>
                    <w:rPr>
                      <w:rFonts w:ascii="宋体" w:hAnsi="宋体"/>
                      <w:bCs/>
                      <w:sz w:val="18"/>
                      <w:szCs w:val="18"/>
                    </w:rPr>
                    <w:t>北侧</w:t>
                  </w:r>
                </w:p>
              </w:tc>
              <w:tc>
                <w:tcPr>
                  <w:tcW w:w="746" w:type="pct"/>
                  <w:vAlign w:val="center"/>
                </w:tcPr>
                <w:p>
                  <w:pPr>
                    <w:pStyle w:val="52"/>
                    <w:spacing w:before="0" w:after="0" w:line="280" w:lineRule="exact"/>
                    <w:ind w:firstLine="36"/>
                    <w:rPr>
                      <w:rFonts w:ascii="Times New Roman" w:hAnsi="Times New Roman" w:cs="Times New Roman"/>
                      <w:bCs/>
                    </w:rPr>
                  </w:pPr>
                  <w:r>
                    <w:rPr>
                      <w:rFonts w:ascii="宋体" w:hAnsi="宋体" w:cs="Times New Roman"/>
                      <w:bCs/>
                    </w:rPr>
                    <w:t>昼间</w:t>
                  </w:r>
                </w:p>
              </w:tc>
              <w:tc>
                <w:tcPr>
                  <w:tcW w:w="724" w:type="pct"/>
                  <w:vAlign w:val="center"/>
                </w:tcPr>
                <w:p>
                  <w:pPr>
                    <w:pStyle w:val="52"/>
                    <w:spacing w:before="0" w:after="0" w:line="280" w:lineRule="exact"/>
                    <w:ind w:firstLine="36"/>
                    <w:rPr>
                      <w:rFonts w:ascii="Times New Roman" w:hAnsi="Times New Roman" w:cs="Times New Roman"/>
                      <w:bCs/>
                    </w:rPr>
                  </w:pPr>
                  <w:r>
                    <w:rPr>
                      <w:rFonts w:hint="eastAsia" w:ascii="Times New Roman" w:hAnsi="Times New Roman" w:cs="Times New Roman"/>
                      <w:bCs/>
                    </w:rPr>
                    <w:t>45.3</w:t>
                  </w:r>
                </w:p>
              </w:tc>
              <w:tc>
                <w:tcPr>
                  <w:tcW w:w="960" w:type="pct"/>
                  <w:vMerge w:val="continue"/>
                  <w:vAlign w:val="center"/>
                </w:tcPr>
                <w:p>
                  <w:pPr>
                    <w:widowControl/>
                    <w:spacing w:line="280" w:lineRule="exact"/>
                    <w:jc w:val="left"/>
                    <w:rPr>
                      <w:bCs/>
                      <w:sz w:val="18"/>
                      <w:szCs w:val="18"/>
                    </w:rPr>
                  </w:pPr>
                </w:p>
              </w:tc>
              <w:tc>
                <w:tcPr>
                  <w:tcW w:w="961" w:type="pct"/>
                  <w:vMerge w:val="continue"/>
                  <w:vAlign w:val="center"/>
                </w:tcPr>
                <w:p>
                  <w:pPr>
                    <w:widowControl/>
                    <w:spacing w:line="280" w:lineRule="exact"/>
                    <w:jc w:val="left"/>
                    <w:rPr>
                      <w:bCs/>
                      <w:sz w:val="18"/>
                      <w:szCs w:val="18"/>
                    </w:rPr>
                  </w:pPr>
                </w:p>
              </w:tc>
              <w:tc>
                <w:tcPr>
                  <w:tcW w:w="896" w:type="pct"/>
                  <w:vAlign w:val="center"/>
                </w:tcPr>
                <w:p>
                  <w:pPr>
                    <w:spacing w:line="280" w:lineRule="exact"/>
                    <w:jc w:val="center"/>
                    <w:rPr>
                      <w:bCs/>
                      <w:sz w:val="18"/>
                      <w:szCs w:val="18"/>
                    </w:rPr>
                  </w:pPr>
                  <w:r>
                    <w:rPr>
                      <w:rFonts w:ascii="宋体" w:hAnsi="宋体"/>
                      <w:bCs/>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 w:hRule="atLeast"/>
                <w:jc w:val="center"/>
              </w:trPr>
              <w:tc>
                <w:tcPr>
                  <w:tcW w:w="712" w:type="pct"/>
                  <w:vMerge w:val="continue"/>
                  <w:vAlign w:val="center"/>
                </w:tcPr>
                <w:p>
                  <w:pPr>
                    <w:widowControl/>
                    <w:spacing w:line="280" w:lineRule="exact"/>
                    <w:jc w:val="left"/>
                    <w:rPr>
                      <w:bCs/>
                      <w:sz w:val="18"/>
                      <w:szCs w:val="18"/>
                    </w:rPr>
                  </w:pPr>
                </w:p>
              </w:tc>
              <w:tc>
                <w:tcPr>
                  <w:tcW w:w="746" w:type="pct"/>
                  <w:vAlign w:val="center"/>
                </w:tcPr>
                <w:p>
                  <w:pPr>
                    <w:pStyle w:val="52"/>
                    <w:spacing w:before="0" w:after="0" w:line="280" w:lineRule="exact"/>
                    <w:ind w:firstLine="36"/>
                    <w:rPr>
                      <w:rFonts w:ascii="Times New Roman" w:hAnsi="Times New Roman" w:cs="Times New Roman"/>
                      <w:bCs/>
                    </w:rPr>
                  </w:pPr>
                  <w:r>
                    <w:rPr>
                      <w:rFonts w:ascii="宋体" w:hAnsi="宋体" w:cs="Times New Roman"/>
                      <w:bCs/>
                    </w:rPr>
                    <w:t>夜间</w:t>
                  </w:r>
                </w:p>
              </w:tc>
              <w:tc>
                <w:tcPr>
                  <w:tcW w:w="724" w:type="pct"/>
                  <w:vAlign w:val="center"/>
                </w:tcPr>
                <w:p>
                  <w:pPr>
                    <w:pStyle w:val="52"/>
                    <w:spacing w:before="0" w:after="0" w:line="280" w:lineRule="exact"/>
                    <w:ind w:firstLine="36"/>
                    <w:rPr>
                      <w:rFonts w:ascii="Times New Roman" w:hAnsi="Times New Roman" w:cs="Times New Roman"/>
                      <w:bCs/>
                    </w:rPr>
                  </w:pPr>
                  <w:r>
                    <w:rPr>
                      <w:rFonts w:hint="eastAsia" w:ascii="Times New Roman" w:hAnsi="Times New Roman" w:cs="Times New Roman"/>
                      <w:bCs/>
                    </w:rPr>
                    <w:t>45.3</w:t>
                  </w:r>
                </w:p>
              </w:tc>
              <w:tc>
                <w:tcPr>
                  <w:tcW w:w="960" w:type="pct"/>
                  <w:vMerge w:val="continue"/>
                  <w:vAlign w:val="center"/>
                </w:tcPr>
                <w:p>
                  <w:pPr>
                    <w:widowControl/>
                    <w:spacing w:line="280" w:lineRule="exact"/>
                    <w:jc w:val="left"/>
                    <w:rPr>
                      <w:bCs/>
                      <w:sz w:val="18"/>
                      <w:szCs w:val="18"/>
                    </w:rPr>
                  </w:pPr>
                </w:p>
              </w:tc>
              <w:tc>
                <w:tcPr>
                  <w:tcW w:w="961" w:type="pct"/>
                  <w:vMerge w:val="continue"/>
                  <w:vAlign w:val="center"/>
                </w:tcPr>
                <w:p>
                  <w:pPr>
                    <w:widowControl/>
                    <w:spacing w:line="280" w:lineRule="exact"/>
                    <w:jc w:val="left"/>
                    <w:rPr>
                      <w:bCs/>
                      <w:sz w:val="18"/>
                      <w:szCs w:val="18"/>
                    </w:rPr>
                  </w:pPr>
                </w:p>
              </w:tc>
              <w:tc>
                <w:tcPr>
                  <w:tcW w:w="896" w:type="pct"/>
                  <w:vAlign w:val="center"/>
                </w:tcPr>
                <w:p>
                  <w:pPr>
                    <w:spacing w:line="280" w:lineRule="exact"/>
                    <w:jc w:val="center"/>
                    <w:rPr>
                      <w:bCs/>
                      <w:sz w:val="18"/>
                      <w:szCs w:val="18"/>
                    </w:rPr>
                  </w:pPr>
                  <w:r>
                    <w:rPr>
                      <w:rFonts w:ascii="宋体" w:hAnsi="宋体"/>
                      <w:bCs/>
                      <w:sz w:val="18"/>
                      <w:szCs w:val="18"/>
                    </w:rPr>
                    <w:t>达标</w:t>
                  </w:r>
                </w:p>
              </w:tc>
            </w:tr>
          </w:tbl>
          <w:p>
            <w:pPr>
              <w:autoSpaceDE w:val="0"/>
              <w:autoSpaceDN w:val="0"/>
              <w:adjustRightInd w:val="0"/>
              <w:spacing w:line="400" w:lineRule="exact"/>
              <w:ind w:firstLine="420" w:firstLineChars="200"/>
              <w:rPr>
                <w:kern w:val="0"/>
              </w:rPr>
            </w:pPr>
            <w:r>
              <w:rPr>
                <w:kern w:val="0"/>
              </w:rPr>
              <w:t>根据声源特性，</w:t>
            </w:r>
            <w:r>
              <w:rPr>
                <w:rFonts w:hint="eastAsia"/>
                <w:kern w:val="0"/>
              </w:rPr>
              <w:t>本工程</w:t>
            </w:r>
            <w:r>
              <w:rPr>
                <w:kern w:val="0"/>
              </w:rPr>
              <w:t>事故放空时产生的噪声为偶发噪声，按《工业企业厂界环境噪声排放标准》（GB12348-2008）中</w:t>
            </w:r>
            <w:r>
              <w:rPr>
                <w:rFonts w:hint="eastAsia"/>
                <w:kern w:val="0"/>
              </w:rPr>
              <w:t>“</w:t>
            </w:r>
            <w:r>
              <w:rPr>
                <w:kern w:val="0"/>
              </w:rPr>
              <w:t>夜间偶发噪声的最大声级超过限值的幅度不得高于15dB</w:t>
            </w:r>
            <w:r>
              <w:rPr>
                <w:rFonts w:hint="eastAsia"/>
                <w:kern w:val="0"/>
              </w:rPr>
              <w:t>（</w:t>
            </w:r>
            <w:r>
              <w:rPr>
                <w:kern w:val="0"/>
              </w:rPr>
              <w:t>A</w:t>
            </w:r>
            <w:r>
              <w:rPr>
                <w:rFonts w:hint="eastAsia"/>
                <w:kern w:val="0"/>
              </w:rPr>
              <w:t>）”</w:t>
            </w:r>
            <w:r>
              <w:rPr>
                <w:kern w:val="0"/>
              </w:rPr>
              <w:t>的规定，</w:t>
            </w:r>
            <w:r>
              <w:rPr>
                <w:rFonts w:hint="eastAsia"/>
                <w:kern w:val="0"/>
              </w:rPr>
              <w:t>本工程</w:t>
            </w:r>
            <w:r>
              <w:rPr>
                <w:kern w:val="0"/>
              </w:rPr>
              <w:t>厂界噪声贡献值很小，叠加现状背景值后可以满足《工业企业厂界环境噪声排放标准》</w:t>
            </w:r>
            <w:r>
              <w:rPr>
                <w:rFonts w:hint="eastAsia"/>
                <w:kern w:val="0"/>
              </w:rPr>
              <w:t>（</w:t>
            </w:r>
            <w:r>
              <w:rPr>
                <w:kern w:val="0"/>
              </w:rPr>
              <w:t>GB12348-2008</w:t>
            </w:r>
            <w:r>
              <w:rPr>
                <w:rFonts w:hint="eastAsia"/>
                <w:kern w:val="0"/>
              </w:rPr>
              <w:t>）</w:t>
            </w:r>
            <w:r>
              <w:rPr>
                <w:kern w:val="0"/>
              </w:rPr>
              <w:t>中</w:t>
            </w:r>
            <w:r>
              <w:rPr>
                <w:rFonts w:hint="eastAsia"/>
                <w:kern w:val="0"/>
              </w:rPr>
              <w:t>3</w:t>
            </w:r>
            <w:r>
              <w:rPr>
                <w:kern w:val="0"/>
              </w:rPr>
              <w:t>类区标准要求。</w:t>
            </w:r>
          </w:p>
          <w:p>
            <w:pPr>
              <w:autoSpaceDE w:val="0"/>
              <w:autoSpaceDN w:val="0"/>
              <w:adjustRightInd w:val="0"/>
              <w:spacing w:line="400" w:lineRule="exact"/>
              <w:ind w:firstLine="420" w:firstLineChars="200"/>
              <w:rPr>
                <w:kern w:val="0"/>
              </w:rPr>
            </w:pPr>
            <w:r>
              <w:rPr>
                <w:kern w:val="0"/>
              </w:rPr>
              <w:t>工程夜间放空时，周边环境简单，无环境噪声敏感点，且由于放空时间较短，一般不超过30min，而且放空的频率一般为一年1次，同时站场周边除了一些散居的农户外，没有学校、医院等对环境噪声有特别要求的敏感目标，因此影响属可接受范围。</w:t>
            </w:r>
          </w:p>
          <w:p>
            <w:pPr>
              <w:autoSpaceDE w:val="0"/>
              <w:autoSpaceDN w:val="0"/>
              <w:adjustRightInd w:val="0"/>
              <w:spacing w:line="400" w:lineRule="exact"/>
              <w:ind w:firstLine="420" w:firstLineChars="200"/>
              <w:rPr>
                <w:kern w:val="0"/>
              </w:rPr>
            </w:pPr>
            <w:r>
              <w:rPr>
                <w:kern w:val="0"/>
              </w:rPr>
              <w:t>为减缓非正常工况噪声的影响，环评建议：建设单位在运营期做好设备维护以使其处于正常状态</w:t>
            </w:r>
            <w:r>
              <w:rPr>
                <w:rFonts w:hint="eastAsia"/>
                <w:kern w:val="0"/>
              </w:rPr>
              <w:t>。</w:t>
            </w:r>
          </w:p>
          <w:p>
            <w:pPr>
              <w:autoSpaceDE w:val="0"/>
              <w:autoSpaceDN w:val="0"/>
              <w:adjustRightInd w:val="0"/>
              <w:spacing w:line="400" w:lineRule="exact"/>
              <w:ind w:firstLine="420" w:firstLineChars="200"/>
              <w:rPr>
                <w:kern w:val="0"/>
              </w:rPr>
            </w:pPr>
            <w:r>
              <w:rPr>
                <w:rFonts w:hint="eastAsia"/>
                <w:kern w:val="0"/>
              </w:rPr>
              <w:t>通过上述治理措施后，本项目厂界噪声通过距离衰减作用后可降至50dB(A)，厂界噪声均能达到《工业企业厂界环境噪声排放标准》(GB12348-2008)3类标准的要求，实现达标排放。</w:t>
            </w:r>
          </w:p>
          <w:p>
            <w:pPr>
              <w:autoSpaceDE w:val="0"/>
              <w:autoSpaceDN w:val="0"/>
              <w:adjustRightInd w:val="0"/>
              <w:spacing w:line="400" w:lineRule="exact"/>
              <w:rPr>
                <w:b/>
                <w:kern w:val="0"/>
              </w:rPr>
            </w:pPr>
            <w:r>
              <w:rPr>
                <w:rFonts w:hint="eastAsia"/>
                <w:b/>
                <w:kern w:val="0"/>
              </w:rPr>
              <w:t>4、固体废物</w:t>
            </w:r>
          </w:p>
          <w:p>
            <w:pPr>
              <w:autoSpaceDE w:val="0"/>
              <w:autoSpaceDN w:val="0"/>
              <w:adjustRightInd w:val="0"/>
              <w:spacing w:line="400" w:lineRule="exact"/>
              <w:ind w:firstLine="420" w:firstLineChars="200"/>
              <w:rPr>
                <w:kern w:val="0"/>
              </w:rPr>
            </w:pPr>
            <w:r>
              <w:rPr>
                <w:rFonts w:hint="eastAsia"/>
                <w:kern w:val="0"/>
              </w:rPr>
              <w:t>项目营运期固体废物主要包括生活垃圾、清管和分离器的检修废渣，废滤芯分离器检修将产生废滤芯，设备设施刷漆产生的废油漆桶、设备保养产生的废润滑油等。项目固体废物分为一般固废和危险废物。检修废渣属于一般固废，废滤芯、废油漆桶、废润滑油属于危险废物。</w:t>
            </w:r>
          </w:p>
          <w:p>
            <w:pPr>
              <w:autoSpaceDE w:val="0"/>
              <w:autoSpaceDN w:val="0"/>
              <w:adjustRightInd w:val="0"/>
              <w:spacing w:line="400" w:lineRule="exact"/>
              <w:ind w:firstLine="420" w:firstLineChars="200"/>
              <w:rPr>
                <w:kern w:val="0"/>
              </w:rPr>
            </w:pPr>
            <w:r>
              <w:rPr>
                <w:kern w:val="0"/>
              </w:rPr>
              <w:t>（</w:t>
            </w:r>
            <w:r>
              <w:rPr>
                <w:rFonts w:hint="eastAsia"/>
                <w:kern w:val="0"/>
              </w:rPr>
              <w:t>1</w:t>
            </w:r>
            <w:r>
              <w:rPr>
                <w:kern w:val="0"/>
              </w:rPr>
              <w:t>）</w:t>
            </w:r>
            <w:r>
              <w:rPr>
                <w:rFonts w:hint="eastAsia"/>
                <w:kern w:val="0"/>
              </w:rPr>
              <w:t>生活垃圾</w:t>
            </w:r>
          </w:p>
          <w:p>
            <w:pPr>
              <w:autoSpaceDE w:val="0"/>
              <w:autoSpaceDN w:val="0"/>
              <w:adjustRightInd w:val="0"/>
              <w:spacing w:line="400" w:lineRule="exact"/>
              <w:ind w:firstLine="420" w:firstLineChars="200"/>
              <w:rPr>
                <w:kern w:val="0"/>
              </w:rPr>
            </w:pPr>
            <w:r>
              <w:rPr>
                <w:rFonts w:hint="eastAsia"/>
                <w:kern w:val="0"/>
              </w:rPr>
              <w:t>项目营运期共设员工5人，每人生活垃圾产生量按0.5kg/d计，则生活垃圾产生量约为2.5kg/d，合计912.5kg/a，通过再配气站内设置垃圾收集桶，将垃圾集中收集后由当地环卫部门统一清运。</w:t>
            </w:r>
          </w:p>
          <w:p>
            <w:pPr>
              <w:autoSpaceDE w:val="0"/>
              <w:autoSpaceDN w:val="0"/>
              <w:adjustRightInd w:val="0"/>
              <w:spacing w:line="400" w:lineRule="exact"/>
              <w:ind w:firstLine="420" w:firstLineChars="200"/>
              <w:rPr>
                <w:kern w:val="0"/>
              </w:rPr>
            </w:pPr>
            <w:r>
              <w:rPr>
                <w:rFonts w:hint="eastAsia"/>
                <w:kern w:val="0"/>
              </w:rPr>
              <w:t>（2）废渣</w:t>
            </w:r>
          </w:p>
          <w:p>
            <w:pPr>
              <w:autoSpaceDE w:val="0"/>
              <w:autoSpaceDN w:val="0"/>
              <w:adjustRightInd w:val="0"/>
              <w:spacing w:line="400" w:lineRule="exact"/>
              <w:ind w:firstLine="420" w:firstLineChars="200"/>
              <w:rPr>
                <w:kern w:val="0"/>
              </w:rPr>
            </w:pPr>
            <w:r>
              <w:rPr>
                <w:rFonts w:hint="eastAsia"/>
                <w:kern w:val="0"/>
              </w:rPr>
              <w:t>本项目正常运行时无生产固废产生，在清管和分离器检修时会产生少量废渣，产生量约4kg/a，废渣主要成分是机械杂质、铁锈等。</w:t>
            </w:r>
          </w:p>
          <w:p>
            <w:pPr>
              <w:autoSpaceDE w:val="0"/>
              <w:autoSpaceDN w:val="0"/>
              <w:adjustRightInd w:val="0"/>
              <w:spacing w:line="400" w:lineRule="exact"/>
              <w:ind w:firstLine="420" w:firstLineChars="200"/>
              <w:rPr>
                <w:kern w:val="0"/>
              </w:rPr>
            </w:pPr>
            <w:r>
              <w:rPr>
                <w:rFonts w:hint="eastAsia"/>
                <w:kern w:val="0"/>
              </w:rPr>
              <w:t>根据《国家危险废物名录（2021年版）》，本工程清管和分离器检修时产生的废渣属于一般工业固体废物，不属于危险废物。清管、分离器检修产生的少量固体废渣，采用专用容积收集存放，最终交由专业单位收集处理。</w:t>
            </w:r>
          </w:p>
          <w:p>
            <w:pPr>
              <w:autoSpaceDE w:val="0"/>
              <w:autoSpaceDN w:val="0"/>
              <w:adjustRightInd w:val="0"/>
              <w:spacing w:line="400" w:lineRule="exact"/>
              <w:ind w:firstLine="420" w:firstLineChars="200"/>
              <w:rPr>
                <w:kern w:val="0"/>
              </w:rPr>
            </w:pPr>
            <w:r>
              <w:rPr>
                <w:rFonts w:hint="eastAsia"/>
                <w:kern w:val="0"/>
              </w:rPr>
              <w:t>（3）危险废物（废滤芯、废油漆桶、废润滑油）</w:t>
            </w:r>
          </w:p>
          <w:p>
            <w:pPr>
              <w:autoSpaceDE w:val="0"/>
              <w:autoSpaceDN w:val="0"/>
              <w:adjustRightInd w:val="0"/>
              <w:spacing w:line="400" w:lineRule="exact"/>
              <w:ind w:firstLine="420" w:firstLineChars="200"/>
            </w:pPr>
            <w:r>
              <w:rPr>
                <w:rFonts w:hint="eastAsia"/>
                <w:kern w:val="0"/>
              </w:rPr>
              <w:t>项目运行过程中滤芯分离器检修将产生废滤芯，设备设施刷漆产生的废油漆桶。</w:t>
            </w:r>
          </w:p>
          <w:p>
            <w:pPr>
              <w:autoSpaceDE w:val="0"/>
              <w:autoSpaceDN w:val="0"/>
              <w:adjustRightInd w:val="0"/>
              <w:spacing w:line="400" w:lineRule="exact"/>
              <w:ind w:firstLine="420" w:firstLineChars="200"/>
            </w:pPr>
            <w:r>
              <w:rPr>
                <w:rFonts w:hint="eastAsia"/>
              </w:rPr>
              <w:t>①废润滑油</w:t>
            </w:r>
          </w:p>
          <w:p>
            <w:pPr>
              <w:autoSpaceDE w:val="0"/>
              <w:autoSpaceDN w:val="0"/>
              <w:adjustRightInd w:val="0"/>
              <w:spacing w:line="400" w:lineRule="exact"/>
              <w:ind w:firstLine="420" w:firstLineChars="200"/>
            </w:pPr>
            <w:r>
              <w:rPr>
                <w:rFonts w:hint="eastAsia"/>
                <w:kern w:val="0"/>
              </w:rPr>
              <w:t>根据《国家危险废物名录（2021年版）》，</w:t>
            </w:r>
            <w:r>
              <w:t>废润滑油属于危险废物，危废代码：900-214-08。项目配气站各类设备</w:t>
            </w:r>
            <w:r>
              <w:rPr>
                <w:rFonts w:hint="eastAsia"/>
              </w:rPr>
              <w:t>运行一定时间后需进行维修保养，在此过程中将产生一定量的废润滑油。根据类比同类项目，本项目配气站站废润滑油产生量约1.2t/a。</w:t>
            </w:r>
          </w:p>
          <w:p>
            <w:pPr>
              <w:autoSpaceDE w:val="0"/>
              <w:autoSpaceDN w:val="0"/>
              <w:adjustRightInd w:val="0"/>
              <w:spacing w:line="400" w:lineRule="exact"/>
              <w:ind w:firstLine="420" w:firstLineChars="200"/>
            </w:pPr>
            <w:r>
              <w:rPr>
                <w:rFonts w:hint="eastAsia"/>
              </w:rPr>
              <w:t>②废滤芯</w:t>
            </w:r>
          </w:p>
          <w:p>
            <w:pPr>
              <w:autoSpaceDE w:val="0"/>
              <w:autoSpaceDN w:val="0"/>
              <w:adjustRightInd w:val="0"/>
              <w:spacing w:line="400" w:lineRule="exact"/>
              <w:ind w:firstLine="420" w:firstLineChars="200"/>
            </w:pPr>
            <w:r>
              <w:rPr>
                <w:rFonts w:hint="eastAsia"/>
                <w:kern w:val="0"/>
              </w:rPr>
              <w:t>根据《国家危险废物名录（2021年版）》，废滤芯属于危险废物，危废代码：</w:t>
            </w:r>
            <w:r>
              <w:t>900-041-49。</w:t>
            </w:r>
            <w:r>
              <w:rPr>
                <w:rFonts w:hint="eastAsia"/>
              </w:rPr>
              <w:t>各站场清管作业或分离器维护时会产生一些废滤芯，产生量约0.05t/a。</w:t>
            </w:r>
          </w:p>
          <w:p>
            <w:pPr>
              <w:autoSpaceDE w:val="0"/>
              <w:autoSpaceDN w:val="0"/>
              <w:adjustRightInd w:val="0"/>
              <w:spacing w:line="400" w:lineRule="exact"/>
              <w:ind w:firstLine="420" w:firstLineChars="200"/>
            </w:pPr>
            <w:r>
              <w:rPr>
                <w:rFonts w:hint="eastAsia"/>
              </w:rPr>
              <w:t>③废油漆桶</w:t>
            </w:r>
          </w:p>
          <w:p>
            <w:pPr>
              <w:autoSpaceDE w:val="0"/>
              <w:autoSpaceDN w:val="0"/>
              <w:adjustRightInd w:val="0"/>
              <w:spacing w:line="400" w:lineRule="exact"/>
              <w:ind w:firstLine="420" w:firstLineChars="200"/>
            </w:pPr>
            <w:r>
              <w:rPr>
                <w:rFonts w:hint="eastAsia"/>
                <w:kern w:val="0"/>
              </w:rPr>
              <w:t>根据《国家危险废物名录（2021年版）》，废油漆桶</w:t>
            </w:r>
            <w:r>
              <w:rPr>
                <w:rFonts w:hint="eastAsia"/>
              </w:rPr>
              <w:t>属于危险废物，危废代码：900-249-08。配气站的设备设施定期刷漆会产生废油漆桶，产生量约0.03t/a。</w:t>
            </w:r>
          </w:p>
          <w:p>
            <w:pPr>
              <w:autoSpaceDE w:val="0"/>
              <w:autoSpaceDN w:val="0"/>
              <w:adjustRightInd w:val="0"/>
              <w:spacing w:line="400" w:lineRule="exact"/>
              <w:ind w:firstLine="465"/>
              <w:jc w:val="center"/>
              <w:rPr>
                <w:rFonts w:eastAsia="黑体"/>
                <w:bCs/>
                <w:sz w:val="18"/>
                <w:szCs w:val="18"/>
              </w:rPr>
            </w:pPr>
            <w:r>
              <w:rPr>
                <w:rFonts w:eastAsia="黑体"/>
                <w:bCs/>
                <w:sz w:val="18"/>
                <w:szCs w:val="18"/>
              </w:rPr>
              <w:t>表</w:t>
            </w:r>
            <w:r>
              <w:rPr>
                <w:rFonts w:hint="eastAsia" w:eastAsia="黑体"/>
                <w:bCs/>
                <w:sz w:val="18"/>
                <w:szCs w:val="18"/>
              </w:rPr>
              <w:t>5-7</w:t>
            </w:r>
            <w:r>
              <w:rPr>
                <w:rFonts w:eastAsia="黑体"/>
                <w:bCs/>
                <w:sz w:val="18"/>
                <w:szCs w:val="18"/>
              </w:rPr>
              <w:t xml:space="preserve">   危险废物产生情况表</w:t>
            </w:r>
          </w:p>
          <w:tbl>
            <w:tblPr>
              <w:tblStyle w:val="18"/>
              <w:tblW w:w="79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847"/>
              <w:gridCol w:w="1287"/>
              <w:gridCol w:w="1090"/>
              <w:gridCol w:w="990"/>
              <w:gridCol w:w="990"/>
              <w:gridCol w:w="99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31" w:type="dxa"/>
                  <w:vAlign w:val="center"/>
                </w:tcPr>
                <w:p>
                  <w:pPr>
                    <w:autoSpaceDE w:val="0"/>
                    <w:autoSpaceDN w:val="0"/>
                    <w:adjustRightInd w:val="0"/>
                    <w:spacing w:line="300" w:lineRule="exact"/>
                    <w:ind w:left="-53" w:leftChars="-25" w:right="-53" w:rightChars="-25"/>
                    <w:jc w:val="center"/>
                    <w:rPr>
                      <w:rFonts w:eastAsiaTheme="minorEastAsia"/>
                      <w:b/>
                      <w:sz w:val="18"/>
                      <w:szCs w:val="16"/>
                    </w:rPr>
                  </w:pPr>
                  <w:r>
                    <w:rPr>
                      <w:rFonts w:eastAsiaTheme="minorEastAsia"/>
                      <w:b/>
                      <w:sz w:val="18"/>
                      <w:szCs w:val="16"/>
                    </w:rPr>
                    <w:t>序号</w:t>
                  </w:r>
                </w:p>
              </w:tc>
              <w:tc>
                <w:tcPr>
                  <w:tcW w:w="847" w:type="dxa"/>
                  <w:vAlign w:val="center"/>
                </w:tcPr>
                <w:p>
                  <w:pPr>
                    <w:autoSpaceDE w:val="0"/>
                    <w:autoSpaceDN w:val="0"/>
                    <w:adjustRightInd w:val="0"/>
                    <w:spacing w:line="300" w:lineRule="exact"/>
                    <w:ind w:left="-53" w:leftChars="-25" w:right="-53" w:rightChars="-25"/>
                    <w:jc w:val="center"/>
                    <w:rPr>
                      <w:rFonts w:eastAsiaTheme="minorEastAsia"/>
                      <w:b/>
                      <w:sz w:val="18"/>
                      <w:szCs w:val="16"/>
                    </w:rPr>
                  </w:pPr>
                  <w:r>
                    <w:rPr>
                      <w:rFonts w:eastAsiaTheme="minorEastAsia"/>
                      <w:b/>
                      <w:sz w:val="18"/>
                      <w:szCs w:val="16"/>
                    </w:rPr>
                    <w:t>名称</w:t>
                  </w:r>
                </w:p>
              </w:tc>
              <w:tc>
                <w:tcPr>
                  <w:tcW w:w="1287" w:type="dxa"/>
                  <w:vAlign w:val="center"/>
                </w:tcPr>
                <w:p>
                  <w:pPr>
                    <w:autoSpaceDE w:val="0"/>
                    <w:autoSpaceDN w:val="0"/>
                    <w:adjustRightInd w:val="0"/>
                    <w:spacing w:line="300" w:lineRule="exact"/>
                    <w:ind w:left="-53" w:leftChars="-25" w:right="-53" w:rightChars="-25"/>
                    <w:jc w:val="center"/>
                    <w:rPr>
                      <w:rFonts w:eastAsiaTheme="minorEastAsia"/>
                      <w:b/>
                      <w:sz w:val="18"/>
                      <w:szCs w:val="16"/>
                    </w:rPr>
                  </w:pPr>
                  <w:r>
                    <w:rPr>
                      <w:rFonts w:eastAsiaTheme="minorEastAsia"/>
                      <w:b/>
                      <w:sz w:val="18"/>
                      <w:szCs w:val="16"/>
                    </w:rPr>
                    <w:t>危险废物编号</w:t>
                  </w:r>
                </w:p>
              </w:tc>
              <w:tc>
                <w:tcPr>
                  <w:tcW w:w="1090" w:type="dxa"/>
                  <w:vAlign w:val="center"/>
                </w:tcPr>
                <w:p>
                  <w:pPr>
                    <w:autoSpaceDE w:val="0"/>
                    <w:autoSpaceDN w:val="0"/>
                    <w:adjustRightInd w:val="0"/>
                    <w:spacing w:line="300" w:lineRule="exact"/>
                    <w:ind w:left="-53" w:leftChars="-25" w:right="-53" w:rightChars="-25"/>
                    <w:jc w:val="center"/>
                    <w:rPr>
                      <w:rFonts w:eastAsiaTheme="minorEastAsia"/>
                      <w:b/>
                      <w:sz w:val="18"/>
                      <w:szCs w:val="16"/>
                    </w:rPr>
                  </w:pPr>
                  <w:r>
                    <w:rPr>
                      <w:rFonts w:eastAsiaTheme="minorEastAsia"/>
                      <w:b/>
                      <w:sz w:val="18"/>
                      <w:szCs w:val="16"/>
                    </w:rPr>
                    <w:t>代码</w:t>
                  </w:r>
                </w:p>
              </w:tc>
              <w:tc>
                <w:tcPr>
                  <w:tcW w:w="990" w:type="dxa"/>
                  <w:vAlign w:val="center"/>
                </w:tcPr>
                <w:p>
                  <w:pPr>
                    <w:autoSpaceDE w:val="0"/>
                    <w:autoSpaceDN w:val="0"/>
                    <w:adjustRightInd w:val="0"/>
                    <w:spacing w:line="300" w:lineRule="exact"/>
                    <w:ind w:left="-53" w:leftChars="-25" w:right="-53" w:rightChars="-25"/>
                    <w:jc w:val="center"/>
                    <w:rPr>
                      <w:rFonts w:eastAsiaTheme="minorEastAsia"/>
                      <w:b/>
                      <w:sz w:val="18"/>
                      <w:szCs w:val="16"/>
                    </w:rPr>
                  </w:pPr>
                  <w:r>
                    <w:rPr>
                      <w:rFonts w:eastAsiaTheme="minorEastAsia"/>
                      <w:b/>
                      <w:sz w:val="18"/>
                      <w:szCs w:val="16"/>
                    </w:rPr>
                    <w:t>产生量</w:t>
                  </w:r>
                </w:p>
              </w:tc>
              <w:tc>
                <w:tcPr>
                  <w:tcW w:w="990" w:type="dxa"/>
                  <w:vAlign w:val="center"/>
                </w:tcPr>
                <w:p>
                  <w:pPr>
                    <w:autoSpaceDE w:val="0"/>
                    <w:autoSpaceDN w:val="0"/>
                    <w:adjustRightInd w:val="0"/>
                    <w:spacing w:line="300" w:lineRule="exact"/>
                    <w:ind w:left="-53" w:leftChars="-25" w:right="-53" w:rightChars="-25"/>
                    <w:jc w:val="center"/>
                    <w:rPr>
                      <w:rFonts w:eastAsiaTheme="minorEastAsia"/>
                      <w:b/>
                      <w:sz w:val="18"/>
                      <w:szCs w:val="16"/>
                    </w:rPr>
                  </w:pPr>
                  <w:r>
                    <w:rPr>
                      <w:rFonts w:eastAsiaTheme="minorEastAsia"/>
                      <w:b/>
                      <w:sz w:val="18"/>
                      <w:szCs w:val="16"/>
                    </w:rPr>
                    <w:t>形态</w:t>
                  </w:r>
                </w:p>
              </w:tc>
              <w:tc>
                <w:tcPr>
                  <w:tcW w:w="990" w:type="dxa"/>
                  <w:vAlign w:val="center"/>
                </w:tcPr>
                <w:p>
                  <w:pPr>
                    <w:autoSpaceDE w:val="0"/>
                    <w:autoSpaceDN w:val="0"/>
                    <w:adjustRightInd w:val="0"/>
                    <w:spacing w:line="300" w:lineRule="exact"/>
                    <w:ind w:left="-53" w:leftChars="-25" w:right="-53" w:rightChars="-25"/>
                    <w:jc w:val="center"/>
                    <w:rPr>
                      <w:rFonts w:eastAsiaTheme="minorEastAsia"/>
                      <w:b/>
                      <w:sz w:val="18"/>
                      <w:szCs w:val="16"/>
                    </w:rPr>
                  </w:pPr>
                  <w:r>
                    <w:rPr>
                      <w:rFonts w:eastAsiaTheme="minorEastAsia"/>
                      <w:b/>
                      <w:sz w:val="18"/>
                      <w:szCs w:val="16"/>
                    </w:rPr>
                    <w:t>有害成分</w:t>
                  </w:r>
                </w:p>
              </w:tc>
              <w:tc>
                <w:tcPr>
                  <w:tcW w:w="990" w:type="dxa"/>
                  <w:vAlign w:val="center"/>
                </w:tcPr>
                <w:p>
                  <w:pPr>
                    <w:autoSpaceDE w:val="0"/>
                    <w:autoSpaceDN w:val="0"/>
                    <w:adjustRightInd w:val="0"/>
                    <w:spacing w:line="300" w:lineRule="exact"/>
                    <w:ind w:left="-53" w:leftChars="-25" w:right="-53" w:rightChars="-25"/>
                    <w:jc w:val="center"/>
                    <w:rPr>
                      <w:rFonts w:eastAsiaTheme="minorEastAsia"/>
                      <w:b/>
                      <w:sz w:val="18"/>
                      <w:szCs w:val="16"/>
                    </w:rPr>
                  </w:pPr>
                  <w:r>
                    <w:rPr>
                      <w:rFonts w:eastAsiaTheme="minorEastAsia"/>
                      <w:b/>
                      <w:sz w:val="18"/>
                      <w:szCs w:val="16"/>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31"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eastAsiaTheme="minorEastAsia"/>
                      <w:bCs/>
                      <w:sz w:val="18"/>
                      <w:szCs w:val="16"/>
                    </w:rPr>
                    <w:t>1</w:t>
                  </w:r>
                </w:p>
              </w:tc>
              <w:tc>
                <w:tcPr>
                  <w:tcW w:w="847"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eastAsiaTheme="minorEastAsia"/>
                      <w:bCs/>
                      <w:sz w:val="18"/>
                      <w:szCs w:val="16"/>
                    </w:rPr>
                    <w:t>废油桶</w:t>
                  </w:r>
                </w:p>
              </w:tc>
              <w:tc>
                <w:tcPr>
                  <w:tcW w:w="1287"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eastAsiaTheme="minorEastAsia"/>
                      <w:bCs/>
                      <w:sz w:val="18"/>
                      <w:szCs w:val="16"/>
                    </w:rPr>
                    <w:t>HW</w:t>
                  </w:r>
                  <w:r>
                    <w:rPr>
                      <w:rFonts w:hint="eastAsia" w:eastAsiaTheme="minorEastAsia"/>
                      <w:bCs/>
                      <w:sz w:val="18"/>
                      <w:szCs w:val="16"/>
                    </w:rPr>
                    <w:t>08</w:t>
                  </w:r>
                </w:p>
              </w:tc>
              <w:tc>
                <w:tcPr>
                  <w:tcW w:w="1090"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eastAsiaTheme="minorEastAsia"/>
                      <w:bCs/>
                      <w:sz w:val="18"/>
                      <w:szCs w:val="16"/>
                    </w:rPr>
                    <w:t>900-2</w:t>
                  </w:r>
                  <w:r>
                    <w:rPr>
                      <w:rFonts w:hint="eastAsia" w:eastAsiaTheme="minorEastAsia"/>
                      <w:bCs/>
                      <w:sz w:val="18"/>
                      <w:szCs w:val="16"/>
                    </w:rPr>
                    <w:t>49</w:t>
                  </w:r>
                  <w:r>
                    <w:rPr>
                      <w:rFonts w:eastAsiaTheme="minorEastAsia"/>
                      <w:bCs/>
                      <w:sz w:val="18"/>
                      <w:szCs w:val="16"/>
                    </w:rPr>
                    <w:t>-08</w:t>
                  </w:r>
                </w:p>
              </w:tc>
              <w:tc>
                <w:tcPr>
                  <w:tcW w:w="990"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hint="eastAsia" w:eastAsiaTheme="minorEastAsia"/>
                      <w:bCs/>
                      <w:sz w:val="18"/>
                      <w:szCs w:val="16"/>
                    </w:rPr>
                    <w:t>0.03</w:t>
                  </w:r>
                  <w:r>
                    <w:rPr>
                      <w:rFonts w:eastAsiaTheme="minorEastAsia"/>
                      <w:bCs/>
                      <w:sz w:val="18"/>
                      <w:szCs w:val="16"/>
                    </w:rPr>
                    <w:t>t/a</w:t>
                  </w:r>
                </w:p>
              </w:tc>
              <w:tc>
                <w:tcPr>
                  <w:tcW w:w="990"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eastAsiaTheme="minorEastAsia"/>
                      <w:bCs/>
                      <w:sz w:val="18"/>
                      <w:szCs w:val="16"/>
                    </w:rPr>
                    <w:t>固态</w:t>
                  </w:r>
                </w:p>
              </w:tc>
              <w:tc>
                <w:tcPr>
                  <w:tcW w:w="990"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hint="eastAsia" w:eastAsiaTheme="minorEastAsia"/>
                      <w:bCs/>
                      <w:sz w:val="18"/>
                      <w:szCs w:val="16"/>
                    </w:rPr>
                    <w:t>矿物油</w:t>
                  </w:r>
                </w:p>
              </w:tc>
              <w:tc>
                <w:tcPr>
                  <w:tcW w:w="990"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eastAsiaTheme="minorEastAsia"/>
                      <w:bCs/>
                      <w:sz w:val="18"/>
                      <w:szCs w:val="16"/>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31"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eastAsiaTheme="minorEastAsia"/>
                      <w:bCs/>
                      <w:sz w:val="18"/>
                      <w:szCs w:val="16"/>
                    </w:rPr>
                    <w:t>2</w:t>
                  </w:r>
                </w:p>
              </w:tc>
              <w:tc>
                <w:tcPr>
                  <w:tcW w:w="847"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eastAsiaTheme="minorEastAsia"/>
                      <w:bCs/>
                      <w:sz w:val="18"/>
                      <w:szCs w:val="16"/>
                    </w:rPr>
                    <w:t>废</w:t>
                  </w:r>
                  <w:r>
                    <w:rPr>
                      <w:rFonts w:hint="eastAsia" w:eastAsiaTheme="minorEastAsia"/>
                      <w:bCs/>
                      <w:sz w:val="18"/>
                      <w:szCs w:val="16"/>
                    </w:rPr>
                    <w:t>润滑</w:t>
                  </w:r>
                  <w:r>
                    <w:rPr>
                      <w:rFonts w:eastAsiaTheme="minorEastAsia"/>
                      <w:bCs/>
                      <w:sz w:val="18"/>
                      <w:szCs w:val="16"/>
                    </w:rPr>
                    <w:t>油</w:t>
                  </w:r>
                </w:p>
              </w:tc>
              <w:tc>
                <w:tcPr>
                  <w:tcW w:w="1287"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eastAsiaTheme="minorEastAsia"/>
                      <w:bCs/>
                      <w:sz w:val="18"/>
                      <w:szCs w:val="16"/>
                    </w:rPr>
                    <w:t>HW</w:t>
                  </w:r>
                  <w:r>
                    <w:rPr>
                      <w:rFonts w:hint="eastAsia" w:eastAsiaTheme="minorEastAsia"/>
                      <w:bCs/>
                      <w:sz w:val="18"/>
                      <w:szCs w:val="16"/>
                    </w:rPr>
                    <w:t>08</w:t>
                  </w:r>
                </w:p>
              </w:tc>
              <w:tc>
                <w:tcPr>
                  <w:tcW w:w="1090"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eastAsiaTheme="minorEastAsia"/>
                      <w:bCs/>
                      <w:sz w:val="18"/>
                      <w:szCs w:val="16"/>
                    </w:rPr>
                    <w:t>900-2</w:t>
                  </w:r>
                  <w:r>
                    <w:rPr>
                      <w:rFonts w:hint="eastAsia" w:eastAsiaTheme="minorEastAsia"/>
                      <w:bCs/>
                      <w:sz w:val="18"/>
                      <w:szCs w:val="16"/>
                    </w:rPr>
                    <w:t>14</w:t>
                  </w:r>
                  <w:r>
                    <w:rPr>
                      <w:rFonts w:eastAsiaTheme="minorEastAsia"/>
                      <w:bCs/>
                      <w:sz w:val="18"/>
                      <w:szCs w:val="16"/>
                    </w:rPr>
                    <w:t>-08</w:t>
                  </w:r>
                </w:p>
              </w:tc>
              <w:tc>
                <w:tcPr>
                  <w:tcW w:w="990"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eastAsiaTheme="minorEastAsia"/>
                      <w:bCs/>
                      <w:sz w:val="18"/>
                      <w:szCs w:val="16"/>
                    </w:rPr>
                    <w:t>0.</w:t>
                  </w:r>
                  <w:r>
                    <w:rPr>
                      <w:rFonts w:hint="eastAsia" w:eastAsiaTheme="minorEastAsia"/>
                      <w:bCs/>
                      <w:sz w:val="18"/>
                      <w:szCs w:val="16"/>
                    </w:rPr>
                    <w:t>05</w:t>
                  </w:r>
                  <w:r>
                    <w:rPr>
                      <w:rFonts w:eastAsiaTheme="minorEastAsia"/>
                      <w:bCs/>
                      <w:sz w:val="18"/>
                      <w:szCs w:val="16"/>
                    </w:rPr>
                    <w:t>t/a</w:t>
                  </w:r>
                </w:p>
              </w:tc>
              <w:tc>
                <w:tcPr>
                  <w:tcW w:w="990"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eastAsiaTheme="minorEastAsia"/>
                      <w:bCs/>
                      <w:sz w:val="18"/>
                      <w:szCs w:val="16"/>
                    </w:rPr>
                    <w:t>液态</w:t>
                  </w:r>
                </w:p>
              </w:tc>
              <w:tc>
                <w:tcPr>
                  <w:tcW w:w="990"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hint="eastAsia" w:eastAsiaTheme="minorEastAsia"/>
                      <w:bCs/>
                      <w:sz w:val="18"/>
                      <w:szCs w:val="16"/>
                    </w:rPr>
                    <w:t>矿物油</w:t>
                  </w:r>
                </w:p>
              </w:tc>
              <w:tc>
                <w:tcPr>
                  <w:tcW w:w="990"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eastAsiaTheme="minorEastAsia"/>
                      <w:bCs/>
                      <w:sz w:val="18"/>
                      <w:szCs w:val="16"/>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731"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hint="eastAsia" w:eastAsiaTheme="minorEastAsia"/>
                      <w:bCs/>
                      <w:sz w:val="18"/>
                      <w:szCs w:val="16"/>
                    </w:rPr>
                    <w:t>3</w:t>
                  </w:r>
                </w:p>
              </w:tc>
              <w:tc>
                <w:tcPr>
                  <w:tcW w:w="847"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eastAsiaTheme="minorEastAsia"/>
                      <w:bCs/>
                      <w:sz w:val="18"/>
                      <w:szCs w:val="16"/>
                    </w:rPr>
                    <w:t>废滤芯</w:t>
                  </w:r>
                </w:p>
              </w:tc>
              <w:tc>
                <w:tcPr>
                  <w:tcW w:w="1287"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eastAsiaTheme="minorEastAsia"/>
                      <w:bCs/>
                      <w:sz w:val="18"/>
                      <w:szCs w:val="16"/>
                    </w:rPr>
                    <w:t>HW</w:t>
                  </w:r>
                  <w:r>
                    <w:rPr>
                      <w:rFonts w:hint="eastAsia" w:eastAsiaTheme="minorEastAsia"/>
                      <w:bCs/>
                      <w:sz w:val="18"/>
                      <w:szCs w:val="16"/>
                    </w:rPr>
                    <w:t>49</w:t>
                  </w:r>
                </w:p>
              </w:tc>
              <w:tc>
                <w:tcPr>
                  <w:tcW w:w="1090"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hint="eastAsia" w:eastAsiaTheme="minorEastAsia"/>
                      <w:bCs/>
                      <w:sz w:val="18"/>
                      <w:szCs w:val="16"/>
                    </w:rPr>
                    <w:t>900-041-49</w:t>
                  </w:r>
                </w:p>
              </w:tc>
              <w:tc>
                <w:tcPr>
                  <w:tcW w:w="990"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hint="eastAsia" w:eastAsiaTheme="minorEastAsia"/>
                      <w:bCs/>
                      <w:sz w:val="18"/>
                      <w:szCs w:val="16"/>
                    </w:rPr>
                    <w:t>1.2</w:t>
                  </w:r>
                  <w:r>
                    <w:rPr>
                      <w:rFonts w:eastAsiaTheme="minorEastAsia"/>
                      <w:bCs/>
                      <w:sz w:val="18"/>
                      <w:szCs w:val="16"/>
                    </w:rPr>
                    <w:t>t/a</w:t>
                  </w:r>
                </w:p>
              </w:tc>
              <w:tc>
                <w:tcPr>
                  <w:tcW w:w="990"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eastAsiaTheme="minorEastAsia"/>
                      <w:bCs/>
                      <w:sz w:val="18"/>
                      <w:szCs w:val="16"/>
                    </w:rPr>
                    <w:t>固态</w:t>
                  </w:r>
                </w:p>
              </w:tc>
              <w:tc>
                <w:tcPr>
                  <w:tcW w:w="990"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hint="eastAsia" w:eastAsiaTheme="minorEastAsia"/>
                      <w:bCs/>
                      <w:sz w:val="18"/>
                      <w:szCs w:val="16"/>
                    </w:rPr>
                    <w:t>/</w:t>
                  </w:r>
                </w:p>
              </w:tc>
              <w:tc>
                <w:tcPr>
                  <w:tcW w:w="990" w:type="dxa"/>
                  <w:vAlign w:val="center"/>
                </w:tcPr>
                <w:p>
                  <w:pPr>
                    <w:autoSpaceDE w:val="0"/>
                    <w:autoSpaceDN w:val="0"/>
                    <w:adjustRightInd w:val="0"/>
                    <w:spacing w:line="300" w:lineRule="exact"/>
                    <w:ind w:left="-53" w:leftChars="-25" w:right="-53" w:rightChars="-25"/>
                    <w:jc w:val="center"/>
                    <w:rPr>
                      <w:rFonts w:eastAsiaTheme="minorEastAsia"/>
                      <w:bCs/>
                      <w:sz w:val="18"/>
                      <w:szCs w:val="16"/>
                    </w:rPr>
                  </w:pPr>
                  <w:r>
                    <w:rPr>
                      <w:rFonts w:hint="eastAsia" w:eastAsiaTheme="minorEastAsia"/>
                      <w:bCs/>
                      <w:sz w:val="18"/>
                      <w:szCs w:val="16"/>
                    </w:rPr>
                    <w:t>/</w:t>
                  </w:r>
                </w:p>
              </w:tc>
            </w:tr>
          </w:tbl>
          <w:p>
            <w:pPr>
              <w:autoSpaceDE w:val="0"/>
              <w:autoSpaceDN w:val="0"/>
              <w:adjustRightInd w:val="0"/>
              <w:snapToGrid w:val="0"/>
              <w:spacing w:line="400" w:lineRule="exact"/>
              <w:ind w:firstLine="422" w:firstLineChars="200"/>
              <w:jc w:val="left"/>
              <w:rPr>
                <w:rFonts w:cs="宋体"/>
                <w:kern w:val="0"/>
                <w:szCs w:val="21"/>
              </w:rPr>
            </w:pPr>
            <w:r>
              <w:rPr>
                <w:rFonts w:hint="eastAsia" w:cs="宋体"/>
                <w:b/>
                <w:szCs w:val="21"/>
              </w:rPr>
              <w:t>处理措施：</w:t>
            </w:r>
            <w:r>
              <w:rPr>
                <w:rFonts w:hint="eastAsia" w:cs="宋体"/>
                <w:szCs w:val="21"/>
              </w:rPr>
              <w:t>建设单位拟在配气站办公用房设置危废暂存间1个，建筑</w:t>
            </w:r>
            <w:r>
              <w:rPr>
                <w:rFonts w:hint="eastAsia"/>
              </w:rPr>
              <w:t>面积约10m</w:t>
            </w:r>
            <w:r>
              <w:rPr>
                <w:rFonts w:hint="eastAsia"/>
                <w:vertAlign w:val="superscript"/>
              </w:rPr>
              <w:t>2</w:t>
            </w:r>
            <w:r>
              <w:rPr>
                <w:rFonts w:hint="eastAsia"/>
              </w:rPr>
              <w:t>，</w:t>
            </w:r>
            <w:r>
              <w:rPr>
                <w:rFonts w:hint="eastAsia" w:cs="宋体"/>
                <w:kern w:val="0"/>
                <w:szCs w:val="21"/>
              </w:rPr>
              <w:t>采取“四防”措施。暂存间内设危废收集容器、分类暂存，设置警示标示、建立管理台账，严格执行危险废物转移联单制度，委托有资质的单位定期回收处置。</w:t>
            </w:r>
          </w:p>
          <w:p>
            <w:pPr>
              <w:autoSpaceDE w:val="0"/>
              <w:autoSpaceDN w:val="0"/>
              <w:adjustRightInd w:val="0"/>
              <w:snapToGrid w:val="0"/>
              <w:spacing w:line="406" w:lineRule="exact"/>
              <w:ind w:firstLine="420" w:firstLineChars="200"/>
              <w:jc w:val="left"/>
              <w:rPr>
                <w:rFonts w:cs="宋体"/>
                <w:kern w:val="0"/>
                <w:szCs w:val="21"/>
              </w:rPr>
            </w:pPr>
            <w:r>
              <w:rPr>
                <w:rFonts w:hint="eastAsia" w:cs="宋体"/>
                <w:kern w:val="0"/>
                <w:szCs w:val="21"/>
              </w:rPr>
              <w:t>评价要求：建设单位应严格按照《危险废物贮存污染控制标准》（GB18597-2023）中的污染控制要求，进行危险废物的收集、贮存管理。</w:t>
            </w:r>
          </w:p>
          <w:p>
            <w:pPr>
              <w:autoSpaceDE w:val="0"/>
              <w:autoSpaceDN w:val="0"/>
              <w:adjustRightInd w:val="0"/>
              <w:snapToGrid w:val="0"/>
              <w:spacing w:line="406" w:lineRule="exact"/>
              <w:ind w:firstLine="422" w:firstLineChars="200"/>
              <w:jc w:val="left"/>
              <w:rPr>
                <w:rFonts w:cs="宋体"/>
                <w:kern w:val="0"/>
                <w:szCs w:val="21"/>
              </w:rPr>
            </w:pPr>
            <w:r>
              <w:rPr>
                <w:rFonts w:hint="eastAsia" w:cs="宋体"/>
                <w:b/>
                <w:kern w:val="0"/>
                <w:szCs w:val="21"/>
              </w:rPr>
              <w:t>管理要求：</w:t>
            </w:r>
            <w:r>
              <w:rPr>
                <w:rFonts w:hint="eastAsia" w:cs="宋体"/>
                <w:kern w:val="0"/>
                <w:szCs w:val="21"/>
              </w:rPr>
              <w:t>6.1.1 贮存设施应根据危险废物的形态、物理化学性质、包装形式和污染物迁移途径，采取必要的防风、防晒、防雨、防漏、防渗、防腐以及其他环境污染防治措施，不应露天堆放危险废物。</w:t>
            </w:r>
          </w:p>
          <w:p>
            <w:pPr>
              <w:autoSpaceDE w:val="0"/>
              <w:autoSpaceDN w:val="0"/>
              <w:adjustRightInd w:val="0"/>
              <w:snapToGrid w:val="0"/>
              <w:spacing w:line="406" w:lineRule="exact"/>
              <w:ind w:firstLine="420" w:firstLineChars="200"/>
              <w:jc w:val="left"/>
              <w:rPr>
                <w:rFonts w:cs="宋体"/>
                <w:kern w:val="0"/>
                <w:szCs w:val="21"/>
              </w:rPr>
            </w:pPr>
            <w:r>
              <w:rPr>
                <w:rFonts w:hint="eastAsia" w:cs="宋体"/>
                <w:kern w:val="0"/>
                <w:szCs w:val="21"/>
              </w:rPr>
              <w:t>6.1.2 贮存设施应根据危险废物的类别、数量、形态、物理化学性质和污染防治等要求设置必要的贮存分区，避免不相容的危险废物接触、混合。</w:t>
            </w:r>
          </w:p>
          <w:p>
            <w:pPr>
              <w:autoSpaceDE w:val="0"/>
              <w:autoSpaceDN w:val="0"/>
              <w:adjustRightInd w:val="0"/>
              <w:snapToGrid w:val="0"/>
              <w:spacing w:line="406" w:lineRule="exact"/>
              <w:ind w:firstLine="420" w:firstLineChars="200"/>
              <w:jc w:val="left"/>
              <w:rPr>
                <w:rFonts w:cs="宋体"/>
                <w:kern w:val="0"/>
                <w:szCs w:val="21"/>
              </w:rPr>
            </w:pPr>
            <w:r>
              <w:rPr>
                <w:rFonts w:hint="eastAsia" w:cs="宋体"/>
                <w:kern w:val="0"/>
                <w:szCs w:val="21"/>
              </w:rPr>
              <w:t>6.1.3 贮存设施或贮存分区内地面、墙面裙脚、堵截泄漏的围堰、接触危险废物的隔板和墙体等应采用坚固的材料建造，表面无裂缝。</w:t>
            </w:r>
          </w:p>
          <w:p>
            <w:pPr>
              <w:autoSpaceDE w:val="0"/>
              <w:autoSpaceDN w:val="0"/>
              <w:adjustRightInd w:val="0"/>
              <w:snapToGrid w:val="0"/>
              <w:spacing w:line="406" w:lineRule="exact"/>
              <w:ind w:firstLine="420" w:firstLineChars="200"/>
              <w:jc w:val="left"/>
              <w:rPr>
                <w:rFonts w:cs="宋体"/>
                <w:kern w:val="0"/>
                <w:szCs w:val="21"/>
              </w:rPr>
            </w:pPr>
            <w:r>
              <w:rPr>
                <w:rFonts w:hint="eastAsia" w:cs="宋体"/>
                <w:kern w:val="0"/>
                <w:szCs w:val="21"/>
              </w:rPr>
              <w:t>6.1.4 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hint="eastAsia" w:cs="宋体"/>
                <w:kern w:val="0"/>
                <w:szCs w:val="21"/>
                <w:vertAlign w:val="superscript"/>
              </w:rPr>
              <w:t>-7</w:t>
            </w:r>
            <w:r>
              <w:rPr>
                <w:rFonts w:hint="eastAsia" w:cs="宋体"/>
                <w:kern w:val="0"/>
                <w:szCs w:val="21"/>
              </w:rPr>
              <w:t xml:space="preserve"> cm/s），或至少2 mm厚高密度聚乙烯膜等人工防渗材料（渗透系数不大于10</w:t>
            </w:r>
            <w:r>
              <w:rPr>
                <w:rFonts w:hint="eastAsia" w:cs="宋体"/>
                <w:kern w:val="0"/>
                <w:szCs w:val="21"/>
                <w:vertAlign w:val="superscript"/>
              </w:rPr>
              <w:t>-10</w:t>
            </w:r>
            <w:r>
              <w:rPr>
                <w:rFonts w:hint="eastAsia" w:cs="宋体"/>
                <w:kern w:val="0"/>
                <w:szCs w:val="21"/>
              </w:rPr>
              <w:t xml:space="preserve"> cm/s），或其他防渗性能等效的材料。 6.1.5 同一贮存设施宜采用相同的防渗、防腐工艺（包括防渗、防腐结构或材料），防渗、防腐材料应覆盖所有可能与废物及其渗滤液、渗漏液等接触的构筑物表面；采用不同防渗、防腐工艺应分别建设贮存分区。6.1.6 贮存设施应采取技术和管理措施防止无关人员进入。</w:t>
            </w:r>
          </w:p>
          <w:p>
            <w:pPr>
              <w:autoSpaceDE w:val="0"/>
              <w:autoSpaceDN w:val="0"/>
              <w:adjustRightInd w:val="0"/>
              <w:spacing w:line="400" w:lineRule="exact"/>
              <w:ind w:firstLine="420" w:firstLineChars="200"/>
              <w:rPr>
                <w:kern w:val="0"/>
              </w:rPr>
            </w:pPr>
            <w:r>
              <w:rPr>
                <w:rFonts w:hint="eastAsia" w:cs="宋体"/>
                <w:kern w:val="0"/>
                <w:szCs w:val="21"/>
              </w:rPr>
              <w:t>综上所述，在采取上述固废处置措施后，本项目固体废物能够做到去向明确，能够得到妥善处置，不会产生二次污染。</w:t>
            </w:r>
          </w:p>
          <w:p>
            <w:pPr>
              <w:autoSpaceDE w:val="0"/>
              <w:autoSpaceDN w:val="0"/>
              <w:adjustRightInd w:val="0"/>
              <w:spacing w:line="400" w:lineRule="exact"/>
              <w:rPr>
                <w:b/>
                <w:kern w:val="0"/>
              </w:rPr>
            </w:pPr>
            <w:r>
              <w:rPr>
                <w:rFonts w:hint="eastAsia"/>
                <w:b/>
                <w:kern w:val="0"/>
              </w:rPr>
              <w:t>5、地下水、土壤环境</w:t>
            </w:r>
          </w:p>
          <w:p>
            <w:pPr>
              <w:autoSpaceDE w:val="0"/>
              <w:autoSpaceDN w:val="0"/>
              <w:adjustRightInd w:val="0"/>
              <w:spacing w:line="400" w:lineRule="exact"/>
              <w:ind w:firstLine="420" w:firstLineChars="200"/>
              <w:rPr>
                <w:kern w:val="0"/>
              </w:rPr>
            </w:pPr>
            <w:r>
              <w:rPr>
                <w:rFonts w:hint="eastAsia"/>
                <w:kern w:val="0"/>
              </w:rPr>
              <w:t>根据《环境影响评价标准 地下水环境》(HJ610-2016)，本项目属于IV类项目，可不开展地下水环境影响评价。</w:t>
            </w:r>
          </w:p>
          <w:p>
            <w:pPr>
              <w:autoSpaceDE w:val="0"/>
              <w:autoSpaceDN w:val="0"/>
              <w:adjustRightInd w:val="0"/>
              <w:spacing w:line="400" w:lineRule="exact"/>
              <w:ind w:firstLine="420" w:firstLineChars="200"/>
              <w:rPr>
                <w:kern w:val="0"/>
              </w:rPr>
            </w:pPr>
            <w:r>
              <w:rPr>
                <w:rFonts w:hint="eastAsia"/>
                <w:kern w:val="0"/>
              </w:rPr>
              <w:t>根据《环境影响评价技术导则 土壤环境》 (HJ964-2018)附录A，本项目属于IV类，根据导则中4.2.2，IV类建设项目可不开展土壤环境影响评价；自身为敏感目标的建设项目，可根据需要仅对土壤环境现状进行调查。本项目不属于敏感目标，无需开展土壤环境影响评价工作。</w:t>
            </w:r>
          </w:p>
          <w:p>
            <w:pPr>
              <w:autoSpaceDE w:val="0"/>
              <w:autoSpaceDN w:val="0"/>
              <w:adjustRightInd w:val="0"/>
              <w:spacing w:line="400" w:lineRule="exact"/>
              <w:ind w:firstLine="420" w:firstLineChars="200"/>
              <w:rPr>
                <w:kern w:val="0"/>
              </w:rPr>
            </w:pPr>
            <w:r>
              <w:rPr>
                <w:rFonts w:hint="eastAsia"/>
                <w:kern w:val="0"/>
              </w:rPr>
              <w:t>为降低项目营运对地下水、土壤环境的污染，本次评价要求建设单位采取以下污染防治措施：</w:t>
            </w:r>
          </w:p>
          <w:p>
            <w:pPr>
              <w:autoSpaceDE w:val="0"/>
              <w:autoSpaceDN w:val="0"/>
              <w:adjustRightInd w:val="0"/>
              <w:spacing w:line="400" w:lineRule="exact"/>
              <w:ind w:firstLine="420" w:firstLineChars="200"/>
              <w:rPr>
                <w:kern w:val="0"/>
              </w:rPr>
            </w:pPr>
            <w:r>
              <w:rPr>
                <w:rFonts w:hint="eastAsia"/>
                <w:kern w:val="0"/>
              </w:rPr>
              <w:t>①整个厂区按照分区防渗的要求，将其分为重点防渗区(排污池、化粪池、隔油池、备用柴油发电机房)、一般防渗区 (工艺区、综合值班房)、其他区域采取简单防渗。</w:t>
            </w:r>
          </w:p>
          <w:p>
            <w:pPr>
              <w:autoSpaceDE w:val="0"/>
              <w:autoSpaceDN w:val="0"/>
              <w:adjustRightInd w:val="0"/>
              <w:spacing w:line="400" w:lineRule="exact"/>
              <w:ind w:firstLine="420" w:firstLineChars="200"/>
              <w:rPr>
                <w:kern w:val="0"/>
              </w:rPr>
            </w:pPr>
            <w:r>
              <w:rPr>
                <w:rFonts w:hint="eastAsia"/>
                <w:kern w:val="0"/>
              </w:rPr>
              <w:t>②项目在建设中，所有管材均为无缝钢管，属于防腐材质，所有阀体(供气管道除外)，包括自动阀、切换阀、球阀等均为PVC、衬胶等防腐材质。排污池作为重点防渗区采用C30钢筋混凝土+C15混凝土垫层+1:2防水水泥砂浆，且池壁等均采取防渗、防腐、防漏处理,通过采取上述措施后其渗透系数在10</w:t>
            </w:r>
            <w:r>
              <w:rPr>
                <w:rFonts w:hint="eastAsia"/>
                <w:kern w:val="0"/>
                <w:vertAlign w:val="superscript"/>
              </w:rPr>
              <w:t>-7</w:t>
            </w:r>
            <w:r>
              <w:rPr>
                <w:rFonts w:hint="eastAsia"/>
                <w:kern w:val="0"/>
              </w:rPr>
              <w:t>cmm/s左右;其他重点防渗区采用HDPE土工膜和粘土结合型防渗材料，做好裙角设计及防渗处理，确保防渗技术要求达到等效黏土防渗层Mb&gt;6.0m，K&lt;1x10</w:t>
            </w:r>
            <w:r>
              <w:rPr>
                <w:rFonts w:hint="eastAsia"/>
                <w:kern w:val="0"/>
                <w:vertAlign w:val="superscript"/>
              </w:rPr>
              <w:t>-7</w:t>
            </w:r>
            <w:r>
              <w:rPr>
                <w:rFonts w:hint="eastAsia"/>
                <w:kern w:val="0"/>
              </w:rPr>
              <w:t>cm/s。对于一般防渗区，主要采取地面水泥硬化防渗。</w:t>
            </w:r>
          </w:p>
          <w:p>
            <w:pPr>
              <w:autoSpaceDE w:val="0"/>
              <w:autoSpaceDN w:val="0"/>
              <w:adjustRightInd w:val="0"/>
              <w:spacing w:line="400" w:lineRule="exact"/>
              <w:ind w:firstLine="420" w:firstLineChars="200"/>
              <w:rPr>
                <w:kern w:val="0"/>
              </w:rPr>
            </w:pPr>
            <w:r>
              <w:rPr>
                <w:rFonts w:hint="eastAsia"/>
                <w:kern w:val="0"/>
              </w:rPr>
              <w:t>综上所述，通过加强管理，并配备必要的设施，则可以将营运期对地下水的污染可以减小到最小程度。</w:t>
            </w:r>
          </w:p>
          <w:p>
            <w:pPr>
              <w:autoSpaceDE w:val="0"/>
              <w:autoSpaceDN w:val="0"/>
              <w:adjustRightInd w:val="0"/>
              <w:spacing w:line="400" w:lineRule="exact"/>
              <w:rPr>
                <w:b/>
                <w:kern w:val="0"/>
              </w:rPr>
            </w:pPr>
            <w:r>
              <w:rPr>
                <w:b/>
                <w:kern w:val="0"/>
              </w:rPr>
              <w:t>6、环境风险</w:t>
            </w:r>
          </w:p>
          <w:p>
            <w:pPr>
              <w:autoSpaceDE w:val="0"/>
              <w:autoSpaceDN w:val="0"/>
              <w:adjustRightInd w:val="0"/>
              <w:spacing w:line="400" w:lineRule="exact"/>
              <w:ind w:firstLine="420" w:firstLineChars="200"/>
              <w:rPr>
                <w:kern w:val="0"/>
              </w:rPr>
            </w:pPr>
            <w:r>
              <w:rPr>
                <w:rFonts w:hint="eastAsia"/>
                <w:kern w:val="0"/>
              </w:rPr>
              <w:t>分析内容详见环境风险专项评价，在此直接引用环境风险专项评价结论：建设单位在严格执行环境风险专项评价提出预防措施后，风险防范措施切实可行，在采取加强管理，严格操作及安全防范措施和事故应急预案后，可将环境风险控制在可接受的水平之内。</w:t>
            </w:r>
          </w:p>
          <w:p>
            <w:pPr>
              <w:autoSpaceDE w:val="0"/>
              <w:autoSpaceDN w:val="0"/>
              <w:adjustRightInd w:val="0"/>
              <w:spacing w:line="400" w:lineRule="exact"/>
              <w:rPr>
                <w:kern w:val="0"/>
              </w:rPr>
            </w:pPr>
            <w:r>
              <w:rPr>
                <w:rFonts w:hint="eastAsia"/>
                <w:b/>
                <w:kern w:val="0"/>
              </w:rPr>
              <w:t>7、生态环境</w:t>
            </w:r>
          </w:p>
          <w:p>
            <w:pPr>
              <w:autoSpaceDE w:val="0"/>
              <w:autoSpaceDN w:val="0"/>
              <w:adjustRightInd w:val="0"/>
              <w:spacing w:line="400" w:lineRule="exact"/>
              <w:ind w:firstLine="420" w:firstLineChars="200"/>
              <w:rPr>
                <w:sz w:val="24"/>
              </w:rPr>
            </w:pPr>
            <w:r>
              <w:rPr>
                <w:rFonts w:hint="eastAsia"/>
                <w:kern w:val="0"/>
              </w:rPr>
              <w:t>经现场调查，项目普光化工专线配气站所在地周围目前以工业企业为主，受人类活动影响较大，项目所在地区无需要特殊保护的珍稀野生动、植物及古、大、珍、奇树木分布。运营期产生的废水、固废、噪声通过有效的处理后治理后对生态环境影响不大。因此，该项目不会造成生态环境的明显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755" w:type="dxa"/>
            <w:vAlign w:val="center"/>
          </w:tcPr>
          <w:p>
            <w:pPr>
              <w:adjustRightInd w:val="0"/>
              <w:snapToGrid w:val="0"/>
              <w:jc w:val="center"/>
              <w:rPr>
                <w:rFonts w:ascii="宋体" w:hAnsi="宋体" w:cs="宋体"/>
                <w:bCs/>
                <w:spacing w:val="10"/>
                <w:szCs w:val="21"/>
              </w:rPr>
            </w:pPr>
            <w:r>
              <w:rPr>
                <w:rFonts w:hint="eastAsia" w:ascii="宋体" w:hAnsi="宋体"/>
                <w:bCs/>
                <w:szCs w:val="21"/>
              </w:rPr>
              <w:t>其他</w:t>
            </w:r>
          </w:p>
        </w:tc>
        <w:tc>
          <w:tcPr>
            <w:tcW w:w="8080" w:type="dxa"/>
            <w:vAlign w:val="center"/>
          </w:tcPr>
          <w:p>
            <w:pPr>
              <w:adjustRightInd w:val="0"/>
              <w:snapToGrid w:val="0"/>
              <w:jc w:val="center"/>
              <w:rPr>
                <w:rFonts w:ascii="宋体" w:hAnsi="宋体" w:cs="宋体"/>
                <w:bCs/>
                <w:spacing w:val="10"/>
                <w:szCs w:val="21"/>
              </w:rPr>
            </w:pPr>
            <w:r>
              <w:rPr>
                <w:rFonts w:ascii="宋体" w:hAnsi="宋体" w:cs="宋体"/>
                <w:bCs/>
                <w:spacing w:val="1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755" w:type="dxa"/>
            <w:vAlign w:val="center"/>
          </w:tcPr>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r>
              <w:rPr>
                <w:rFonts w:hint="eastAsia" w:ascii="宋体" w:hAnsi="宋体"/>
                <w:bCs/>
                <w:szCs w:val="21"/>
              </w:rPr>
              <w:t>环保投资</w:t>
            </w: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r>
              <w:rPr>
                <w:rFonts w:hint="eastAsia" w:ascii="宋体" w:hAnsi="宋体"/>
                <w:bCs/>
                <w:szCs w:val="21"/>
              </w:rPr>
              <w:t>环保投资</w:t>
            </w: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pStyle w:val="2"/>
            </w:pPr>
          </w:p>
          <w:p>
            <w:pPr>
              <w:pStyle w:val="2"/>
            </w:pPr>
          </w:p>
          <w:p>
            <w:pPr>
              <w:pStyle w:val="2"/>
            </w:pPr>
          </w:p>
          <w:p>
            <w:pPr>
              <w:pStyle w:val="2"/>
            </w:pPr>
          </w:p>
          <w:p>
            <w:pPr>
              <w:pStyle w:val="2"/>
            </w:pPr>
          </w:p>
          <w:p>
            <w:pPr>
              <w:pStyle w:val="2"/>
            </w:pPr>
          </w:p>
          <w:p>
            <w:pPr>
              <w:pStyle w:val="2"/>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cs="宋体"/>
                <w:bCs/>
                <w:spacing w:val="10"/>
                <w:szCs w:val="21"/>
              </w:rPr>
            </w:pPr>
          </w:p>
          <w:p>
            <w:pPr>
              <w:pStyle w:val="2"/>
            </w:pPr>
          </w:p>
          <w:p>
            <w:pPr>
              <w:pStyle w:val="2"/>
            </w:pPr>
          </w:p>
        </w:tc>
        <w:tc>
          <w:tcPr>
            <w:tcW w:w="8080" w:type="dxa"/>
          </w:tcPr>
          <w:p>
            <w:pPr>
              <w:autoSpaceDE w:val="0"/>
              <w:autoSpaceDN w:val="0"/>
              <w:adjustRightInd w:val="0"/>
              <w:spacing w:line="400" w:lineRule="exact"/>
              <w:ind w:firstLine="420" w:firstLineChars="200"/>
              <w:rPr>
                <w:kern w:val="0"/>
              </w:rPr>
            </w:pPr>
            <w:r>
              <w:rPr>
                <w:rFonts w:hint="eastAsia"/>
                <w:kern w:val="0"/>
              </w:rPr>
              <w:t>本项目总投资7345万元，其中环保投资233万元，占总投资的3.17</w:t>
            </w:r>
            <w:r>
              <w:rPr>
                <w:kern w:val="0"/>
              </w:rPr>
              <w:t>%</w:t>
            </w:r>
            <w:r>
              <w:rPr>
                <w:rFonts w:hint="eastAsia"/>
                <w:kern w:val="0"/>
              </w:rPr>
              <w:t>，处理措施和处理效果从总体上看，能有效降低由于工程的建设所带来的环境污染和生态影响，满足环保要求，经济合理、技术可行。工程项目的环保投资估算详见下表。</w:t>
            </w:r>
          </w:p>
          <w:p>
            <w:pPr>
              <w:spacing w:line="400" w:lineRule="exact"/>
              <w:jc w:val="center"/>
              <w:rPr>
                <w:rFonts w:eastAsia="黑体"/>
                <w:sz w:val="18"/>
                <w:szCs w:val="18"/>
              </w:rPr>
            </w:pPr>
            <w:r>
              <w:rPr>
                <w:rFonts w:hint="eastAsia" w:eastAsia="黑体"/>
                <w:sz w:val="18"/>
                <w:szCs w:val="18"/>
              </w:rPr>
              <w:t>表5-8</w:t>
            </w:r>
            <w:r>
              <w:rPr>
                <w:rFonts w:eastAsia="黑体"/>
                <w:sz w:val="18"/>
                <w:szCs w:val="18"/>
              </w:rPr>
              <w:t xml:space="preserve">    </w:t>
            </w:r>
            <w:r>
              <w:rPr>
                <w:rFonts w:hint="eastAsia" w:eastAsia="黑体"/>
                <w:sz w:val="18"/>
                <w:szCs w:val="18"/>
              </w:rPr>
              <w:t>项目环保投资估算一览表</w:t>
            </w:r>
          </w:p>
          <w:tbl>
            <w:tblPr>
              <w:tblStyle w:val="17"/>
              <w:tblW w:w="7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
              <w:gridCol w:w="538"/>
              <w:gridCol w:w="5617"/>
              <w:gridCol w:w="743"/>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47" w:type="dxa"/>
                  <w:gridSpan w:val="2"/>
                  <w:vAlign w:val="center"/>
                </w:tcPr>
                <w:p>
                  <w:pPr>
                    <w:pStyle w:val="7"/>
                    <w:spacing w:after="0" w:line="300" w:lineRule="exact"/>
                    <w:ind w:left="-53" w:leftChars="-25" w:right="-53" w:rightChars="-25"/>
                    <w:jc w:val="center"/>
                    <w:rPr>
                      <w:b/>
                      <w:bCs/>
                      <w:sz w:val="18"/>
                      <w:szCs w:val="18"/>
                    </w:rPr>
                  </w:pPr>
                  <w:r>
                    <w:rPr>
                      <w:b/>
                      <w:bCs/>
                      <w:sz w:val="18"/>
                      <w:szCs w:val="18"/>
                    </w:rPr>
                    <w:t>类别</w:t>
                  </w:r>
                </w:p>
              </w:tc>
              <w:tc>
                <w:tcPr>
                  <w:tcW w:w="5617" w:type="dxa"/>
                  <w:vAlign w:val="center"/>
                </w:tcPr>
                <w:p>
                  <w:pPr>
                    <w:pStyle w:val="7"/>
                    <w:spacing w:after="0" w:line="300" w:lineRule="exact"/>
                    <w:ind w:left="-53" w:leftChars="-25" w:right="-53" w:rightChars="-25"/>
                    <w:jc w:val="center"/>
                    <w:rPr>
                      <w:b/>
                      <w:bCs/>
                      <w:sz w:val="18"/>
                      <w:szCs w:val="18"/>
                    </w:rPr>
                  </w:pPr>
                  <w:r>
                    <w:rPr>
                      <w:b/>
                      <w:bCs/>
                      <w:sz w:val="18"/>
                      <w:szCs w:val="18"/>
                    </w:rPr>
                    <w:t>污染防治环保设施（措施）</w:t>
                  </w:r>
                </w:p>
              </w:tc>
              <w:tc>
                <w:tcPr>
                  <w:tcW w:w="743" w:type="dxa"/>
                  <w:vAlign w:val="center"/>
                </w:tcPr>
                <w:p>
                  <w:pPr>
                    <w:pStyle w:val="7"/>
                    <w:spacing w:after="0" w:line="300" w:lineRule="exact"/>
                    <w:ind w:left="-53" w:leftChars="-25" w:right="-53" w:rightChars="-25"/>
                    <w:jc w:val="center"/>
                    <w:rPr>
                      <w:b/>
                      <w:bCs/>
                      <w:sz w:val="18"/>
                      <w:szCs w:val="18"/>
                    </w:rPr>
                  </w:pPr>
                  <w:r>
                    <w:rPr>
                      <w:b/>
                      <w:bCs/>
                      <w:sz w:val="18"/>
                      <w:szCs w:val="18"/>
                    </w:rPr>
                    <w:t>投资</w:t>
                  </w:r>
                </w:p>
                <w:p>
                  <w:pPr>
                    <w:pStyle w:val="7"/>
                    <w:spacing w:after="0" w:line="300" w:lineRule="exact"/>
                    <w:ind w:left="-53" w:leftChars="-25" w:right="-53" w:rightChars="-25"/>
                    <w:jc w:val="center"/>
                    <w:rPr>
                      <w:b/>
                      <w:bCs/>
                      <w:sz w:val="18"/>
                      <w:szCs w:val="18"/>
                    </w:rPr>
                  </w:pPr>
                  <w:r>
                    <w:rPr>
                      <w:rFonts w:hint="eastAsia"/>
                      <w:b/>
                      <w:bCs/>
                      <w:sz w:val="18"/>
                      <w:szCs w:val="18"/>
                    </w:rPr>
                    <w:t>（万元）</w:t>
                  </w:r>
                </w:p>
              </w:tc>
              <w:tc>
                <w:tcPr>
                  <w:tcW w:w="707" w:type="dxa"/>
                  <w:vAlign w:val="center"/>
                </w:tcPr>
                <w:p>
                  <w:pPr>
                    <w:pStyle w:val="7"/>
                    <w:spacing w:after="0" w:line="300" w:lineRule="exact"/>
                    <w:ind w:left="-53" w:leftChars="-25" w:right="-53" w:rightChars="-25"/>
                    <w:jc w:val="center"/>
                    <w:rPr>
                      <w:b/>
                      <w:bCs/>
                      <w:sz w:val="18"/>
                      <w:szCs w:val="18"/>
                    </w:rPr>
                  </w:pPr>
                  <w:r>
                    <w:rPr>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09" w:type="dxa"/>
                  <w:vMerge w:val="restart"/>
                  <w:vAlign w:val="center"/>
                </w:tcPr>
                <w:p>
                  <w:pPr>
                    <w:pStyle w:val="7"/>
                    <w:spacing w:after="0" w:line="300" w:lineRule="exact"/>
                    <w:ind w:left="-53" w:leftChars="-25" w:right="-53" w:rightChars="-25"/>
                    <w:jc w:val="center"/>
                    <w:rPr>
                      <w:b/>
                      <w:bCs/>
                      <w:sz w:val="18"/>
                      <w:szCs w:val="18"/>
                    </w:rPr>
                  </w:pPr>
                  <w:r>
                    <w:rPr>
                      <w:b/>
                      <w:bCs/>
                      <w:sz w:val="18"/>
                      <w:szCs w:val="18"/>
                    </w:rPr>
                    <w:t>施工期</w:t>
                  </w:r>
                </w:p>
              </w:tc>
              <w:tc>
                <w:tcPr>
                  <w:tcW w:w="538" w:type="dxa"/>
                  <w:vAlign w:val="center"/>
                </w:tcPr>
                <w:p>
                  <w:pPr>
                    <w:pStyle w:val="7"/>
                    <w:spacing w:after="0" w:line="300" w:lineRule="exact"/>
                    <w:ind w:left="-53" w:leftChars="-25" w:right="-53" w:rightChars="-25"/>
                    <w:jc w:val="center"/>
                    <w:rPr>
                      <w:b/>
                      <w:bCs/>
                      <w:sz w:val="18"/>
                      <w:szCs w:val="18"/>
                    </w:rPr>
                  </w:pPr>
                  <w:r>
                    <w:rPr>
                      <w:b/>
                      <w:bCs/>
                      <w:sz w:val="18"/>
                      <w:szCs w:val="18"/>
                    </w:rPr>
                    <w:t>废气</w:t>
                  </w:r>
                </w:p>
              </w:tc>
              <w:tc>
                <w:tcPr>
                  <w:tcW w:w="5617" w:type="dxa"/>
                  <w:vAlign w:val="center"/>
                </w:tcPr>
                <w:p>
                  <w:pPr>
                    <w:pStyle w:val="7"/>
                    <w:spacing w:after="0" w:line="300" w:lineRule="exact"/>
                    <w:ind w:left="-53" w:leftChars="-25" w:right="-53" w:rightChars="-25"/>
                    <w:rPr>
                      <w:b/>
                      <w:bCs/>
                      <w:sz w:val="18"/>
                      <w:szCs w:val="18"/>
                    </w:rPr>
                  </w:pPr>
                  <w:r>
                    <w:rPr>
                      <w:rFonts w:hint="eastAsia"/>
                      <w:bCs/>
                      <w:sz w:val="18"/>
                      <w:szCs w:val="18"/>
                    </w:rPr>
                    <w:t>施工期购置洒水设备进行洒水作业，对临时堆放表土采用篷布覆；进行道面清扫，对轮胎进行清洗；用于施工期间物料运输车辆的覆盖，粉料采用粉料车运输，防止物料散落和灰尘飘散</w:t>
                  </w:r>
                </w:p>
              </w:tc>
              <w:tc>
                <w:tcPr>
                  <w:tcW w:w="743" w:type="dxa"/>
                  <w:vAlign w:val="center"/>
                </w:tcPr>
                <w:p>
                  <w:pPr>
                    <w:pStyle w:val="7"/>
                    <w:spacing w:after="0" w:line="300" w:lineRule="exact"/>
                    <w:ind w:left="-53" w:leftChars="-25" w:right="-53" w:rightChars="-25"/>
                    <w:jc w:val="center"/>
                    <w:rPr>
                      <w:bCs/>
                      <w:sz w:val="18"/>
                      <w:szCs w:val="18"/>
                    </w:rPr>
                  </w:pPr>
                  <w:r>
                    <w:rPr>
                      <w:rFonts w:hint="eastAsia"/>
                      <w:bCs/>
                      <w:sz w:val="18"/>
                      <w:szCs w:val="18"/>
                    </w:rPr>
                    <w:t>16.0</w:t>
                  </w:r>
                </w:p>
              </w:tc>
              <w:tc>
                <w:tcPr>
                  <w:tcW w:w="707" w:type="dxa"/>
                  <w:vAlign w:val="center"/>
                </w:tcPr>
                <w:p>
                  <w:pPr>
                    <w:pStyle w:val="7"/>
                    <w:spacing w:after="0" w:line="300" w:lineRule="exact"/>
                    <w:ind w:left="-53" w:leftChars="-25" w:right="-53" w:rightChars="-25"/>
                    <w:jc w:val="center"/>
                    <w:rPr>
                      <w:bCs/>
                      <w:sz w:val="18"/>
                      <w:szCs w:val="18"/>
                    </w:rPr>
                  </w:pPr>
                  <w:r>
                    <w:rPr>
                      <w:rFonts w:hint="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9" w:type="dxa"/>
                  <w:vMerge w:val="continue"/>
                  <w:vAlign w:val="center"/>
                </w:tcPr>
                <w:p>
                  <w:pPr>
                    <w:pStyle w:val="7"/>
                    <w:spacing w:after="0" w:line="300" w:lineRule="exact"/>
                    <w:ind w:left="-53" w:leftChars="-25" w:right="-53" w:rightChars="-25"/>
                    <w:jc w:val="center"/>
                    <w:rPr>
                      <w:b/>
                      <w:bCs/>
                      <w:sz w:val="18"/>
                      <w:szCs w:val="18"/>
                    </w:rPr>
                  </w:pPr>
                </w:p>
              </w:tc>
              <w:tc>
                <w:tcPr>
                  <w:tcW w:w="538" w:type="dxa"/>
                  <w:vMerge w:val="restart"/>
                  <w:vAlign w:val="center"/>
                </w:tcPr>
                <w:p>
                  <w:pPr>
                    <w:pStyle w:val="7"/>
                    <w:spacing w:after="0" w:line="300" w:lineRule="exact"/>
                    <w:ind w:left="-53" w:leftChars="-25" w:right="-53" w:rightChars="-25"/>
                    <w:jc w:val="center"/>
                    <w:rPr>
                      <w:b/>
                      <w:bCs/>
                      <w:sz w:val="18"/>
                      <w:szCs w:val="18"/>
                    </w:rPr>
                  </w:pPr>
                  <w:r>
                    <w:rPr>
                      <w:b/>
                      <w:bCs/>
                      <w:sz w:val="18"/>
                      <w:szCs w:val="18"/>
                    </w:rPr>
                    <w:t>废水</w:t>
                  </w:r>
                </w:p>
              </w:tc>
              <w:tc>
                <w:tcPr>
                  <w:tcW w:w="5617" w:type="dxa"/>
                  <w:vAlign w:val="center"/>
                </w:tcPr>
                <w:p>
                  <w:pPr>
                    <w:pStyle w:val="7"/>
                    <w:spacing w:after="0" w:line="340" w:lineRule="exact"/>
                    <w:ind w:left="-53" w:leftChars="-25" w:right="-53" w:rightChars="-25"/>
                    <w:rPr>
                      <w:bCs/>
                      <w:sz w:val="18"/>
                      <w:szCs w:val="18"/>
                    </w:rPr>
                  </w:pPr>
                  <w:r>
                    <w:rPr>
                      <w:rFonts w:hint="eastAsia"/>
                      <w:bCs/>
                      <w:sz w:val="18"/>
                      <w:szCs w:val="18"/>
                    </w:rPr>
                    <w:t>试管废水：修建试管废水沉淀池，回用于附近林地灌溉、道路洒水</w:t>
                  </w:r>
                </w:p>
              </w:tc>
              <w:tc>
                <w:tcPr>
                  <w:tcW w:w="743" w:type="dxa"/>
                  <w:vAlign w:val="center"/>
                </w:tcPr>
                <w:p>
                  <w:pPr>
                    <w:pStyle w:val="7"/>
                    <w:spacing w:after="0" w:line="300" w:lineRule="exact"/>
                    <w:ind w:left="-53" w:leftChars="-25" w:right="-53" w:rightChars="-25"/>
                    <w:jc w:val="center"/>
                    <w:rPr>
                      <w:bCs/>
                      <w:sz w:val="18"/>
                      <w:szCs w:val="18"/>
                    </w:rPr>
                  </w:pPr>
                  <w:r>
                    <w:rPr>
                      <w:rFonts w:hint="eastAsia"/>
                      <w:bCs/>
                      <w:sz w:val="18"/>
                      <w:szCs w:val="18"/>
                    </w:rPr>
                    <w:t>5.0</w:t>
                  </w:r>
                </w:p>
              </w:tc>
              <w:tc>
                <w:tcPr>
                  <w:tcW w:w="707" w:type="dxa"/>
                  <w:vAlign w:val="center"/>
                </w:tcPr>
                <w:p>
                  <w:pPr>
                    <w:pStyle w:val="7"/>
                    <w:spacing w:after="0" w:line="300" w:lineRule="exact"/>
                    <w:ind w:left="-53" w:leftChars="-25" w:right="-53" w:rightChars="-25"/>
                    <w:jc w:val="center"/>
                    <w:rPr>
                      <w:bCs/>
                      <w:sz w:val="18"/>
                      <w:szCs w:val="18"/>
                    </w:rPr>
                  </w:pPr>
                  <w:r>
                    <w:rPr>
                      <w:rFonts w:hint="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9" w:type="dxa"/>
                  <w:vMerge w:val="continue"/>
                  <w:vAlign w:val="center"/>
                </w:tcPr>
                <w:p>
                  <w:pPr>
                    <w:pStyle w:val="7"/>
                    <w:spacing w:after="0" w:line="300" w:lineRule="exact"/>
                    <w:ind w:left="-53" w:leftChars="-25" w:right="-53" w:rightChars="-25"/>
                    <w:jc w:val="center"/>
                    <w:rPr>
                      <w:b/>
                      <w:bCs/>
                      <w:sz w:val="18"/>
                      <w:szCs w:val="18"/>
                    </w:rPr>
                  </w:pPr>
                </w:p>
              </w:tc>
              <w:tc>
                <w:tcPr>
                  <w:tcW w:w="538" w:type="dxa"/>
                  <w:vMerge w:val="continue"/>
                  <w:vAlign w:val="center"/>
                </w:tcPr>
                <w:p>
                  <w:pPr>
                    <w:pStyle w:val="7"/>
                    <w:spacing w:after="0" w:line="300" w:lineRule="exact"/>
                    <w:ind w:left="-53" w:leftChars="-25" w:right="-53" w:rightChars="-25"/>
                    <w:jc w:val="center"/>
                    <w:rPr>
                      <w:b/>
                      <w:bCs/>
                      <w:sz w:val="18"/>
                      <w:szCs w:val="18"/>
                    </w:rPr>
                  </w:pPr>
                </w:p>
              </w:tc>
              <w:tc>
                <w:tcPr>
                  <w:tcW w:w="5617" w:type="dxa"/>
                  <w:vAlign w:val="center"/>
                </w:tcPr>
                <w:p>
                  <w:pPr>
                    <w:spacing w:line="340" w:lineRule="exact"/>
                    <w:rPr>
                      <w:sz w:val="18"/>
                      <w:szCs w:val="18"/>
                    </w:rPr>
                  </w:pPr>
                  <w:r>
                    <w:rPr>
                      <w:rFonts w:ascii="宋体" w:hAnsi="宋体"/>
                      <w:kern w:val="0"/>
                      <w:sz w:val="18"/>
                      <w:szCs w:val="18"/>
                    </w:rPr>
                    <w:t>河道穿越施工废水：在主要穿越点周围设置施工废水沉淀池，并建设导流沟等设施将穿越产生的</w:t>
                  </w:r>
                  <w:r>
                    <w:rPr>
                      <w:rFonts w:hint="eastAsia" w:ascii="宋体" w:hAnsi="宋体"/>
                      <w:kern w:val="0"/>
                      <w:sz w:val="18"/>
                      <w:szCs w:val="18"/>
                    </w:rPr>
                    <w:t>施工废水经隔油沉淀处理后用于施工场地的洒水抑尘，不外排</w:t>
                  </w:r>
                </w:p>
              </w:tc>
              <w:tc>
                <w:tcPr>
                  <w:tcW w:w="743" w:type="dxa"/>
                  <w:vAlign w:val="center"/>
                </w:tcPr>
                <w:p>
                  <w:pPr>
                    <w:pStyle w:val="7"/>
                    <w:spacing w:after="0" w:line="300" w:lineRule="exact"/>
                    <w:ind w:left="-53" w:leftChars="-25" w:right="-53" w:rightChars="-25"/>
                    <w:jc w:val="center"/>
                    <w:rPr>
                      <w:bCs/>
                      <w:sz w:val="18"/>
                      <w:szCs w:val="18"/>
                    </w:rPr>
                  </w:pPr>
                  <w:r>
                    <w:rPr>
                      <w:rFonts w:hint="eastAsia"/>
                      <w:bCs/>
                      <w:sz w:val="18"/>
                      <w:szCs w:val="18"/>
                    </w:rPr>
                    <w:t>10.0</w:t>
                  </w:r>
                </w:p>
              </w:tc>
              <w:tc>
                <w:tcPr>
                  <w:tcW w:w="707" w:type="dxa"/>
                  <w:vAlign w:val="center"/>
                </w:tcPr>
                <w:p>
                  <w:pPr>
                    <w:pStyle w:val="7"/>
                    <w:spacing w:after="0" w:line="300" w:lineRule="exact"/>
                    <w:ind w:left="-53" w:leftChars="-25" w:right="-53" w:rightChars="-25"/>
                    <w:jc w:val="center"/>
                    <w:rPr>
                      <w:bCs/>
                      <w:sz w:val="18"/>
                      <w:szCs w:val="18"/>
                    </w:rPr>
                  </w:pPr>
                  <w:r>
                    <w:rPr>
                      <w:rFonts w:hint="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9" w:type="dxa"/>
                  <w:vMerge w:val="continue"/>
                  <w:vAlign w:val="center"/>
                </w:tcPr>
                <w:p>
                  <w:pPr>
                    <w:pStyle w:val="7"/>
                    <w:spacing w:after="0" w:line="300" w:lineRule="exact"/>
                    <w:ind w:left="-53" w:leftChars="-25" w:right="-53" w:rightChars="-25"/>
                    <w:jc w:val="center"/>
                    <w:rPr>
                      <w:b/>
                      <w:bCs/>
                      <w:sz w:val="18"/>
                      <w:szCs w:val="18"/>
                    </w:rPr>
                  </w:pPr>
                </w:p>
              </w:tc>
              <w:tc>
                <w:tcPr>
                  <w:tcW w:w="538" w:type="dxa"/>
                  <w:vMerge w:val="continue"/>
                  <w:vAlign w:val="center"/>
                </w:tcPr>
                <w:p>
                  <w:pPr>
                    <w:pStyle w:val="7"/>
                    <w:spacing w:after="0" w:line="300" w:lineRule="exact"/>
                    <w:ind w:left="-53" w:leftChars="-25" w:right="-53" w:rightChars="-25"/>
                    <w:jc w:val="center"/>
                    <w:rPr>
                      <w:b/>
                      <w:bCs/>
                      <w:sz w:val="18"/>
                      <w:szCs w:val="18"/>
                    </w:rPr>
                  </w:pPr>
                </w:p>
              </w:tc>
              <w:tc>
                <w:tcPr>
                  <w:tcW w:w="5617" w:type="dxa"/>
                  <w:vAlign w:val="center"/>
                </w:tcPr>
                <w:p>
                  <w:pPr>
                    <w:spacing w:line="340" w:lineRule="exact"/>
                    <w:rPr>
                      <w:rFonts w:ascii="宋体" w:hAnsi="宋体"/>
                      <w:kern w:val="0"/>
                      <w:sz w:val="18"/>
                      <w:szCs w:val="18"/>
                    </w:rPr>
                  </w:pPr>
                  <w:r>
                    <w:rPr>
                      <w:rFonts w:ascii="宋体" w:hAnsi="宋体"/>
                      <w:kern w:val="0"/>
                      <w:sz w:val="18"/>
                      <w:szCs w:val="18"/>
                    </w:rPr>
                    <w:t>生活污水：利用附近农户已设的旱厕，处理后做农肥</w:t>
                  </w:r>
                </w:p>
              </w:tc>
              <w:tc>
                <w:tcPr>
                  <w:tcW w:w="743" w:type="dxa"/>
                  <w:vAlign w:val="center"/>
                </w:tcPr>
                <w:p>
                  <w:pPr>
                    <w:pStyle w:val="7"/>
                    <w:spacing w:after="0" w:line="300" w:lineRule="exact"/>
                    <w:ind w:left="-53" w:leftChars="-25" w:right="-53" w:rightChars="-25"/>
                    <w:jc w:val="center"/>
                    <w:rPr>
                      <w:bCs/>
                      <w:sz w:val="18"/>
                      <w:szCs w:val="18"/>
                    </w:rPr>
                  </w:pPr>
                  <w:r>
                    <w:rPr>
                      <w:rFonts w:hint="eastAsia"/>
                      <w:bCs/>
                      <w:sz w:val="18"/>
                      <w:szCs w:val="18"/>
                    </w:rPr>
                    <w:t>/</w:t>
                  </w:r>
                </w:p>
              </w:tc>
              <w:tc>
                <w:tcPr>
                  <w:tcW w:w="707" w:type="dxa"/>
                  <w:vAlign w:val="center"/>
                </w:tcPr>
                <w:p>
                  <w:pPr>
                    <w:pStyle w:val="7"/>
                    <w:spacing w:after="0" w:line="300" w:lineRule="exact"/>
                    <w:ind w:left="-53" w:leftChars="-25" w:right="-53" w:rightChars="-25"/>
                    <w:jc w:val="center"/>
                    <w:rPr>
                      <w:bCs/>
                      <w:sz w:val="18"/>
                      <w:szCs w:val="18"/>
                    </w:rPr>
                  </w:pPr>
                  <w:r>
                    <w:rPr>
                      <w:rFonts w:hint="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9" w:type="dxa"/>
                  <w:vMerge w:val="continue"/>
                  <w:vAlign w:val="center"/>
                </w:tcPr>
                <w:p>
                  <w:pPr>
                    <w:pStyle w:val="7"/>
                    <w:spacing w:after="0" w:line="300" w:lineRule="exact"/>
                    <w:ind w:left="-53" w:leftChars="-25" w:right="-53" w:rightChars="-25"/>
                    <w:jc w:val="center"/>
                    <w:rPr>
                      <w:b/>
                      <w:bCs/>
                      <w:sz w:val="18"/>
                      <w:szCs w:val="18"/>
                    </w:rPr>
                  </w:pPr>
                </w:p>
              </w:tc>
              <w:tc>
                <w:tcPr>
                  <w:tcW w:w="538" w:type="dxa"/>
                  <w:vAlign w:val="center"/>
                </w:tcPr>
                <w:p>
                  <w:pPr>
                    <w:pStyle w:val="7"/>
                    <w:spacing w:after="0" w:line="300" w:lineRule="exact"/>
                    <w:ind w:left="-53" w:leftChars="-25" w:right="-53" w:rightChars="-25"/>
                    <w:jc w:val="left"/>
                    <w:rPr>
                      <w:b/>
                      <w:bCs/>
                      <w:sz w:val="18"/>
                      <w:szCs w:val="18"/>
                    </w:rPr>
                  </w:pPr>
                  <w:r>
                    <w:rPr>
                      <w:b/>
                      <w:bCs/>
                      <w:sz w:val="18"/>
                      <w:szCs w:val="18"/>
                    </w:rPr>
                    <w:t>噪声</w:t>
                  </w:r>
                </w:p>
              </w:tc>
              <w:tc>
                <w:tcPr>
                  <w:tcW w:w="5617" w:type="dxa"/>
                  <w:vAlign w:val="center"/>
                </w:tcPr>
                <w:p>
                  <w:pPr>
                    <w:spacing w:line="300" w:lineRule="exact"/>
                    <w:rPr>
                      <w:b/>
                      <w:bCs/>
                      <w:sz w:val="18"/>
                      <w:szCs w:val="18"/>
                    </w:rPr>
                  </w:pPr>
                  <w:r>
                    <w:rPr>
                      <w:rFonts w:ascii="宋体" w:hAnsi="宋体"/>
                      <w:kern w:val="0"/>
                      <w:sz w:val="18"/>
                      <w:szCs w:val="18"/>
                    </w:rPr>
                    <w:t>合理安排施工作业时间，合理布局施工现场，禁止夜间施工；在施工沿线居民集中点设挡声板顶管穿越点附近设隔声屏障</w:t>
                  </w:r>
                </w:p>
              </w:tc>
              <w:tc>
                <w:tcPr>
                  <w:tcW w:w="743" w:type="dxa"/>
                  <w:vAlign w:val="center"/>
                </w:tcPr>
                <w:p>
                  <w:pPr>
                    <w:pStyle w:val="7"/>
                    <w:spacing w:after="0" w:line="300" w:lineRule="exact"/>
                    <w:ind w:left="-53" w:leftChars="-25" w:right="-53" w:rightChars="-25"/>
                    <w:jc w:val="center"/>
                    <w:rPr>
                      <w:bCs/>
                      <w:sz w:val="18"/>
                      <w:szCs w:val="18"/>
                    </w:rPr>
                  </w:pPr>
                  <w:r>
                    <w:rPr>
                      <w:rFonts w:hint="eastAsia"/>
                      <w:bCs/>
                      <w:sz w:val="18"/>
                      <w:szCs w:val="18"/>
                    </w:rPr>
                    <w:t>3.5</w:t>
                  </w:r>
                </w:p>
              </w:tc>
              <w:tc>
                <w:tcPr>
                  <w:tcW w:w="707" w:type="dxa"/>
                  <w:vAlign w:val="center"/>
                </w:tcPr>
                <w:p>
                  <w:pPr>
                    <w:pStyle w:val="7"/>
                    <w:spacing w:after="0" w:line="300" w:lineRule="exact"/>
                    <w:ind w:left="-53" w:leftChars="-25" w:right="-53" w:rightChars="-25"/>
                    <w:jc w:val="center"/>
                    <w:rPr>
                      <w:bCs/>
                      <w:sz w:val="18"/>
                      <w:szCs w:val="18"/>
                    </w:rPr>
                  </w:pPr>
                  <w:r>
                    <w:rPr>
                      <w:rFonts w:hint="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9" w:type="dxa"/>
                  <w:vMerge w:val="continue"/>
                  <w:vAlign w:val="center"/>
                </w:tcPr>
                <w:p>
                  <w:pPr>
                    <w:pStyle w:val="7"/>
                    <w:spacing w:after="0" w:line="300" w:lineRule="exact"/>
                    <w:ind w:left="-53" w:leftChars="-25" w:right="-53" w:rightChars="-25"/>
                    <w:jc w:val="center"/>
                    <w:rPr>
                      <w:b/>
                      <w:bCs/>
                      <w:sz w:val="18"/>
                      <w:szCs w:val="18"/>
                    </w:rPr>
                  </w:pPr>
                </w:p>
              </w:tc>
              <w:tc>
                <w:tcPr>
                  <w:tcW w:w="538" w:type="dxa"/>
                  <w:vAlign w:val="center"/>
                </w:tcPr>
                <w:p>
                  <w:pPr>
                    <w:pStyle w:val="7"/>
                    <w:spacing w:after="0" w:line="300" w:lineRule="exact"/>
                    <w:ind w:left="-53" w:leftChars="-25" w:right="-53" w:rightChars="-25"/>
                    <w:jc w:val="center"/>
                    <w:rPr>
                      <w:b/>
                      <w:bCs/>
                      <w:sz w:val="18"/>
                      <w:szCs w:val="18"/>
                    </w:rPr>
                  </w:pPr>
                  <w:r>
                    <w:rPr>
                      <w:b/>
                      <w:bCs/>
                      <w:sz w:val="18"/>
                      <w:szCs w:val="18"/>
                    </w:rPr>
                    <w:t>固体废物</w:t>
                  </w:r>
                </w:p>
              </w:tc>
              <w:tc>
                <w:tcPr>
                  <w:tcW w:w="5617" w:type="dxa"/>
                  <w:vAlign w:val="center"/>
                </w:tcPr>
                <w:p>
                  <w:pPr>
                    <w:spacing w:line="300" w:lineRule="exact"/>
                    <w:rPr>
                      <w:b/>
                      <w:bCs/>
                      <w:sz w:val="18"/>
                      <w:szCs w:val="18"/>
                    </w:rPr>
                  </w:pPr>
                  <w:r>
                    <w:rPr>
                      <w:rFonts w:ascii="宋体" w:hAnsi="宋体"/>
                      <w:kern w:val="0"/>
                      <w:sz w:val="18"/>
                      <w:szCs w:val="18"/>
                    </w:rPr>
                    <w:t>施工期生活垃圾依托当地环卫部门</w:t>
                  </w:r>
                  <w:r>
                    <w:rPr>
                      <w:rFonts w:hint="eastAsia" w:ascii="宋体" w:hAnsi="宋体"/>
                      <w:kern w:val="0"/>
                      <w:sz w:val="18"/>
                      <w:szCs w:val="18"/>
                    </w:rPr>
                    <w:t>统一</w:t>
                  </w:r>
                  <w:r>
                    <w:rPr>
                      <w:rFonts w:ascii="宋体" w:hAnsi="宋体"/>
                      <w:kern w:val="0"/>
                      <w:sz w:val="18"/>
                      <w:szCs w:val="18"/>
                    </w:rPr>
                    <w:t>清运处理；未回收利用的施工废料，依托当地环卫部门统一清运处理；施工期剩余少量建渣用于临时道路修建或运送至政府指定的堆场。</w:t>
                  </w:r>
                </w:p>
              </w:tc>
              <w:tc>
                <w:tcPr>
                  <w:tcW w:w="743" w:type="dxa"/>
                  <w:vAlign w:val="center"/>
                </w:tcPr>
                <w:p>
                  <w:pPr>
                    <w:pStyle w:val="7"/>
                    <w:spacing w:after="0" w:line="300" w:lineRule="exact"/>
                    <w:ind w:left="-53" w:leftChars="-25" w:right="-53" w:rightChars="-25"/>
                    <w:jc w:val="center"/>
                    <w:rPr>
                      <w:bCs/>
                      <w:sz w:val="18"/>
                      <w:szCs w:val="18"/>
                    </w:rPr>
                  </w:pPr>
                  <w:r>
                    <w:rPr>
                      <w:rFonts w:hint="eastAsia"/>
                      <w:bCs/>
                      <w:sz w:val="18"/>
                      <w:szCs w:val="18"/>
                    </w:rPr>
                    <w:t>1.5</w:t>
                  </w:r>
                </w:p>
              </w:tc>
              <w:tc>
                <w:tcPr>
                  <w:tcW w:w="707" w:type="dxa"/>
                  <w:vAlign w:val="center"/>
                </w:tcPr>
                <w:p>
                  <w:pPr>
                    <w:pStyle w:val="7"/>
                    <w:spacing w:after="0" w:line="300" w:lineRule="exact"/>
                    <w:ind w:left="-53" w:leftChars="-25" w:right="-53" w:rightChars="-25"/>
                    <w:jc w:val="center"/>
                    <w:rPr>
                      <w:bCs/>
                      <w:sz w:val="18"/>
                      <w:szCs w:val="18"/>
                    </w:rPr>
                  </w:pPr>
                  <w:r>
                    <w:rPr>
                      <w:rFonts w:hint="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9" w:type="dxa"/>
                  <w:vMerge w:val="continue"/>
                  <w:vAlign w:val="center"/>
                </w:tcPr>
                <w:p>
                  <w:pPr>
                    <w:pStyle w:val="7"/>
                    <w:spacing w:after="0" w:line="300" w:lineRule="exact"/>
                    <w:ind w:left="-53" w:leftChars="-25" w:right="-53" w:rightChars="-25"/>
                    <w:jc w:val="center"/>
                    <w:rPr>
                      <w:b/>
                      <w:bCs/>
                      <w:sz w:val="18"/>
                      <w:szCs w:val="18"/>
                    </w:rPr>
                  </w:pPr>
                </w:p>
              </w:tc>
              <w:tc>
                <w:tcPr>
                  <w:tcW w:w="538" w:type="dxa"/>
                  <w:vAlign w:val="center"/>
                </w:tcPr>
                <w:p>
                  <w:pPr>
                    <w:pStyle w:val="7"/>
                    <w:spacing w:after="0" w:line="300" w:lineRule="exact"/>
                    <w:ind w:left="-53" w:leftChars="-25" w:right="-53" w:rightChars="-25"/>
                    <w:jc w:val="center"/>
                    <w:rPr>
                      <w:b/>
                      <w:bCs/>
                      <w:sz w:val="18"/>
                      <w:szCs w:val="18"/>
                    </w:rPr>
                  </w:pPr>
                  <w:r>
                    <w:rPr>
                      <w:b/>
                      <w:bCs/>
                      <w:sz w:val="18"/>
                      <w:szCs w:val="18"/>
                    </w:rPr>
                    <w:t>生态</w:t>
                  </w:r>
                </w:p>
              </w:tc>
              <w:tc>
                <w:tcPr>
                  <w:tcW w:w="5617" w:type="dxa"/>
                  <w:vAlign w:val="center"/>
                </w:tcPr>
                <w:p>
                  <w:pPr>
                    <w:spacing w:line="300" w:lineRule="exact"/>
                    <w:rPr>
                      <w:b/>
                      <w:bCs/>
                      <w:sz w:val="18"/>
                      <w:szCs w:val="18"/>
                    </w:rPr>
                  </w:pPr>
                  <w:r>
                    <w:rPr>
                      <w:rFonts w:ascii="宋体" w:hAnsi="宋体"/>
                      <w:kern w:val="0"/>
                      <w:sz w:val="18"/>
                      <w:szCs w:val="18"/>
                    </w:rPr>
                    <w:t>施工期</w:t>
                  </w:r>
                  <w:r>
                    <w:rPr>
                      <w:rFonts w:hint="eastAsia" w:ascii="宋体" w:hAnsi="宋体"/>
                      <w:kern w:val="0"/>
                      <w:sz w:val="18"/>
                      <w:szCs w:val="18"/>
                    </w:rPr>
                    <w:t>管道</w:t>
                  </w:r>
                  <w:r>
                    <w:rPr>
                      <w:rFonts w:ascii="宋体" w:hAnsi="宋体"/>
                      <w:kern w:val="0"/>
                      <w:sz w:val="18"/>
                      <w:szCs w:val="18"/>
                    </w:rPr>
                    <w:t>区域</w:t>
                  </w:r>
                  <w:r>
                    <w:rPr>
                      <w:rFonts w:hint="eastAsia" w:ascii="宋体" w:hAnsi="宋体"/>
                      <w:kern w:val="0"/>
                      <w:sz w:val="18"/>
                      <w:szCs w:val="18"/>
                    </w:rPr>
                    <w:t>施工便道、施工作业带</w:t>
                  </w:r>
                  <w:r>
                    <w:rPr>
                      <w:rFonts w:ascii="宋体" w:hAnsi="宋体"/>
                      <w:kern w:val="0"/>
                      <w:sz w:val="18"/>
                      <w:szCs w:val="18"/>
                    </w:rPr>
                    <w:t>等临时占地的剥离表土、土地整治、复耕等，以及用于、挡墙建设、安装排水沟等建设。管道沿线、站场、渣场等区域植被恢复、绿化等植物措施。设置土质排水沟、临时沉砂凼、土袋挡土墙等措施。</w:t>
                  </w:r>
                </w:p>
              </w:tc>
              <w:tc>
                <w:tcPr>
                  <w:tcW w:w="743" w:type="dxa"/>
                  <w:vAlign w:val="center"/>
                </w:tcPr>
                <w:p>
                  <w:pPr>
                    <w:pStyle w:val="7"/>
                    <w:spacing w:after="0" w:line="300" w:lineRule="exact"/>
                    <w:ind w:left="-53" w:leftChars="-25" w:right="-53" w:rightChars="-25"/>
                    <w:jc w:val="center"/>
                    <w:rPr>
                      <w:bCs/>
                      <w:sz w:val="18"/>
                      <w:szCs w:val="18"/>
                    </w:rPr>
                  </w:pPr>
                  <w:r>
                    <w:rPr>
                      <w:rFonts w:hint="eastAsia"/>
                      <w:bCs/>
                      <w:sz w:val="18"/>
                      <w:szCs w:val="18"/>
                    </w:rPr>
                    <w:t>120.0</w:t>
                  </w:r>
                </w:p>
              </w:tc>
              <w:tc>
                <w:tcPr>
                  <w:tcW w:w="707" w:type="dxa"/>
                  <w:vAlign w:val="center"/>
                </w:tcPr>
                <w:p>
                  <w:pPr>
                    <w:pStyle w:val="7"/>
                    <w:spacing w:after="0" w:line="300" w:lineRule="exact"/>
                    <w:ind w:left="-53" w:leftChars="-25" w:right="-53" w:rightChars="-25"/>
                    <w:jc w:val="center"/>
                    <w:rPr>
                      <w:bCs/>
                      <w:sz w:val="18"/>
                      <w:szCs w:val="18"/>
                    </w:rPr>
                  </w:pPr>
                  <w:r>
                    <w:rPr>
                      <w:rFonts w:hint="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09" w:type="dxa"/>
                  <w:vMerge w:val="restart"/>
                  <w:vAlign w:val="center"/>
                </w:tcPr>
                <w:p>
                  <w:pPr>
                    <w:spacing w:line="300" w:lineRule="exact"/>
                    <w:ind w:left="-53" w:leftChars="-25" w:right="-53" w:rightChars="-25"/>
                    <w:jc w:val="center"/>
                    <w:rPr>
                      <w:b/>
                      <w:sz w:val="18"/>
                      <w:szCs w:val="18"/>
                    </w:rPr>
                  </w:pPr>
                  <w:r>
                    <w:rPr>
                      <w:b/>
                      <w:sz w:val="18"/>
                      <w:szCs w:val="18"/>
                    </w:rPr>
                    <w:t>营运期</w:t>
                  </w:r>
                </w:p>
              </w:tc>
              <w:tc>
                <w:tcPr>
                  <w:tcW w:w="538" w:type="dxa"/>
                  <w:vAlign w:val="center"/>
                </w:tcPr>
                <w:p>
                  <w:pPr>
                    <w:spacing w:line="300" w:lineRule="exact"/>
                    <w:ind w:left="-53" w:leftChars="-25" w:right="-53" w:rightChars="-25"/>
                    <w:jc w:val="center"/>
                    <w:rPr>
                      <w:b/>
                      <w:sz w:val="18"/>
                      <w:szCs w:val="18"/>
                    </w:rPr>
                  </w:pPr>
                  <w:r>
                    <w:rPr>
                      <w:b/>
                      <w:sz w:val="18"/>
                      <w:szCs w:val="18"/>
                    </w:rPr>
                    <w:t>废气</w:t>
                  </w:r>
                </w:p>
              </w:tc>
              <w:tc>
                <w:tcPr>
                  <w:tcW w:w="5617" w:type="dxa"/>
                  <w:tcBorders>
                    <w:bottom w:val="single" w:color="auto" w:sz="4" w:space="0"/>
                  </w:tcBorders>
                  <w:vAlign w:val="center"/>
                </w:tcPr>
                <w:p>
                  <w:pPr>
                    <w:spacing w:line="300" w:lineRule="exact"/>
                    <w:rPr>
                      <w:sz w:val="18"/>
                      <w:szCs w:val="18"/>
                    </w:rPr>
                  </w:pPr>
                  <w:r>
                    <w:rPr>
                      <w:rFonts w:hint="eastAsia" w:ascii="宋体" w:hAnsi="宋体"/>
                      <w:kern w:val="0"/>
                      <w:sz w:val="18"/>
                      <w:szCs w:val="18"/>
                    </w:rPr>
                    <w:t>清管作业、分离器检修以及系统超压排放的天然气：</w:t>
                  </w:r>
                  <w:r>
                    <w:rPr>
                      <w:rFonts w:ascii="宋体" w:hAnsi="宋体"/>
                      <w:kern w:val="0"/>
                      <w:sz w:val="18"/>
                      <w:szCs w:val="18"/>
                    </w:rPr>
                    <w:t>在配气站放散区设置</w:t>
                  </w:r>
                  <w:r>
                    <w:rPr>
                      <w:rFonts w:hint="eastAsia"/>
                      <w:kern w:val="0"/>
                      <w:sz w:val="18"/>
                      <w:szCs w:val="18"/>
                    </w:rPr>
                    <w:t>25</w:t>
                  </w:r>
                  <w:r>
                    <w:rPr>
                      <w:kern w:val="0"/>
                      <w:sz w:val="18"/>
                      <w:szCs w:val="18"/>
                    </w:rPr>
                    <w:t>m</w:t>
                  </w:r>
                  <w:r>
                    <w:rPr>
                      <w:rFonts w:ascii="宋体" w:hAnsi="宋体"/>
                      <w:kern w:val="0"/>
                      <w:sz w:val="18"/>
                      <w:szCs w:val="18"/>
                    </w:rPr>
                    <w:t>高放空立管</w:t>
                  </w:r>
                </w:p>
              </w:tc>
              <w:tc>
                <w:tcPr>
                  <w:tcW w:w="743" w:type="dxa"/>
                  <w:tcBorders>
                    <w:bottom w:val="single" w:color="auto" w:sz="4" w:space="0"/>
                  </w:tcBorders>
                  <w:vAlign w:val="center"/>
                </w:tcPr>
                <w:p>
                  <w:pPr>
                    <w:pStyle w:val="7"/>
                    <w:spacing w:after="0" w:line="300" w:lineRule="exact"/>
                    <w:ind w:left="-53" w:leftChars="-25" w:right="-53" w:rightChars="-25"/>
                    <w:jc w:val="center"/>
                    <w:rPr>
                      <w:sz w:val="18"/>
                      <w:szCs w:val="18"/>
                    </w:rPr>
                  </w:pPr>
                  <w:r>
                    <w:rPr>
                      <w:rFonts w:hint="eastAsia"/>
                      <w:sz w:val="18"/>
                      <w:szCs w:val="18"/>
                    </w:rPr>
                    <w:t>25.0</w:t>
                  </w:r>
                </w:p>
              </w:tc>
              <w:tc>
                <w:tcPr>
                  <w:tcW w:w="707" w:type="dxa"/>
                  <w:tcBorders>
                    <w:bottom w:val="single" w:color="auto" w:sz="4" w:space="0"/>
                  </w:tcBorders>
                  <w:vAlign w:val="center"/>
                </w:tcPr>
                <w:p>
                  <w:pPr>
                    <w:pStyle w:val="7"/>
                    <w:spacing w:after="0" w:line="300" w:lineRule="exact"/>
                    <w:ind w:left="-53" w:leftChars="-25" w:right="-53" w:rightChars="-25"/>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09" w:type="dxa"/>
                  <w:vMerge w:val="continue"/>
                  <w:vAlign w:val="center"/>
                </w:tcPr>
                <w:p>
                  <w:pPr>
                    <w:pStyle w:val="7"/>
                    <w:spacing w:after="0" w:line="300" w:lineRule="exact"/>
                    <w:ind w:left="-53" w:leftChars="-25" w:right="-53" w:rightChars="-25"/>
                    <w:jc w:val="center"/>
                    <w:rPr>
                      <w:b/>
                      <w:sz w:val="18"/>
                      <w:szCs w:val="18"/>
                    </w:rPr>
                  </w:pPr>
                </w:p>
              </w:tc>
              <w:tc>
                <w:tcPr>
                  <w:tcW w:w="538" w:type="dxa"/>
                  <w:vMerge w:val="restart"/>
                  <w:vAlign w:val="center"/>
                </w:tcPr>
                <w:p>
                  <w:pPr>
                    <w:pStyle w:val="7"/>
                    <w:spacing w:after="0" w:line="300" w:lineRule="exact"/>
                    <w:ind w:left="-53" w:leftChars="-25" w:right="-53" w:rightChars="-25"/>
                    <w:jc w:val="center"/>
                    <w:rPr>
                      <w:b/>
                      <w:sz w:val="18"/>
                      <w:szCs w:val="18"/>
                    </w:rPr>
                  </w:pPr>
                  <w:r>
                    <w:rPr>
                      <w:b/>
                      <w:sz w:val="18"/>
                      <w:szCs w:val="18"/>
                    </w:rPr>
                    <w:t>废水</w:t>
                  </w:r>
                </w:p>
              </w:tc>
              <w:tc>
                <w:tcPr>
                  <w:tcW w:w="5617" w:type="dxa"/>
                  <w:vAlign w:val="center"/>
                </w:tcPr>
                <w:p>
                  <w:pPr>
                    <w:spacing w:line="320" w:lineRule="exact"/>
                    <w:rPr>
                      <w:sz w:val="18"/>
                      <w:szCs w:val="18"/>
                    </w:rPr>
                  </w:pPr>
                  <w:r>
                    <w:rPr>
                      <w:rFonts w:hint="eastAsia" w:ascii="宋体" w:hAnsi="宋体"/>
                      <w:kern w:val="0"/>
                      <w:sz w:val="18"/>
                      <w:szCs w:val="18"/>
                    </w:rPr>
                    <w:t>过滤器、清管接收装置的清洗废水和过滤分离器产生的残液：</w:t>
                  </w:r>
                  <w:r>
                    <w:rPr>
                      <w:rFonts w:ascii="宋体" w:hAnsi="宋体"/>
                      <w:kern w:val="0"/>
                      <w:sz w:val="18"/>
                      <w:szCs w:val="18"/>
                    </w:rPr>
                    <w:t>设排污池</w:t>
                  </w:r>
                  <w:r>
                    <w:rPr>
                      <w:rFonts w:hint="eastAsia"/>
                      <w:kern w:val="0"/>
                      <w:sz w:val="18"/>
                      <w:szCs w:val="18"/>
                    </w:rPr>
                    <w:t>(容积6m</w:t>
                  </w:r>
                  <w:r>
                    <w:rPr>
                      <w:rFonts w:hint="eastAsia"/>
                      <w:kern w:val="0"/>
                      <w:sz w:val="18"/>
                      <w:szCs w:val="18"/>
                      <w:vertAlign w:val="superscript"/>
                    </w:rPr>
                    <w:t>3</w:t>
                  </w:r>
                  <w:r>
                    <w:rPr>
                      <w:rFonts w:hint="eastAsia"/>
                      <w:kern w:val="0"/>
                      <w:sz w:val="18"/>
                      <w:szCs w:val="18"/>
                    </w:rPr>
                    <w:t>)</w:t>
                  </w:r>
                  <w:r>
                    <w:rPr>
                      <w:rFonts w:ascii="宋体" w:hAnsi="宋体"/>
                      <w:kern w:val="0"/>
                      <w:sz w:val="18"/>
                      <w:szCs w:val="18"/>
                    </w:rPr>
                    <w:t>收集，定期拉运至</w:t>
                  </w:r>
                  <w:r>
                    <w:rPr>
                      <w:rFonts w:hint="eastAsia" w:ascii="宋体" w:hAnsi="宋体"/>
                      <w:kern w:val="0"/>
                      <w:sz w:val="18"/>
                      <w:szCs w:val="18"/>
                    </w:rPr>
                    <w:t>宣汉县普光工业园区污水处理厂</w:t>
                  </w:r>
                  <w:r>
                    <w:rPr>
                      <w:rFonts w:ascii="宋体" w:hAnsi="宋体"/>
                      <w:kern w:val="0"/>
                      <w:sz w:val="18"/>
                      <w:szCs w:val="18"/>
                    </w:rPr>
                    <w:t>处理</w:t>
                  </w:r>
                </w:p>
              </w:tc>
              <w:tc>
                <w:tcPr>
                  <w:tcW w:w="743" w:type="dxa"/>
                  <w:vAlign w:val="center"/>
                </w:tcPr>
                <w:p>
                  <w:pPr>
                    <w:pStyle w:val="7"/>
                    <w:spacing w:after="0" w:line="300" w:lineRule="exact"/>
                    <w:ind w:left="-53" w:leftChars="-25" w:right="-53" w:rightChars="-25"/>
                    <w:jc w:val="center"/>
                    <w:rPr>
                      <w:sz w:val="18"/>
                      <w:szCs w:val="18"/>
                    </w:rPr>
                  </w:pPr>
                  <w:r>
                    <w:rPr>
                      <w:rFonts w:hint="eastAsia"/>
                      <w:sz w:val="18"/>
                      <w:szCs w:val="18"/>
                    </w:rPr>
                    <w:t>5.0</w:t>
                  </w:r>
                </w:p>
              </w:tc>
              <w:tc>
                <w:tcPr>
                  <w:tcW w:w="707" w:type="dxa"/>
                  <w:vAlign w:val="center"/>
                </w:tcPr>
                <w:p>
                  <w:pPr>
                    <w:pStyle w:val="7"/>
                    <w:spacing w:after="0" w:line="300" w:lineRule="exact"/>
                    <w:ind w:left="-53" w:leftChars="-25" w:right="-53" w:rightChars="-25"/>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09" w:type="dxa"/>
                  <w:vMerge w:val="continue"/>
                  <w:vAlign w:val="center"/>
                </w:tcPr>
                <w:p>
                  <w:pPr>
                    <w:pStyle w:val="7"/>
                    <w:spacing w:after="0" w:line="300" w:lineRule="exact"/>
                    <w:ind w:left="-53" w:leftChars="-25" w:right="-53" w:rightChars="-25"/>
                    <w:jc w:val="center"/>
                    <w:rPr>
                      <w:b/>
                      <w:sz w:val="18"/>
                      <w:szCs w:val="18"/>
                    </w:rPr>
                  </w:pPr>
                </w:p>
              </w:tc>
              <w:tc>
                <w:tcPr>
                  <w:tcW w:w="538" w:type="dxa"/>
                  <w:vMerge w:val="continue"/>
                  <w:vAlign w:val="center"/>
                </w:tcPr>
                <w:p>
                  <w:pPr>
                    <w:pStyle w:val="7"/>
                    <w:spacing w:after="0" w:line="300" w:lineRule="exact"/>
                    <w:ind w:left="-53" w:leftChars="-25" w:right="-53" w:rightChars="-25"/>
                    <w:jc w:val="center"/>
                    <w:rPr>
                      <w:b/>
                      <w:sz w:val="18"/>
                      <w:szCs w:val="18"/>
                    </w:rPr>
                  </w:pPr>
                </w:p>
              </w:tc>
              <w:tc>
                <w:tcPr>
                  <w:tcW w:w="5617" w:type="dxa"/>
                  <w:vAlign w:val="center"/>
                </w:tcPr>
                <w:p>
                  <w:pPr>
                    <w:spacing w:line="320" w:lineRule="exact"/>
                    <w:rPr>
                      <w:rFonts w:ascii="宋体" w:hAnsi="宋体"/>
                      <w:kern w:val="0"/>
                      <w:sz w:val="18"/>
                      <w:szCs w:val="18"/>
                    </w:rPr>
                  </w:pPr>
                  <w:r>
                    <w:rPr>
                      <w:rFonts w:ascii="宋体" w:hAnsi="宋体"/>
                      <w:kern w:val="0"/>
                      <w:sz w:val="18"/>
                      <w:szCs w:val="18"/>
                    </w:rPr>
                    <w:t>生活污水：</w:t>
                  </w:r>
                  <w:r>
                    <w:rPr>
                      <w:rFonts w:hint="eastAsia" w:ascii="宋体" w:hAnsi="宋体"/>
                      <w:kern w:val="0"/>
                      <w:sz w:val="18"/>
                      <w:szCs w:val="18"/>
                    </w:rPr>
                    <w:t>修建1个初沉池</w:t>
                  </w:r>
                  <w:r>
                    <w:rPr>
                      <w:rFonts w:hint="eastAsia"/>
                      <w:kern w:val="0"/>
                      <w:sz w:val="18"/>
                      <w:szCs w:val="18"/>
                    </w:rPr>
                    <w:t>(容积10m</w:t>
                  </w:r>
                  <w:r>
                    <w:rPr>
                      <w:rFonts w:hint="eastAsia"/>
                      <w:kern w:val="0"/>
                      <w:sz w:val="18"/>
                      <w:szCs w:val="18"/>
                      <w:vertAlign w:val="superscript"/>
                    </w:rPr>
                    <w:t>3</w:t>
                  </w:r>
                  <w:r>
                    <w:rPr>
                      <w:rFonts w:hint="eastAsia"/>
                      <w:kern w:val="0"/>
                      <w:sz w:val="18"/>
                      <w:szCs w:val="18"/>
                    </w:rPr>
                    <w:t>) 和隔油池1个(1.0m</w:t>
                  </w:r>
                  <w:r>
                    <w:rPr>
                      <w:rFonts w:hint="eastAsia"/>
                      <w:kern w:val="0"/>
                      <w:sz w:val="18"/>
                      <w:szCs w:val="18"/>
                      <w:vertAlign w:val="superscript"/>
                    </w:rPr>
                    <w:t>3</w:t>
                  </w:r>
                  <w:r>
                    <w:rPr>
                      <w:rFonts w:hint="eastAsia"/>
                      <w:kern w:val="0"/>
                      <w:sz w:val="18"/>
                      <w:szCs w:val="18"/>
                    </w:rPr>
                    <w:t>)</w:t>
                  </w:r>
                  <w:r>
                    <w:rPr>
                      <w:rFonts w:hint="eastAsia" w:ascii="宋体" w:hAnsi="宋体"/>
                      <w:kern w:val="0"/>
                      <w:sz w:val="18"/>
                      <w:szCs w:val="18"/>
                    </w:rPr>
                    <w:t>，食堂含油废水先经隔油池处理后再与其他生活污水进入初沉池处理后，定期由附近农户清运做农肥，后期直接排入园区污水管网，进入园区污水处理厂处理后达标排放</w:t>
                  </w:r>
                </w:p>
              </w:tc>
              <w:tc>
                <w:tcPr>
                  <w:tcW w:w="743" w:type="dxa"/>
                  <w:vAlign w:val="center"/>
                </w:tcPr>
                <w:p>
                  <w:pPr>
                    <w:pStyle w:val="7"/>
                    <w:spacing w:after="0" w:line="300" w:lineRule="exact"/>
                    <w:ind w:left="-53" w:leftChars="-25" w:right="-53" w:rightChars="-25"/>
                    <w:jc w:val="center"/>
                    <w:rPr>
                      <w:sz w:val="18"/>
                      <w:szCs w:val="18"/>
                    </w:rPr>
                  </w:pPr>
                  <w:r>
                    <w:rPr>
                      <w:rFonts w:hint="eastAsia"/>
                      <w:sz w:val="18"/>
                      <w:szCs w:val="18"/>
                    </w:rPr>
                    <w:t>5.0</w:t>
                  </w:r>
                </w:p>
              </w:tc>
              <w:tc>
                <w:tcPr>
                  <w:tcW w:w="707" w:type="dxa"/>
                  <w:vAlign w:val="center"/>
                </w:tcPr>
                <w:p>
                  <w:pPr>
                    <w:pStyle w:val="7"/>
                    <w:spacing w:after="0" w:line="300" w:lineRule="exact"/>
                    <w:ind w:left="-53" w:leftChars="-25" w:right="-53" w:rightChars="-25"/>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309" w:type="dxa"/>
                  <w:vMerge w:val="continue"/>
                  <w:vAlign w:val="center"/>
                </w:tcPr>
                <w:p>
                  <w:pPr>
                    <w:spacing w:line="300" w:lineRule="exact"/>
                    <w:ind w:left="-53" w:leftChars="-25" w:right="-53" w:rightChars="-25"/>
                    <w:jc w:val="center"/>
                    <w:rPr>
                      <w:b/>
                      <w:sz w:val="18"/>
                      <w:szCs w:val="18"/>
                    </w:rPr>
                  </w:pPr>
                </w:p>
              </w:tc>
              <w:tc>
                <w:tcPr>
                  <w:tcW w:w="538" w:type="dxa"/>
                  <w:vAlign w:val="center"/>
                </w:tcPr>
                <w:p>
                  <w:pPr>
                    <w:spacing w:line="300" w:lineRule="exact"/>
                    <w:ind w:left="-53" w:leftChars="-25" w:right="-53" w:rightChars="-25"/>
                    <w:jc w:val="center"/>
                    <w:rPr>
                      <w:b/>
                      <w:sz w:val="18"/>
                      <w:szCs w:val="18"/>
                    </w:rPr>
                  </w:pPr>
                  <w:r>
                    <w:rPr>
                      <w:b/>
                      <w:sz w:val="18"/>
                      <w:szCs w:val="18"/>
                    </w:rPr>
                    <w:t>噪声</w:t>
                  </w:r>
                </w:p>
              </w:tc>
              <w:tc>
                <w:tcPr>
                  <w:tcW w:w="5617" w:type="dxa"/>
                  <w:vAlign w:val="center"/>
                </w:tcPr>
                <w:p>
                  <w:pPr>
                    <w:spacing w:line="300" w:lineRule="exact"/>
                    <w:rPr>
                      <w:sz w:val="18"/>
                      <w:szCs w:val="18"/>
                    </w:rPr>
                  </w:pPr>
                  <w:r>
                    <w:rPr>
                      <w:rFonts w:hint="eastAsia" w:ascii="宋体" w:hAnsi="宋体"/>
                      <w:kern w:val="0"/>
                      <w:sz w:val="18"/>
                      <w:szCs w:val="18"/>
                    </w:rPr>
                    <w:t>站场尽量减少弯头、三通等管件，降低气流噪声；站场设备选用低噪声设备，分离器汇管采取放大管径，降低流速等；放空时减压、控制流速。</w:t>
                  </w:r>
                  <w:r>
                    <w:rPr>
                      <w:rFonts w:ascii="宋体" w:hAnsi="宋体"/>
                      <w:kern w:val="0"/>
                      <w:sz w:val="18"/>
                      <w:szCs w:val="18"/>
                    </w:rPr>
                    <w:t>选用低噪声设备、厂房隔声，设置消声器，使设备与地面进行软连接</w:t>
                  </w:r>
                </w:p>
              </w:tc>
              <w:tc>
                <w:tcPr>
                  <w:tcW w:w="743" w:type="dxa"/>
                  <w:vAlign w:val="center"/>
                </w:tcPr>
                <w:p>
                  <w:pPr>
                    <w:pStyle w:val="7"/>
                    <w:spacing w:after="0" w:line="300" w:lineRule="exact"/>
                    <w:ind w:left="-53" w:leftChars="-25" w:right="-53" w:rightChars="-25"/>
                    <w:jc w:val="center"/>
                    <w:rPr>
                      <w:sz w:val="18"/>
                      <w:szCs w:val="18"/>
                    </w:rPr>
                  </w:pPr>
                  <w:r>
                    <w:rPr>
                      <w:rFonts w:hint="eastAsia"/>
                      <w:sz w:val="18"/>
                      <w:szCs w:val="18"/>
                    </w:rPr>
                    <w:t>5.5</w:t>
                  </w:r>
                </w:p>
              </w:tc>
              <w:tc>
                <w:tcPr>
                  <w:tcW w:w="707" w:type="dxa"/>
                  <w:vAlign w:val="center"/>
                </w:tcPr>
                <w:p>
                  <w:pPr>
                    <w:pStyle w:val="7"/>
                    <w:spacing w:after="0" w:line="300" w:lineRule="exact"/>
                    <w:ind w:left="-53" w:leftChars="-25" w:right="-53" w:rightChars="-25"/>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309" w:type="dxa"/>
                  <w:vMerge w:val="continue"/>
                  <w:vAlign w:val="center"/>
                </w:tcPr>
                <w:p>
                  <w:pPr>
                    <w:pStyle w:val="7"/>
                    <w:spacing w:after="0" w:line="300" w:lineRule="exact"/>
                    <w:ind w:left="-53" w:leftChars="-25" w:right="-53" w:rightChars="-25"/>
                    <w:jc w:val="center"/>
                    <w:rPr>
                      <w:b/>
                      <w:sz w:val="18"/>
                      <w:szCs w:val="18"/>
                    </w:rPr>
                  </w:pPr>
                </w:p>
              </w:tc>
              <w:tc>
                <w:tcPr>
                  <w:tcW w:w="538" w:type="dxa"/>
                  <w:vMerge w:val="restart"/>
                  <w:vAlign w:val="center"/>
                </w:tcPr>
                <w:p>
                  <w:pPr>
                    <w:pStyle w:val="7"/>
                    <w:spacing w:after="0" w:line="300" w:lineRule="exact"/>
                    <w:ind w:left="-53" w:leftChars="-25" w:right="-53" w:rightChars="-25"/>
                    <w:jc w:val="center"/>
                    <w:rPr>
                      <w:b/>
                      <w:sz w:val="18"/>
                      <w:szCs w:val="18"/>
                    </w:rPr>
                  </w:pPr>
                  <w:r>
                    <w:rPr>
                      <w:b/>
                      <w:sz w:val="18"/>
                      <w:szCs w:val="18"/>
                    </w:rPr>
                    <w:t>固废</w:t>
                  </w:r>
                </w:p>
              </w:tc>
              <w:tc>
                <w:tcPr>
                  <w:tcW w:w="5617" w:type="dxa"/>
                  <w:vAlign w:val="center"/>
                </w:tcPr>
                <w:p>
                  <w:pPr>
                    <w:spacing w:line="300" w:lineRule="exact"/>
                    <w:rPr>
                      <w:rFonts w:hAnsi="宋体"/>
                      <w:sz w:val="18"/>
                      <w:szCs w:val="18"/>
                    </w:rPr>
                  </w:pPr>
                  <w:r>
                    <w:rPr>
                      <w:rFonts w:hint="eastAsia" w:hAnsi="宋体"/>
                      <w:sz w:val="18"/>
                      <w:szCs w:val="18"/>
                    </w:rPr>
                    <w:t>清管、分离器检修产生的少量固体废渣，采用专用容积收集存放，最终交由专业单位收集处理</w:t>
                  </w:r>
                </w:p>
              </w:tc>
              <w:tc>
                <w:tcPr>
                  <w:tcW w:w="743" w:type="dxa"/>
                  <w:vAlign w:val="center"/>
                </w:tcPr>
                <w:p>
                  <w:pPr>
                    <w:pStyle w:val="7"/>
                    <w:spacing w:after="0" w:line="300" w:lineRule="exact"/>
                    <w:ind w:left="-53" w:leftChars="-25" w:right="-53" w:rightChars="-25"/>
                    <w:jc w:val="center"/>
                    <w:rPr>
                      <w:sz w:val="18"/>
                      <w:szCs w:val="18"/>
                    </w:rPr>
                  </w:pPr>
                  <w:r>
                    <w:rPr>
                      <w:rFonts w:hint="eastAsia"/>
                      <w:sz w:val="18"/>
                      <w:szCs w:val="18"/>
                    </w:rPr>
                    <w:t>1.5</w:t>
                  </w:r>
                </w:p>
              </w:tc>
              <w:tc>
                <w:tcPr>
                  <w:tcW w:w="707" w:type="dxa"/>
                  <w:vAlign w:val="center"/>
                </w:tcPr>
                <w:p>
                  <w:pPr>
                    <w:pStyle w:val="7"/>
                    <w:spacing w:after="0" w:line="300" w:lineRule="exact"/>
                    <w:ind w:left="-53" w:leftChars="-25" w:right="-53" w:rightChars="-25"/>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309" w:type="dxa"/>
                  <w:vMerge w:val="continue"/>
                  <w:vAlign w:val="center"/>
                </w:tcPr>
                <w:p>
                  <w:pPr>
                    <w:pStyle w:val="7"/>
                    <w:spacing w:after="0" w:line="300" w:lineRule="exact"/>
                    <w:ind w:left="-53" w:leftChars="-25" w:right="-53" w:rightChars="-25"/>
                    <w:jc w:val="center"/>
                    <w:rPr>
                      <w:b/>
                      <w:sz w:val="18"/>
                      <w:szCs w:val="18"/>
                    </w:rPr>
                  </w:pPr>
                </w:p>
              </w:tc>
              <w:tc>
                <w:tcPr>
                  <w:tcW w:w="538" w:type="dxa"/>
                  <w:vMerge w:val="continue"/>
                  <w:vAlign w:val="center"/>
                </w:tcPr>
                <w:p>
                  <w:pPr>
                    <w:pStyle w:val="7"/>
                    <w:spacing w:after="0" w:line="300" w:lineRule="exact"/>
                    <w:ind w:left="-53" w:leftChars="-25" w:right="-53" w:rightChars="-25"/>
                    <w:jc w:val="center"/>
                    <w:rPr>
                      <w:b/>
                      <w:sz w:val="18"/>
                      <w:szCs w:val="18"/>
                    </w:rPr>
                  </w:pPr>
                </w:p>
              </w:tc>
              <w:tc>
                <w:tcPr>
                  <w:tcW w:w="5617" w:type="dxa"/>
                  <w:vAlign w:val="center"/>
                </w:tcPr>
                <w:p>
                  <w:pPr>
                    <w:spacing w:line="300" w:lineRule="exact"/>
                    <w:rPr>
                      <w:rFonts w:ascii="宋体" w:hAnsi="宋体"/>
                      <w:kern w:val="0"/>
                      <w:sz w:val="18"/>
                      <w:szCs w:val="18"/>
                    </w:rPr>
                  </w:pPr>
                  <w:r>
                    <w:rPr>
                      <w:rFonts w:hint="eastAsia" w:ascii="宋体" w:hAnsi="宋体"/>
                      <w:kern w:val="0"/>
                      <w:sz w:val="18"/>
                      <w:szCs w:val="18"/>
                    </w:rPr>
                    <w:t>废滤芯、废油漆桶、废润滑油等属于危险废物，设置危废暂存间1个，建筑面积约10m</w:t>
                  </w:r>
                  <w:r>
                    <w:rPr>
                      <w:rFonts w:hint="eastAsia" w:ascii="宋体" w:hAnsi="宋体"/>
                      <w:kern w:val="0"/>
                      <w:sz w:val="18"/>
                      <w:szCs w:val="18"/>
                      <w:vertAlign w:val="superscript"/>
                    </w:rPr>
                    <w:t>2</w:t>
                  </w:r>
                  <w:r>
                    <w:rPr>
                      <w:rFonts w:hint="eastAsia" w:ascii="宋体" w:hAnsi="宋体"/>
                      <w:kern w:val="0"/>
                      <w:sz w:val="18"/>
                      <w:szCs w:val="18"/>
                    </w:rPr>
                    <w:t>，采取“四防”措施。暂存间内设危废收集容器、分类暂存，设置警示标示、建立管理台账，严格执行危险废物转移联单制度，委托有资质的单位定期回收处置</w:t>
                  </w:r>
                </w:p>
              </w:tc>
              <w:tc>
                <w:tcPr>
                  <w:tcW w:w="743" w:type="dxa"/>
                  <w:vAlign w:val="center"/>
                </w:tcPr>
                <w:p>
                  <w:pPr>
                    <w:pStyle w:val="7"/>
                    <w:spacing w:after="0" w:line="300" w:lineRule="exact"/>
                    <w:ind w:left="-53" w:leftChars="-25" w:right="-53" w:rightChars="-25"/>
                    <w:jc w:val="center"/>
                    <w:rPr>
                      <w:sz w:val="18"/>
                      <w:szCs w:val="18"/>
                    </w:rPr>
                  </w:pPr>
                  <w:r>
                    <w:rPr>
                      <w:rFonts w:hint="eastAsia"/>
                      <w:sz w:val="18"/>
                      <w:szCs w:val="18"/>
                    </w:rPr>
                    <w:t>2.0</w:t>
                  </w:r>
                </w:p>
              </w:tc>
              <w:tc>
                <w:tcPr>
                  <w:tcW w:w="707" w:type="dxa"/>
                  <w:vAlign w:val="center"/>
                </w:tcPr>
                <w:p>
                  <w:pPr>
                    <w:pStyle w:val="7"/>
                    <w:spacing w:after="0" w:line="300" w:lineRule="exact"/>
                    <w:ind w:left="-53" w:leftChars="-25" w:right="-53" w:rightChars="-25"/>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309" w:type="dxa"/>
                  <w:vMerge w:val="continue"/>
                  <w:vAlign w:val="center"/>
                </w:tcPr>
                <w:p>
                  <w:pPr>
                    <w:pStyle w:val="7"/>
                    <w:spacing w:after="0" w:line="300" w:lineRule="exact"/>
                    <w:ind w:left="-53" w:leftChars="-25" w:right="-53" w:rightChars="-25"/>
                    <w:jc w:val="center"/>
                    <w:rPr>
                      <w:b/>
                      <w:sz w:val="18"/>
                      <w:szCs w:val="18"/>
                    </w:rPr>
                  </w:pPr>
                </w:p>
              </w:tc>
              <w:tc>
                <w:tcPr>
                  <w:tcW w:w="538" w:type="dxa"/>
                  <w:vMerge w:val="continue"/>
                  <w:vAlign w:val="center"/>
                </w:tcPr>
                <w:p>
                  <w:pPr>
                    <w:pStyle w:val="7"/>
                    <w:spacing w:after="0" w:line="300" w:lineRule="exact"/>
                    <w:ind w:left="-53" w:leftChars="-25" w:right="-53" w:rightChars="-25"/>
                    <w:jc w:val="center"/>
                    <w:rPr>
                      <w:b/>
                      <w:sz w:val="18"/>
                      <w:szCs w:val="18"/>
                    </w:rPr>
                  </w:pPr>
                </w:p>
              </w:tc>
              <w:tc>
                <w:tcPr>
                  <w:tcW w:w="5617" w:type="dxa"/>
                  <w:vAlign w:val="center"/>
                </w:tcPr>
                <w:p>
                  <w:pPr>
                    <w:spacing w:line="300" w:lineRule="exact"/>
                    <w:rPr>
                      <w:rFonts w:ascii="宋体" w:hAnsi="宋体"/>
                      <w:kern w:val="0"/>
                      <w:sz w:val="18"/>
                      <w:szCs w:val="18"/>
                    </w:rPr>
                  </w:pPr>
                  <w:r>
                    <w:rPr>
                      <w:rFonts w:hint="eastAsia" w:ascii="宋体" w:hAnsi="宋体"/>
                      <w:kern w:val="0"/>
                      <w:sz w:val="18"/>
                      <w:szCs w:val="18"/>
                    </w:rPr>
                    <w:t>生活垃圾：袋装收集后由当地环卫部门统一收集处理</w:t>
                  </w:r>
                </w:p>
              </w:tc>
              <w:tc>
                <w:tcPr>
                  <w:tcW w:w="743" w:type="dxa"/>
                  <w:vAlign w:val="center"/>
                </w:tcPr>
                <w:p>
                  <w:pPr>
                    <w:pStyle w:val="7"/>
                    <w:spacing w:after="0" w:line="300" w:lineRule="exact"/>
                    <w:ind w:left="-53" w:leftChars="-25" w:right="-53" w:rightChars="-25"/>
                    <w:jc w:val="center"/>
                    <w:rPr>
                      <w:sz w:val="18"/>
                      <w:szCs w:val="18"/>
                    </w:rPr>
                  </w:pPr>
                  <w:r>
                    <w:rPr>
                      <w:rFonts w:hint="eastAsia"/>
                      <w:sz w:val="18"/>
                      <w:szCs w:val="18"/>
                    </w:rPr>
                    <w:t>1.0</w:t>
                  </w:r>
                </w:p>
              </w:tc>
              <w:tc>
                <w:tcPr>
                  <w:tcW w:w="707" w:type="dxa"/>
                  <w:vAlign w:val="center"/>
                </w:tcPr>
                <w:p>
                  <w:pPr>
                    <w:pStyle w:val="7"/>
                    <w:spacing w:after="0" w:line="300" w:lineRule="exact"/>
                    <w:ind w:left="-53" w:leftChars="-25" w:right="-53" w:rightChars="-25"/>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309" w:type="dxa"/>
                  <w:vMerge w:val="continue"/>
                  <w:vAlign w:val="center"/>
                </w:tcPr>
                <w:p>
                  <w:pPr>
                    <w:pStyle w:val="7"/>
                    <w:spacing w:after="0" w:line="300" w:lineRule="exact"/>
                    <w:ind w:left="-53" w:leftChars="-25" w:right="-53" w:rightChars="-25"/>
                    <w:jc w:val="center"/>
                    <w:rPr>
                      <w:b/>
                      <w:sz w:val="18"/>
                      <w:szCs w:val="18"/>
                    </w:rPr>
                  </w:pPr>
                </w:p>
              </w:tc>
              <w:tc>
                <w:tcPr>
                  <w:tcW w:w="538" w:type="dxa"/>
                  <w:vAlign w:val="center"/>
                </w:tcPr>
                <w:p>
                  <w:pPr>
                    <w:pStyle w:val="7"/>
                    <w:spacing w:after="0" w:line="300" w:lineRule="exact"/>
                    <w:ind w:left="-53" w:leftChars="-25" w:right="-53" w:rightChars="-25"/>
                    <w:jc w:val="center"/>
                    <w:rPr>
                      <w:b/>
                      <w:sz w:val="18"/>
                      <w:szCs w:val="18"/>
                    </w:rPr>
                  </w:pPr>
                  <w:r>
                    <w:rPr>
                      <w:b/>
                      <w:sz w:val="18"/>
                      <w:szCs w:val="18"/>
                    </w:rPr>
                    <w:t>地下水</w:t>
                  </w:r>
                </w:p>
              </w:tc>
              <w:tc>
                <w:tcPr>
                  <w:tcW w:w="5617" w:type="dxa"/>
                  <w:vAlign w:val="center"/>
                </w:tcPr>
                <w:p>
                  <w:pPr>
                    <w:spacing w:line="300" w:lineRule="exact"/>
                    <w:rPr>
                      <w:rFonts w:hAnsi="宋体"/>
                      <w:sz w:val="18"/>
                      <w:szCs w:val="18"/>
                    </w:rPr>
                  </w:pPr>
                  <w:r>
                    <w:rPr>
                      <w:rFonts w:ascii="宋体" w:hAnsi="宋体"/>
                      <w:kern w:val="0"/>
                      <w:sz w:val="18"/>
                      <w:szCs w:val="18"/>
                    </w:rPr>
                    <w:t>对配气站排污池、危废间等区域进行重点防渗处理，化粪池、隔油池等采取一般防渗处理，其余除绿化外为简单防渗</w:t>
                  </w:r>
                </w:p>
              </w:tc>
              <w:tc>
                <w:tcPr>
                  <w:tcW w:w="743" w:type="dxa"/>
                  <w:vAlign w:val="center"/>
                </w:tcPr>
                <w:p>
                  <w:pPr>
                    <w:pStyle w:val="7"/>
                    <w:spacing w:after="0" w:line="300" w:lineRule="exact"/>
                    <w:ind w:left="-53" w:leftChars="-25" w:right="-53" w:rightChars="-25"/>
                    <w:jc w:val="center"/>
                    <w:rPr>
                      <w:sz w:val="18"/>
                      <w:szCs w:val="18"/>
                    </w:rPr>
                  </w:pPr>
                  <w:r>
                    <w:rPr>
                      <w:rFonts w:hint="eastAsia"/>
                      <w:sz w:val="18"/>
                      <w:szCs w:val="18"/>
                    </w:rPr>
                    <w:t>12.0</w:t>
                  </w:r>
                </w:p>
              </w:tc>
              <w:tc>
                <w:tcPr>
                  <w:tcW w:w="707" w:type="dxa"/>
                  <w:vAlign w:val="center"/>
                </w:tcPr>
                <w:p>
                  <w:pPr>
                    <w:pStyle w:val="7"/>
                    <w:spacing w:after="0" w:line="300" w:lineRule="exact"/>
                    <w:ind w:left="-53" w:leftChars="-25" w:right="-53" w:rightChars="-25"/>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309" w:type="dxa"/>
                  <w:vMerge w:val="continue"/>
                  <w:vAlign w:val="center"/>
                </w:tcPr>
                <w:p>
                  <w:pPr>
                    <w:pStyle w:val="7"/>
                    <w:spacing w:after="0" w:line="300" w:lineRule="exact"/>
                    <w:ind w:left="-53" w:leftChars="-25" w:right="-53" w:rightChars="-25"/>
                    <w:jc w:val="center"/>
                    <w:rPr>
                      <w:b/>
                      <w:sz w:val="18"/>
                      <w:szCs w:val="18"/>
                    </w:rPr>
                  </w:pPr>
                </w:p>
              </w:tc>
              <w:tc>
                <w:tcPr>
                  <w:tcW w:w="538" w:type="dxa"/>
                  <w:vAlign w:val="center"/>
                </w:tcPr>
                <w:p>
                  <w:pPr>
                    <w:pStyle w:val="7"/>
                    <w:spacing w:after="0" w:line="300" w:lineRule="exact"/>
                    <w:ind w:left="-53" w:leftChars="-25" w:right="-53" w:rightChars="-25"/>
                    <w:jc w:val="center"/>
                    <w:rPr>
                      <w:b/>
                      <w:sz w:val="18"/>
                      <w:szCs w:val="18"/>
                    </w:rPr>
                  </w:pPr>
                  <w:r>
                    <w:rPr>
                      <w:b/>
                      <w:sz w:val="18"/>
                      <w:szCs w:val="18"/>
                    </w:rPr>
                    <w:t>环境风险</w:t>
                  </w:r>
                </w:p>
              </w:tc>
              <w:tc>
                <w:tcPr>
                  <w:tcW w:w="5617" w:type="dxa"/>
                  <w:vAlign w:val="center"/>
                </w:tcPr>
                <w:p>
                  <w:pPr>
                    <w:spacing w:line="300" w:lineRule="exact"/>
                    <w:ind w:left="-53" w:leftChars="-25" w:right="-53" w:rightChars="-25"/>
                    <w:rPr>
                      <w:sz w:val="18"/>
                      <w:szCs w:val="18"/>
                    </w:rPr>
                  </w:pPr>
                  <w:r>
                    <w:rPr>
                      <w:rFonts w:hint="eastAsia"/>
                      <w:sz w:val="18"/>
                      <w:szCs w:val="18"/>
                    </w:rPr>
                    <w:t>做好管道防护加固措施建设、防腐工程、阴极保护等措施。按《建筑灭火器的配置设计规范》，在工艺装置区配置消防栓、各种手提式、推车式的CO</w:t>
                  </w:r>
                  <w:r>
                    <w:rPr>
                      <w:rFonts w:hint="eastAsia"/>
                      <w:sz w:val="18"/>
                      <w:szCs w:val="18"/>
                      <w:vertAlign w:val="subscript"/>
                    </w:rPr>
                    <w:t>2</w:t>
                  </w:r>
                  <w:r>
                    <w:rPr>
                      <w:rFonts w:hint="eastAsia"/>
                      <w:sz w:val="18"/>
                      <w:szCs w:val="18"/>
                    </w:rPr>
                    <w:t>、干粉、泡沫等灭火器。安装可燃气体探测仪和烟雾报警装置</w:t>
                  </w:r>
                  <w:r>
                    <w:rPr>
                      <w:rFonts w:ascii="宋体" w:hAnsi="宋体"/>
                      <w:kern w:val="0"/>
                      <w:sz w:val="18"/>
                      <w:szCs w:val="18"/>
                    </w:rPr>
                    <w:t>制订环境风险应急预案，建立环境风险事故报警系统体系，设置防火标示牌等。</w:t>
                  </w:r>
                  <w:r>
                    <w:rPr>
                      <w:rFonts w:hint="eastAsia" w:ascii="宋体" w:hAnsi="宋体"/>
                      <w:kern w:val="0"/>
                      <w:sz w:val="18"/>
                      <w:szCs w:val="18"/>
                    </w:rPr>
                    <w:t>制订环境风险应急预案，建立环境风险事故报警系统体系，设置防火标示牌等</w:t>
                  </w:r>
                </w:p>
              </w:tc>
              <w:tc>
                <w:tcPr>
                  <w:tcW w:w="743" w:type="dxa"/>
                  <w:vAlign w:val="center"/>
                </w:tcPr>
                <w:p>
                  <w:pPr>
                    <w:pStyle w:val="7"/>
                    <w:spacing w:after="0" w:line="300" w:lineRule="exact"/>
                    <w:ind w:left="-53" w:leftChars="-25" w:right="-53" w:rightChars="-25"/>
                    <w:jc w:val="center"/>
                    <w:rPr>
                      <w:sz w:val="18"/>
                      <w:szCs w:val="18"/>
                    </w:rPr>
                  </w:pPr>
                  <w:r>
                    <w:rPr>
                      <w:sz w:val="18"/>
                      <w:szCs w:val="18"/>
                    </w:rPr>
                    <w:t>计入主体工程及管理费用</w:t>
                  </w:r>
                </w:p>
              </w:tc>
              <w:tc>
                <w:tcPr>
                  <w:tcW w:w="707" w:type="dxa"/>
                  <w:vAlign w:val="center"/>
                </w:tcPr>
                <w:p>
                  <w:pPr>
                    <w:pStyle w:val="7"/>
                    <w:spacing w:after="0" w:line="300" w:lineRule="exact"/>
                    <w:ind w:left="-53" w:leftChars="-25" w:right="-53" w:rightChars="-25"/>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309" w:type="dxa"/>
                  <w:vMerge w:val="continue"/>
                  <w:vAlign w:val="center"/>
                </w:tcPr>
                <w:p>
                  <w:pPr>
                    <w:pStyle w:val="7"/>
                    <w:spacing w:after="0" w:line="300" w:lineRule="exact"/>
                    <w:ind w:left="-53" w:leftChars="-25" w:right="-53" w:rightChars="-25"/>
                    <w:jc w:val="center"/>
                    <w:rPr>
                      <w:b/>
                      <w:sz w:val="18"/>
                      <w:szCs w:val="18"/>
                    </w:rPr>
                  </w:pPr>
                </w:p>
              </w:tc>
              <w:tc>
                <w:tcPr>
                  <w:tcW w:w="538" w:type="dxa"/>
                  <w:vAlign w:val="center"/>
                </w:tcPr>
                <w:p>
                  <w:pPr>
                    <w:pStyle w:val="7"/>
                    <w:spacing w:after="0" w:line="300" w:lineRule="exact"/>
                    <w:ind w:left="-53" w:leftChars="-25" w:right="-53" w:rightChars="-25"/>
                    <w:jc w:val="center"/>
                    <w:rPr>
                      <w:b/>
                      <w:sz w:val="18"/>
                      <w:szCs w:val="18"/>
                    </w:rPr>
                  </w:pPr>
                  <w:r>
                    <w:rPr>
                      <w:b/>
                      <w:sz w:val="18"/>
                      <w:szCs w:val="18"/>
                    </w:rPr>
                    <w:t>环境管理</w:t>
                  </w:r>
                </w:p>
              </w:tc>
              <w:tc>
                <w:tcPr>
                  <w:tcW w:w="5617" w:type="dxa"/>
                  <w:vAlign w:val="center"/>
                </w:tcPr>
                <w:p>
                  <w:pPr>
                    <w:spacing w:line="300" w:lineRule="exact"/>
                    <w:rPr>
                      <w:sz w:val="18"/>
                      <w:szCs w:val="18"/>
                    </w:rPr>
                  </w:pPr>
                  <w:r>
                    <w:rPr>
                      <w:rFonts w:ascii="宋体" w:hAnsi="宋体"/>
                      <w:kern w:val="0"/>
                      <w:sz w:val="18"/>
                      <w:szCs w:val="18"/>
                    </w:rPr>
                    <w:t>开展环保知识培训；宣传环境保护法律、法规；建设并实施环保</w:t>
                  </w:r>
                  <w:r>
                    <w:rPr>
                      <w:rFonts w:hint="eastAsia" w:ascii="宋体" w:hAnsi="宋体"/>
                      <w:kern w:val="0"/>
                      <w:sz w:val="18"/>
                      <w:szCs w:val="18"/>
                    </w:rPr>
                    <w:t>“</w:t>
                  </w:r>
                  <w:r>
                    <w:rPr>
                      <w:rFonts w:ascii="宋体" w:hAnsi="宋体"/>
                      <w:kern w:val="0"/>
                      <w:sz w:val="18"/>
                      <w:szCs w:val="18"/>
                    </w:rPr>
                    <w:t>三同时</w:t>
                  </w:r>
                  <w:r>
                    <w:rPr>
                      <w:rFonts w:hint="eastAsia" w:ascii="宋体" w:hAnsi="宋体"/>
                      <w:kern w:val="0"/>
                      <w:sz w:val="18"/>
                      <w:szCs w:val="18"/>
                    </w:rPr>
                    <w:t>”</w:t>
                  </w:r>
                  <w:r>
                    <w:rPr>
                      <w:rFonts w:ascii="宋体" w:hAnsi="宋体"/>
                      <w:kern w:val="0"/>
                      <w:sz w:val="18"/>
                      <w:szCs w:val="18"/>
                    </w:rPr>
                    <w:t>制度</w:t>
                  </w:r>
                </w:p>
              </w:tc>
              <w:tc>
                <w:tcPr>
                  <w:tcW w:w="743" w:type="dxa"/>
                  <w:vAlign w:val="center"/>
                </w:tcPr>
                <w:p>
                  <w:pPr>
                    <w:pStyle w:val="7"/>
                    <w:spacing w:after="0" w:line="300" w:lineRule="exact"/>
                    <w:ind w:left="-53" w:leftChars="-25" w:right="-53" w:rightChars="-25"/>
                    <w:jc w:val="center"/>
                    <w:rPr>
                      <w:sz w:val="18"/>
                      <w:szCs w:val="18"/>
                    </w:rPr>
                  </w:pPr>
                  <w:r>
                    <w:rPr>
                      <w:rFonts w:hint="eastAsia"/>
                      <w:sz w:val="18"/>
                      <w:szCs w:val="18"/>
                    </w:rPr>
                    <w:t>20.0</w:t>
                  </w:r>
                </w:p>
              </w:tc>
              <w:tc>
                <w:tcPr>
                  <w:tcW w:w="707" w:type="dxa"/>
                  <w:vAlign w:val="center"/>
                </w:tcPr>
                <w:p>
                  <w:pPr>
                    <w:pStyle w:val="7"/>
                    <w:spacing w:after="0" w:line="300" w:lineRule="exact"/>
                    <w:ind w:left="-53" w:leftChars="-25" w:right="-53" w:rightChars="-25"/>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6464" w:type="dxa"/>
                  <w:gridSpan w:val="3"/>
                  <w:vAlign w:val="center"/>
                </w:tcPr>
                <w:p>
                  <w:pPr>
                    <w:pStyle w:val="7"/>
                    <w:spacing w:after="0" w:line="300" w:lineRule="exact"/>
                    <w:ind w:left="-53" w:leftChars="-25" w:right="-53" w:rightChars="-25"/>
                    <w:jc w:val="center"/>
                    <w:rPr>
                      <w:b/>
                      <w:sz w:val="18"/>
                      <w:szCs w:val="18"/>
                    </w:rPr>
                  </w:pPr>
                  <w:r>
                    <w:rPr>
                      <w:b/>
                      <w:sz w:val="18"/>
                      <w:szCs w:val="18"/>
                    </w:rPr>
                    <w:t>合计</w:t>
                  </w:r>
                </w:p>
              </w:tc>
              <w:tc>
                <w:tcPr>
                  <w:tcW w:w="743" w:type="dxa"/>
                  <w:vAlign w:val="center"/>
                </w:tcPr>
                <w:p>
                  <w:pPr>
                    <w:pStyle w:val="7"/>
                    <w:spacing w:after="0" w:line="300" w:lineRule="exact"/>
                    <w:ind w:left="-53" w:leftChars="-25" w:right="-53" w:rightChars="-25"/>
                    <w:jc w:val="center"/>
                    <w:rPr>
                      <w:sz w:val="18"/>
                      <w:szCs w:val="18"/>
                    </w:rPr>
                  </w:pPr>
                  <w:r>
                    <w:rPr>
                      <w:rFonts w:hint="eastAsia"/>
                      <w:sz w:val="18"/>
                      <w:szCs w:val="18"/>
                    </w:rPr>
                    <w:t>233</w:t>
                  </w:r>
                </w:p>
              </w:tc>
              <w:tc>
                <w:tcPr>
                  <w:tcW w:w="707" w:type="dxa"/>
                  <w:vAlign w:val="center"/>
                </w:tcPr>
                <w:p>
                  <w:pPr>
                    <w:pStyle w:val="7"/>
                    <w:spacing w:after="0" w:line="300" w:lineRule="exact"/>
                    <w:ind w:left="-53" w:leftChars="-25" w:right="-53" w:rightChars="-25"/>
                    <w:jc w:val="center"/>
                    <w:rPr>
                      <w:sz w:val="18"/>
                      <w:szCs w:val="18"/>
                    </w:rPr>
                  </w:pPr>
                  <w:r>
                    <w:rPr>
                      <w:rFonts w:hint="eastAsia"/>
                      <w:sz w:val="18"/>
                      <w:szCs w:val="18"/>
                    </w:rPr>
                    <w:t>3.17%</w:t>
                  </w:r>
                </w:p>
              </w:tc>
            </w:tr>
          </w:tbl>
          <w:p>
            <w:pPr>
              <w:adjustRightInd w:val="0"/>
              <w:snapToGrid w:val="0"/>
              <w:rPr>
                <w:rFonts w:ascii="宋体" w:hAnsi="宋体" w:cs="宋体"/>
                <w:bCs/>
                <w:spacing w:val="10"/>
                <w:szCs w:val="21"/>
              </w:rPr>
            </w:pPr>
          </w:p>
          <w:p>
            <w:pPr>
              <w:pStyle w:val="2"/>
              <w:rPr>
                <w:rFonts w:ascii="宋体" w:hAnsi="宋体" w:cs="宋体"/>
                <w:bCs/>
                <w:spacing w:val="10"/>
                <w:szCs w:val="21"/>
              </w:rPr>
            </w:pPr>
          </w:p>
          <w:p>
            <w:pPr>
              <w:pStyle w:val="2"/>
              <w:spacing w:after="0" w:line="100" w:lineRule="exact"/>
              <w:rPr>
                <w:rFonts w:ascii="宋体" w:hAnsi="宋体" w:cs="宋体"/>
                <w:bCs/>
                <w:spacing w:val="10"/>
                <w:szCs w:val="21"/>
              </w:rPr>
            </w:pPr>
          </w:p>
          <w:p>
            <w:pPr>
              <w:pStyle w:val="2"/>
              <w:spacing w:after="0" w:line="100" w:lineRule="exact"/>
              <w:rPr>
                <w:rFonts w:ascii="宋体" w:hAnsi="宋体" w:cs="宋体"/>
                <w:bCs/>
                <w:spacing w:val="10"/>
                <w:szCs w:val="21"/>
              </w:rPr>
            </w:pPr>
          </w:p>
          <w:p>
            <w:pPr>
              <w:pStyle w:val="2"/>
              <w:spacing w:after="0" w:line="100" w:lineRule="exact"/>
              <w:rPr>
                <w:rFonts w:ascii="宋体" w:hAnsi="宋体" w:cs="宋体"/>
                <w:bCs/>
                <w:spacing w:val="10"/>
                <w:szCs w:val="21"/>
              </w:rPr>
            </w:pPr>
          </w:p>
          <w:p>
            <w:pPr>
              <w:pStyle w:val="2"/>
              <w:spacing w:after="0" w:line="100" w:lineRule="exact"/>
              <w:rPr>
                <w:rFonts w:ascii="宋体" w:hAnsi="宋体" w:cs="宋体"/>
                <w:bCs/>
                <w:spacing w:val="10"/>
                <w:szCs w:val="21"/>
              </w:rPr>
            </w:pPr>
          </w:p>
          <w:p>
            <w:pPr>
              <w:adjustRightInd w:val="0"/>
              <w:snapToGrid w:val="0"/>
              <w:spacing w:line="100" w:lineRule="exact"/>
              <w:rPr>
                <w:rFonts w:ascii="宋体" w:hAnsi="宋体" w:cs="宋体"/>
                <w:bCs/>
                <w:spacing w:val="10"/>
                <w:szCs w:val="21"/>
              </w:rPr>
            </w:pPr>
          </w:p>
        </w:tc>
      </w:tr>
    </w:tbl>
    <w:p>
      <w:pPr>
        <w:sectPr>
          <w:pgSz w:w="11907" w:h="16840"/>
          <w:pgMar w:top="1701" w:right="1531" w:bottom="1701" w:left="1531" w:header="851" w:footer="1077" w:gutter="0"/>
          <w:pgNumType w:fmt="numberInDash"/>
          <w:cols w:space="425" w:num="1"/>
          <w:docGrid w:linePitch="312" w:charSpace="0"/>
        </w:sectPr>
      </w:pPr>
    </w:p>
    <w:p>
      <w:pPr>
        <w:pStyle w:val="14"/>
        <w:jc w:val="center"/>
        <w:outlineLvl w:val="0"/>
        <w:rPr>
          <w:rFonts w:ascii="黑体" w:hAnsi="黑体" w:eastAsia="黑体"/>
          <w:snapToGrid w:val="0"/>
          <w:sz w:val="30"/>
          <w:szCs w:val="30"/>
        </w:rPr>
      </w:pPr>
      <w:r>
        <w:rPr>
          <w:rFonts w:hint="eastAsia" w:ascii="黑体" w:hAnsi="黑体" w:eastAsia="黑体"/>
          <w:snapToGrid w:val="0"/>
          <w:sz w:val="30"/>
          <w:szCs w:val="30"/>
        </w:rPr>
        <w:t>六、生态环境保护措施监督检查清单</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793"/>
        <w:gridCol w:w="3220"/>
        <w:gridCol w:w="1176"/>
        <w:gridCol w:w="4110"/>
        <w:gridCol w:w="18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Merge w:val="restart"/>
            <w:tcBorders>
              <w:tl2br w:val="single" w:color="auto" w:sz="4" w:space="0"/>
            </w:tcBorders>
          </w:tcPr>
          <w:p>
            <w:pPr>
              <w:pStyle w:val="14"/>
              <w:adjustRightInd w:val="0"/>
              <w:snapToGrid w:val="0"/>
              <w:spacing w:before="72" w:beforeLines="30" w:beforeAutospacing="0" w:after="0" w:afterAutospacing="0"/>
              <w:jc w:val="center"/>
              <w:outlineLvl w:val="0"/>
              <w:rPr>
                <w:rFonts w:ascii="黑体" w:hAnsi="黑体" w:eastAsia="黑体" w:cs="宋体"/>
                <w:kern w:val="2"/>
                <w:sz w:val="21"/>
                <w:szCs w:val="21"/>
              </w:rPr>
            </w:pPr>
            <w:r>
              <w:rPr>
                <w:rFonts w:hint="eastAsia" w:ascii="黑体" w:hAnsi="黑体" w:eastAsia="黑体" w:cs="宋体"/>
                <w:kern w:val="2"/>
                <w:sz w:val="21"/>
                <w:szCs w:val="21"/>
              </w:rPr>
              <w:t xml:space="preserve">                    内容</w:t>
            </w:r>
          </w:p>
          <w:p>
            <w:pPr>
              <w:pStyle w:val="14"/>
              <w:adjustRightInd w:val="0"/>
              <w:snapToGrid w:val="0"/>
              <w:spacing w:before="0" w:beforeAutospacing="0" w:after="0" w:afterAutospacing="0" w:line="14" w:lineRule="auto"/>
              <w:outlineLvl w:val="0"/>
              <w:rPr>
                <w:rFonts w:ascii="黑体" w:hAnsi="黑体" w:eastAsia="黑体" w:cs="宋体"/>
                <w:kern w:val="2"/>
                <w:sz w:val="135"/>
                <w:szCs w:val="21"/>
              </w:rPr>
            </w:pPr>
            <w:r>
              <w:rPr>
                <w:rFonts w:hint="eastAsia" w:ascii="黑体" w:hAnsi="黑体" w:eastAsia="黑体" w:cs="宋体"/>
                <w:kern w:val="2"/>
                <w:sz w:val="21"/>
                <w:szCs w:val="21"/>
              </w:rPr>
              <w:t xml:space="preserve"> </w:t>
            </w:r>
            <w:r>
              <w:rPr>
                <w:rFonts w:hint="eastAsia" w:ascii="黑体" w:hAnsi="黑体" w:eastAsia="黑体" w:cs="宋体"/>
                <w:kern w:val="2"/>
                <w:sz w:val="135"/>
                <w:szCs w:val="21"/>
              </w:rPr>
              <w:t xml:space="preserve"> </w:t>
            </w:r>
          </w:p>
          <w:p>
            <w:pPr>
              <w:pStyle w:val="14"/>
              <w:adjustRightInd w:val="0"/>
              <w:snapToGrid w:val="0"/>
              <w:spacing w:before="0" w:beforeAutospacing="0" w:after="0" w:afterAutospacing="0"/>
              <w:outlineLvl w:val="0"/>
              <w:rPr>
                <w:rFonts w:ascii="黑体" w:hAnsi="黑体" w:eastAsia="黑体" w:cs="宋体"/>
                <w:kern w:val="2"/>
                <w:sz w:val="21"/>
                <w:szCs w:val="21"/>
              </w:rPr>
            </w:pPr>
            <w:r>
              <w:rPr>
                <w:rFonts w:hint="eastAsia" w:ascii="黑体" w:hAnsi="黑体" w:eastAsia="黑体" w:cs="宋体"/>
                <w:kern w:val="2"/>
                <w:sz w:val="21"/>
                <w:szCs w:val="21"/>
              </w:rPr>
              <w:t>要素</w:t>
            </w:r>
          </w:p>
        </w:tc>
        <w:tc>
          <w:tcPr>
            <w:tcW w:w="1551" w:type="pct"/>
            <w:gridSpan w:val="2"/>
            <w:vAlign w:val="center"/>
          </w:tcPr>
          <w:p>
            <w:pPr>
              <w:pStyle w:val="14"/>
              <w:adjustRightInd w:val="0"/>
              <w:snapToGrid w:val="0"/>
              <w:spacing w:before="0" w:beforeAutospacing="0" w:after="0" w:afterAutospacing="0"/>
              <w:ind w:left="-53" w:leftChars="-25" w:right="-53" w:rightChars="-25"/>
              <w:jc w:val="center"/>
              <w:outlineLvl w:val="0"/>
              <w:rPr>
                <w:rFonts w:ascii="黑体" w:hAnsi="黑体" w:eastAsia="黑体" w:cs="宋体"/>
                <w:kern w:val="2"/>
                <w:sz w:val="21"/>
                <w:szCs w:val="21"/>
              </w:rPr>
            </w:pPr>
            <w:r>
              <w:rPr>
                <w:rFonts w:hint="eastAsia" w:ascii="黑体" w:hAnsi="黑体" w:eastAsia="黑体" w:cs="宋体"/>
                <w:kern w:val="2"/>
                <w:sz w:val="21"/>
                <w:szCs w:val="21"/>
              </w:rPr>
              <w:t>施工期</w:t>
            </w:r>
          </w:p>
        </w:tc>
        <w:tc>
          <w:tcPr>
            <w:tcW w:w="2111" w:type="pct"/>
            <w:gridSpan w:val="2"/>
            <w:vAlign w:val="center"/>
          </w:tcPr>
          <w:p>
            <w:pPr>
              <w:pStyle w:val="14"/>
              <w:adjustRightInd w:val="0"/>
              <w:snapToGrid w:val="0"/>
              <w:spacing w:before="0" w:beforeAutospacing="0" w:after="0" w:afterAutospacing="0"/>
              <w:ind w:left="-53" w:leftChars="-25" w:right="-53" w:rightChars="-25"/>
              <w:jc w:val="center"/>
              <w:outlineLvl w:val="0"/>
              <w:rPr>
                <w:rFonts w:ascii="黑体" w:hAnsi="黑体" w:eastAsia="黑体" w:cs="宋体"/>
                <w:kern w:val="2"/>
                <w:sz w:val="21"/>
                <w:szCs w:val="21"/>
              </w:rPr>
            </w:pPr>
            <w:r>
              <w:rPr>
                <w:rFonts w:hint="eastAsia" w:ascii="黑体" w:hAnsi="黑体" w:eastAsia="黑体" w:cs="宋体"/>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38" w:type="pct"/>
            <w:vMerge w:val="continue"/>
          </w:tcPr>
          <w:p>
            <w:pPr>
              <w:pStyle w:val="14"/>
              <w:adjustRightInd w:val="0"/>
              <w:snapToGrid w:val="0"/>
              <w:spacing w:before="0" w:beforeAutospacing="0" w:after="0" w:afterAutospacing="0"/>
              <w:ind w:firstLine="840"/>
              <w:jc w:val="center"/>
              <w:outlineLvl w:val="0"/>
              <w:rPr>
                <w:rFonts w:ascii="黑体" w:hAnsi="黑体" w:eastAsia="黑体" w:cs="宋体"/>
                <w:kern w:val="2"/>
                <w:sz w:val="21"/>
                <w:szCs w:val="21"/>
              </w:rPr>
            </w:pPr>
          </w:p>
        </w:tc>
        <w:tc>
          <w:tcPr>
            <w:tcW w:w="1136" w:type="pct"/>
            <w:vAlign w:val="center"/>
          </w:tcPr>
          <w:p>
            <w:pPr>
              <w:pStyle w:val="14"/>
              <w:adjustRightInd w:val="0"/>
              <w:snapToGrid w:val="0"/>
              <w:spacing w:before="0" w:beforeAutospacing="0" w:after="0" w:afterAutospacing="0"/>
              <w:jc w:val="center"/>
              <w:outlineLvl w:val="0"/>
              <w:rPr>
                <w:rFonts w:ascii="黑体" w:hAnsi="黑体" w:eastAsia="黑体" w:cs="宋体"/>
                <w:kern w:val="2"/>
                <w:sz w:val="21"/>
                <w:szCs w:val="21"/>
              </w:rPr>
            </w:pPr>
            <w:r>
              <w:rPr>
                <w:rFonts w:hint="eastAsia" w:ascii="黑体" w:hAnsi="黑体" w:eastAsia="黑体" w:cs="宋体"/>
                <w:kern w:val="2"/>
                <w:sz w:val="21"/>
                <w:szCs w:val="21"/>
              </w:rPr>
              <w:t>环境保护措施</w:t>
            </w:r>
          </w:p>
        </w:tc>
        <w:tc>
          <w:tcPr>
            <w:tcW w:w="415" w:type="pct"/>
            <w:vAlign w:val="center"/>
          </w:tcPr>
          <w:p>
            <w:pPr>
              <w:pStyle w:val="14"/>
              <w:adjustRightInd w:val="0"/>
              <w:snapToGrid w:val="0"/>
              <w:spacing w:before="0" w:beforeAutospacing="0" w:after="0" w:afterAutospacing="0"/>
              <w:ind w:left="-53" w:leftChars="-25" w:right="-53" w:rightChars="-25"/>
              <w:jc w:val="center"/>
              <w:outlineLvl w:val="0"/>
              <w:rPr>
                <w:rFonts w:ascii="黑体" w:hAnsi="黑体" w:eastAsia="黑体" w:cs="宋体"/>
                <w:kern w:val="2"/>
                <w:sz w:val="21"/>
                <w:szCs w:val="21"/>
              </w:rPr>
            </w:pPr>
            <w:r>
              <w:rPr>
                <w:rFonts w:hint="eastAsia" w:ascii="黑体" w:hAnsi="黑体" w:eastAsia="黑体" w:cs="宋体"/>
                <w:kern w:val="2"/>
                <w:sz w:val="21"/>
                <w:szCs w:val="21"/>
              </w:rPr>
              <w:t>验收要求</w:t>
            </w:r>
          </w:p>
        </w:tc>
        <w:tc>
          <w:tcPr>
            <w:tcW w:w="1450" w:type="pct"/>
            <w:vAlign w:val="center"/>
          </w:tcPr>
          <w:p>
            <w:pPr>
              <w:pStyle w:val="14"/>
              <w:adjustRightInd w:val="0"/>
              <w:snapToGrid w:val="0"/>
              <w:spacing w:before="0" w:beforeAutospacing="0" w:after="0" w:afterAutospacing="0"/>
              <w:ind w:left="-53" w:leftChars="-25" w:right="-53" w:rightChars="-25"/>
              <w:jc w:val="center"/>
              <w:outlineLvl w:val="0"/>
              <w:rPr>
                <w:rFonts w:ascii="黑体" w:hAnsi="黑体" w:eastAsia="黑体" w:cs="宋体"/>
                <w:kern w:val="2"/>
                <w:sz w:val="21"/>
                <w:szCs w:val="21"/>
              </w:rPr>
            </w:pPr>
            <w:r>
              <w:rPr>
                <w:rFonts w:hint="eastAsia" w:ascii="黑体" w:hAnsi="黑体" w:eastAsia="黑体" w:cs="宋体"/>
                <w:kern w:val="2"/>
                <w:sz w:val="21"/>
                <w:szCs w:val="21"/>
              </w:rPr>
              <w:t>环境保护措施</w:t>
            </w:r>
          </w:p>
        </w:tc>
        <w:tc>
          <w:tcPr>
            <w:tcW w:w="661" w:type="pct"/>
            <w:vAlign w:val="center"/>
          </w:tcPr>
          <w:p>
            <w:pPr>
              <w:pStyle w:val="14"/>
              <w:adjustRightInd w:val="0"/>
              <w:snapToGrid w:val="0"/>
              <w:spacing w:before="0" w:beforeAutospacing="0" w:after="0" w:afterAutospacing="0"/>
              <w:ind w:left="-53" w:leftChars="-25" w:right="-53" w:rightChars="-25"/>
              <w:jc w:val="center"/>
              <w:outlineLvl w:val="0"/>
              <w:rPr>
                <w:rFonts w:ascii="黑体" w:hAnsi="黑体" w:eastAsia="黑体" w:cs="宋体"/>
                <w:kern w:val="2"/>
                <w:sz w:val="21"/>
                <w:szCs w:val="21"/>
              </w:rPr>
            </w:pPr>
            <w:r>
              <w:rPr>
                <w:rFonts w:hint="eastAsia" w:ascii="黑体" w:hAnsi="黑体" w:eastAsia="黑体" w:cs="宋体"/>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Align w:val="center"/>
          </w:tcPr>
          <w:p>
            <w:pPr>
              <w:adjustRightInd w:val="0"/>
              <w:snapToGrid w:val="0"/>
              <w:jc w:val="center"/>
              <w:rPr>
                <w:rFonts w:ascii="宋体" w:hAnsi="宋体" w:cs="宋体"/>
                <w:szCs w:val="21"/>
              </w:rPr>
            </w:pPr>
            <w:r>
              <w:rPr>
                <w:rFonts w:hint="eastAsia" w:ascii="宋体" w:hAnsi="宋体" w:cs="宋体"/>
                <w:szCs w:val="21"/>
              </w:rPr>
              <w:t>陆生生态</w:t>
            </w:r>
          </w:p>
        </w:tc>
        <w:tc>
          <w:tcPr>
            <w:tcW w:w="1136" w:type="pct"/>
            <w:vAlign w:val="center"/>
          </w:tcPr>
          <w:p>
            <w:pPr>
              <w:adjustRightInd w:val="0"/>
              <w:snapToGrid w:val="0"/>
              <w:ind w:left="-53" w:leftChars="-25" w:right="-53" w:rightChars="-25"/>
              <w:rPr>
                <w:rFonts w:ascii="宋体" w:hAnsi="宋体"/>
                <w:sz w:val="18"/>
                <w:szCs w:val="18"/>
              </w:rPr>
            </w:pPr>
            <w:r>
              <w:rPr>
                <w:rFonts w:hint="eastAsia" w:hAnsi="宋体"/>
                <w:sz w:val="18"/>
                <w:szCs w:val="18"/>
              </w:rPr>
              <w:t>加强施工期环境管理，强化施工人员环保意识，规范施工；做好施工组织安排工作；严格遵守操作规程；做好施工后的恢复工作；</w:t>
            </w:r>
          </w:p>
        </w:tc>
        <w:tc>
          <w:tcPr>
            <w:tcW w:w="415"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c>
          <w:tcPr>
            <w:tcW w:w="1450"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c>
          <w:tcPr>
            <w:tcW w:w="661"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338" w:type="pct"/>
            <w:vAlign w:val="center"/>
          </w:tcPr>
          <w:p>
            <w:pPr>
              <w:adjustRightInd w:val="0"/>
              <w:snapToGrid w:val="0"/>
              <w:jc w:val="center"/>
              <w:rPr>
                <w:rFonts w:ascii="宋体" w:hAnsi="宋体" w:cs="宋体"/>
                <w:szCs w:val="21"/>
              </w:rPr>
            </w:pPr>
            <w:r>
              <w:rPr>
                <w:rFonts w:hint="eastAsia" w:ascii="宋体" w:hAnsi="宋体" w:cs="宋体"/>
                <w:szCs w:val="21"/>
              </w:rPr>
              <w:t>水生生态</w:t>
            </w:r>
          </w:p>
        </w:tc>
        <w:tc>
          <w:tcPr>
            <w:tcW w:w="1136" w:type="pct"/>
            <w:vAlign w:val="center"/>
          </w:tcPr>
          <w:p>
            <w:pPr>
              <w:adjustRightInd w:val="0"/>
              <w:snapToGrid w:val="0"/>
              <w:ind w:left="-53" w:leftChars="-25" w:right="-53" w:rightChars="-25"/>
              <w:jc w:val="center"/>
              <w:rPr>
                <w:rFonts w:ascii="宋体" w:hAnsi="宋体"/>
                <w:sz w:val="18"/>
                <w:szCs w:val="18"/>
              </w:rPr>
            </w:pPr>
          </w:p>
        </w:tc>
        <w:tc>
          <w:tcPr>
            <w:tcW w:w="415"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c>
          <w:tcPr>
            <w:tcW w:w="1450"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c>
          <w:tcPr>
            <w:tcW w:w="661"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1338" w:type="pct"/>
            <w:vAlign w:val="center"/>
          </w:tcPr>
          <w:p>
            <w:pPr>
              <w:adjustRightInd w:val="0"/>
              <w:snapToGrid w:val="0"/>
              <w:jc w:val="center"/>
              <w:rPr>
                <w:rFonts w:ascii="宋体" w:hAnsi="宋体" w:cs="宋体"/>
                <w:szCs w:val="21"/>
              </w:rPr>
            </w:pPr>
            <w:r>
              <w:rPr>
                <w:rFonts w:hint="eastAsia" w:ascii="宋体" w:hAnsi="宋体" w:cs="宋体"/>
                <w:szCs w:val="21"/>
              </w:rPr>
              <w:t>地表水环境</w:t>
            </w:r>
          </w:p>
        </w:tc>
        <w:tc>
          <w:tcPr>
            <w:tcW w:w="1136" w:type="pct"/>
            <w:vAlign w:val="center"/>
          </w:tcPr>
          <w:p>
            <w:pPr>
              <w:adjustRightInd w:val="0"/>
              <w:snapToGrid w:val="0"/>
              <w:ind w:left="-53" w:leftChars="-25" w:right="-53" w:rightChars="-25"/>
              <w:rPr>
                <w:rFonts w:ascii="宋体" w:hAnsi="宋体"/>
                <w:sz w:val="18"/>
                <w:szCs w:val="18"/>
              </w:rPr>
            </w:pPr>
            <w:r>
              <w:rPr>
                <w:rFonts w:ascii="宋体" w:hAnsi="宋体"/>
                <w:kern w:val="0"/>
                <w:sz w:val="18"/>
                <w:szCs w:val="18"/>
              </w:rPr>
              <w:t>河道穿越施工废水：在主要穿越点周围设置施工废水沉淀池，并建设导流沟等设施将穿越产生的</w:t>
            </w:r>
            <w:r>
              <w:rPr>
                <w:rFonts w:hint="eastAsia" w:ascii="宋体" w:hAnsi="宋体"/>
                <w:kern w:val="0"/>
                <w:sz w:val="18"/>
                <w:szCs w:val="18"/>
              </w:rPr>
              <w:t>施工废水经隔油沉淀处理后用于施工场地的洒水抑尘，不外排。</w:t>
            </w:r>
            <w:r>
              <w:rPr>
                <w:rFonts w:hint="eastAsia"/>
                <w:bCs/>
                <w:sz w:val="18"/>
                <w:szCs w:val="18"/>
              </w:rPr>
              <w:t>试管废水：修建试管废水沉淀池，回用于附近林地灌溉、道路洒水</w:t>
            </w:r>
          </w:p>
        </w:tc>
        <w:tc>
          <w:tcPr>
            <w:tcW w:w="415"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c>
          <w:tcPr>
            <w:tcW w:w="1450" w:type="pct"/>
            <w:vAlign w:val="center"/>
          </w:tcPr>
          <w:p>
            <w:pPr>
              <w:adjustRightInd w:val="0"/>
              <w:snapToGrid w:val="0"/>
              <w:ind w:left="-53" w:leftChars="-25" w:right="-53" w:rightChars="-25"/>
              <w:rPr>
                <w:sz w:val="18"/>
                <w:szCs w:val="18"/>
              </w:rPr>
            </w:pPr>
            <w:r>
              <w:rPr>
                <w:rFonts w:hint="eastAsia"/>
                <w:sz w:val="18"/>
                <w:szCs w:val="18"/>
              </w:rPr>
              <w:t>过滤器、清管接收装置的清洗废水和过滤分离器产生的残液：设排污池(容积6m3)收集，定期拉运至宣汉县普光工业园区污水处理厂处理。</w:t>
            </w:r>
          </w:p>
          <w:p>
            <w:pPr>
              <w:adjustRightInd w:val="0"/>
              <w:snapToGrid w:val="0"/>
              <w:ind w:left="-53" w:leftChars="-25" w:right="-53" w:rightChars="-25"/>
            </w:pPr>
            <w:r>
              <w:rPr>
                <w:rFonts w:hint="eastAsia"/>
                <w:sz w:val="18"/>
                <w:szCs w:val="18"/>
              </w:rPr>
              <w:t>生活污水：修建1个初沉池(容积10m3) 和隔油池1个(1.0m3)，食堂含油废水先经隔油池处理后再与其他生活污水进入初沉池处理后，定期拉运至园区污水处理厂处理后达标排放。</w:t>
            </w:r>
          </w:p>
        </w:tc>
        <w:tc>
          <w:tcPr>
            <w:tcW w:w="661" w:type="pct"/>
            <w:vAlign w:val="center"/>
          </w:tcPr>
          <w:p>
            <w:pPr>
              <w:spacing w:line="320" w:lineRule="exact"/>
              <w:ind w:left="-53" w:leftChars="-25" w:right="-53" w:rightChars="-25"/>
              <w:jc w:val="center"/>
              <w:rPr>
                <w:rFonts w:ascii="宋体" w:hAnsi="宋体"/>
                <w:sz w:val="18"/>
                <w:szCs w:val="18"/>
              </w:rPr>
            </w:pPr>
            <w:r>
              <w:rPr>
                <w:rFonts w:ascii="宋体" w:hAnsi="宋体"/>
                <w:sz w:val="18"/>
                <w:szCs w:val="18"/>
              </w:rPr>
              <w:t>拉运至</w:t>
            </w:r>
            <w:r>
              <w:rPr>
                <w:rFonts w:hint="eastAsia"/>
                <w:sz w:val="18"/>
                <w:szCs w:val="18"/>
              </w:rPr>
              <w:t>园区污水处理厂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8" w:type="pct"/>
            <w:vAlign w:val="center"/>
          </w:tcPr>
          <w:p>
            <w:pPr>
              <w:adjustRightInd w:val="0"/>
              <w:snapToGrid w:val="0"/>
              <w:jc w:val="center"/>
              <w:rPr>
                <w:rFonts w:ascii="宋体" w:hAnsi="宋体" w:cs="宋体"/>
                <w:szCs w:val="21"/>
              </w:rPr>
            </w:pPr>
            <w:r>
              <w:rPr>
                <w:rFonts w:hint="eastAsia" w:ascii="宋体" w:hAnsi="宋体" w:cs="宋体"/>
                <w:szCs w:val="21"/>
              </w:rPr>
              <w:t>地下水及土壤环境</w:t>
            </w:r>
          </w:p>
        </w:tc>
        <w:tc>
          <w:tcPr>
            <w:tcW w:w="1136" w:type="pct"/>
            <w:vAlign w:val="center"/>
          </w:tcPr>
          <w:p>
            <w:pPr>
              <w:adjustRightInd w:val="0"/>
              <w:snapToGrid w:val="0"/>
              <w:jc w:val="center"/>
              <w:rPr>
                <w:rFonts w:ascii="宋体" w:hAnsi="宋体"/>
                <w:sz w:val="18"/>
                <w:szCs w:val="18"/>
              </w:rPr>
            </w:pPr>
            <w:r>
              <w:rPr>
                <w:rFonts w:hint="eastAsia" w:ascii="宋体" w:hAnsi="宋体"/>
                <w:sz w:val="18"/>
                <w:szCs w:val="18"/>
              </w:rPr>
              <w:t>/</w:t>
            </w:r>
          </w:p>
        </w:tc>
        <w:tc>
          <w:tcPr>
            <w:tcW w:w="415"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c>
          <w:tcPr>
            <w:tcW w:w="1450" w:type="pct"/>
            <w:vAlign w:val="center"/>
          </w:tcPr>
          <w:p>
            <w:pPr>
              <w:adjustRightInd w:val="0"/>
              <w:snapToGrid w:val="0"/>
              <w:ind w:left="-53" w:leftChars="-25" w:right="-53" w:rightChars="-25"/>
              <w:jc w:val="left"/>
              <w:rPr>
                <w:rFonts w:ascii="宋体" w:hAnsi="宋体"/>
                <w:sz w:val="18"/>
                <w:szCs w:val="18"/>
              </w:rPr>
            </w:pPr>
            <w:r>
              <w:rPr>
                <w:rFonts w:hint="eastAsia" w:ascii="宋体" w:hAnsi="宋体"/>
                <w:sz w:val="18"/>
                <w:szCs w:val="18"/>
              </w:rPr>
              <w:t>对配气站排污池、危废间等区域进行重点防渗处理，化粪池、隔油池等采取一般防渗处理，其余除绿化外为简单防渗</w:t>
            </w:r>
          </w:p>
        </w:tc>
        <w:tc>
          <w:tcPr>
            <w:tcW w:w="661"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1338" w:type="pct"/>
            <w:vAlign w:val="center"/>
          </w:tcPr>
          <w:p>
            <w:pPr>
              <w:adjustRightInd w:val="0"/>
              <w:snapToGrid w:val="0"/>
              <w:jc w:val="center"/>
              <w:rPr>
                <w:rFonts w:ascii="宋体" w:hAnsi="宋体" w:cs="宋体"/>
                <w:szCs w:val="21"/>
              </w:rPr>
            </w:pPr>
            <w:r>
              <w:rPr>
                <w:rFonts w:hint="eastAsia" w:ascii="宋体" w:hAnsi="宋体" w:cs="宋体"/>
                <w:szCs w:val="21"/>
              </w:rPr>
              <w:t>声环境</w:t>
            </w:r>
          </w:p>
        </w:tc>
        <w:tc>
          <w:tcPr>
            <w:tcW w:w="1136" w:type="pct"/>
            <w:vAlign w:val="center"/>
          </w:tcPr>
          <w:p>
            <w:pPr>
              <w:adjustRightInd w:val="0"/>
              <w:snapToGrid w:val="0"/>
              <w:rPr>
                <w:rFonts w:ascii="宋体" w:hAnsi="宋体"/>
                <w:sz w:val="18"/>
                <w:szCs w:val="18"/>
              </w:rPr>
            </w:pPr>
            <w:r>
              <w:rPr>
                <w:rFonts w:hint="eastAsia" w:ascii="宋体" w:hAnsi="宋体"/>
                <w:sz w:val="18"/>
                <w:szCs w:val="18"/>
              </w:rPr>
              <w:t>合理安排施工作业时间，合理布局施工现场，禁止夜间施工；在施工沿线居民集中点设挡声板</w:t>
            </w:r>
          </w:p>
        </w:tc>
        <w:tc>
          <w:tcPr>
            <w:tcW w:w="415" w:type="pct"/>
            <w:vAlign w:val="center"/>
          </w:tcPr>
          <w:p>
            <w:pPr>
              <w:adjustRightInd w:val="0"/>
              <w:snapToGrid w:val="0"/>
              <w:ind w:left="-53" w:leftChars="-25" w:right="-53" w:rightChars="-25"/>
              <w:jc w:val="center"/>
              <w:rPr>
                <w:rFonts w:ascii="宋体" w:hAnsi="宋体"/>
                <w:sz w:val="18"/>
                <w:szCs w:val="18"/>
              </w:rPr>
            </w:pPr>
            <w:r>
              <w:rPr>
                <w:rFonts w:ascii="宋体" w:hAnsi="宋体"/>
                <w:sz w:val="18"/>
                <w:szCs w:val="18"/>
              </w:rPr>
              <w:t>达标排放、不扰民</w:t>
            </w:r>
          </w:p>
        </w:tc>
        <w:tc>
          <w:tcPr>
            <w:tcW w:w="1450" w:type="pct"/>
            <w:vAlign w:val="center"/>
          </w:tcPr>
          <w:p>
            <w:pPr>
              <w:adjustRightInd w:val="0"/>
              <w:snapToGrid w:val="0"/>
              <w:ind w:left="-53" w:leftChars="-25" w:right="-53" w:rightChars="-25"/>
              <w:rPr>
                <w:rFonts w:ascii="宋体" w:hAnsi="宋体"/>
                <w:sz w:val="18"/>
                <w:szCs w:val="18"/>
              </w:rPr>
            </w:pPr>
            <w:r>
              <w:rPr>
                <w:rFonts w:hint="eastAsia" w:ascii="宋体" w:hAnsi="宋体"/>
                <w:sz w:val="18"/>
                <w:szCs w:val="18"/>
              </w:rPr>
              <w:t>站场尽量减少弯头、三通等管件，降低气流噪声；站场设备选用低噪声设备，分离器汇管采取放大管径，降低流速等；放空时减压、控制流速。选用低噪声设备、厂房隔声，设置消声器，使设备与地面进行软连接</w:t>
            </w:r>
          </w:p>
        </w:tc>
        <w:tc>
          <w:tcPr>
            <w:tcW w:w="661" w:type="pct"/>
            <w:vAlign w:val="center"/>
          </w:tcPr>
          <w:p>
            <w:pPr>
              <w:adjustRightInd w:val="0"/>
              <w:snapToGrid w:val="0"/>
              <w:ind w:left="-53" w:leftChars="-25" w:right="-53" w:rightChars="-25"/>
              <w:jc w:val="center"/>
              <w:rPr>
                <w:rFonts w:ascii="宋体" w:hAnsi="宋体"/>
                <w:sz w:val="18"/>
                <w:szCs w:val="18"/>
              </w:rPr>
            </w:pPr>
            <w:r>
              <w:rPr>
                <w:rFonts w:ascii="宋体" w:hAnsi="宋体"/>
                <w:sz w:val="18"/>
                <w:szCs w:val="18"/>
              </w:rPr>
              <w:t>达标排放、不扰民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338" w:type="pct"/>
            <w:vAlign w:val="center"/>
          </w:tcPr>
          <w:p>
            <w:pPr>
              <w:adjustRightInd w:val="0"/>
              <w:snapToGrid w:val="0"/>
              <w:jc w:val="center"/>
              <w:rPr>
                <w:rFonts w:ascii="宋体" w:hAnsi="宋体" w:cs="宋体"/>
                <w:szCs w:val="21"/>
              </w:rPr>
            </w:pPr>
            <w:r>
              <w:rPr>
                <w:rFonts w:hint="eastAsia" w:ascii="宋体" w:hAnsi="宋体" w:cs="宋体"/>
                <w:szCs w:val="21"/>
              </w:rPr>
              <w:t>振动</w:t>
            </w:r>
          </w:p>
        </w:tc>
        <w:tc>
          <w:tcPr>
            <w:tcW w:w="1136" w:type="pct"/>
            <w:vAlign w:val="center"/>
          </w:tcPr>
          <w:p>
            <w:pPr>
              <w:adjustRightInd w:val="0"/>
              <w:snapToGrid w:val="0"/>
              <w:jc w:val="center"/>
              <w:rPr>
                <w:rFonts w:ascii="宋体" w:hAnsi="宋体"/>
                <w:sz w:val="18"/>
                <w:szCs w:val="18"/>
              </w:rPr>
            </w:pPr>
            <w:r>
              <w:rPr>
                <w:rFonts w:hint="eastAsia" w:ascii="宋体" w:hAnsi="宋体"/>
                <w:sz w:val="18"/>
                <w:szCs w:val="18"/>
              </w:rPr>
              <w:t>/</w:t>
            </w:r>
          </w:p>
        </w:tc>
        <w:tc>
          <w:tcPr>
            <w:tcW w:w="415"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c>
          <w:tcPr>
            <w:tcW w:w="1450"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c>
          <w:tcPr>
            <w:tcW w:w="661"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1338" w:type="pct"/>
            <w:vAlign w:val="center"/>
          </w:tcPr>
          <w:p>
            <w:pPr>
              <w:adjustRightInd w:val="0"/>
              <w:snapToGrid w:val="0"/>
              <w:jc w:val="center"/>
              <w:rPr>
                <w:rFonts w:ascii="宋体" w:hAnsi="宋体" w:cs="宋体"/>
                <w:szCs w:val="21"/>
              </w:rPr>
            </w:pPr>
            <w:r>
              <w:rPr>
                <w:rFonts w:hint="eastAsia" w:ascii="宋体" w:hAnsi="宋体" w:cs="宋体"/>
                <w:szCs w:val="21"/>
              </w:rPr>
              <w:t>大气环境</w:t>
            </w:r>
          </w:p>
        </w:tc>
        <w:tc>
          <w:tcPr>
            <w:tcW w:w="1136" w:type="pct"/>
            <w:vAlign w:val="center"/>
          </w:tcPr>
          <w:p>
            <w:pPr>
              <w:adjustRightInd w:val="0"/>
              <w:snapToGrid w:val="0"/>
              <w:spacing w:line="220" w:lineRule="exact"/>
              <w:rPr>
                <w:rFonts w:ascii="宋体" w:hAnsi="宋体"/>
                <w:sz w:val="18"/>
                <w:szCs w:val="18"/>
              </w:rPr>
            </w:pPr>
            <w:r>
              <w:rPr>
                <w:rFonts w:hint="eastAsia" w:ascii="宋体" w:hAnsi="宋体"/>
                <w:sz w:val="18"/>
                <w:szCs w:val="18"/>
              </w:rPr>
              <w:t>施工期购置洒水设备进行洒水作业，对临时堆放表土采用篷布覆；进行道面清扫，对轮胎进行清洗；用于施工期间物料运输车辆的覆盖，粉料采用粉料车运输，防止物料散落和灰尘飘散</w:t>
            </w:r>
          </w:p>
        </w:tc>
        <w:tc>
          <w:tcPr>
            <w:tcW w:w="415" w:type="pct"/>
            <w:vAlign w:val="center"/>
          </w:tcPr>
          <w:p>
            <w:pPr>
              <w:adjustRightInd w:val="0"/>
              <w:snapToGrid w:val="0"/>
              <w:spacing w:line="220" w:lineRule="exact"/>
              <w:ind w:left="-53" w:leftChars="-25" w:right="-53" w:rightChars="-25"/>
              <w:jc w:val="center"/>
              <w:rPr>
                <w:rFonts w:ascii="宋体" w:hAnsi="宋体"/>
                <w:sz w:val="18"/>
                <w:szCs w:val="18"/>
              </w:rPr>
            </w:pPr>
            <w:r>
              <w:rPr>
                <w:rFonts w:hint="eastAsia" w:ascii="宋体" w:hAnsi="宋体"/>
                <w:sz w:val="18"/>
                <w:szCs w:val="18"/>
              </w:rPr>
              <w:t>/</w:t>
            </w:r>
          </w:p>
        </w:tc>
        <w:tc>
          <w:tcPr>
            <w:tcW w:w="1450" w:type="pct"/>
            <w:vAlign w:val="center"/>
          </w:tcPr>
          <w:p>
            <w:pPr>
              <w:adjustRightInd w:val="0"/>
              <w:snapToGrid w:val="0"/>
              <w:spacing w:line="220" w:lineRule="exact"/>
              <w:ind w:left="-53" w:leftChars="-25" w:right="-53" w:rightChars="-25"/>
              <w:rPr>
                <w:rFonts w:ascii="宋体" w:hAnsi="宋体"/>
                <w:sz w:val="18"/>
                <w:szCs w:val="18"/>
              </w:rPr>
            </w:pPr>
            <w:r>
              <w:rPr>
                <w:rFonts w:hint="eastAsia" w:ascii="宋体" w:hAnsi="宋体"/>
                <w:sz w:val="18"/>
                <w:szCs w:val="18"/>
              </w:rPr>
              <w:t>清管作业、分离器检修以及系统超压排放的天然气：在配气站放散区设置25m高放空立管</w:t>
            </w:r>
          </w:p>
        </w:tc>
        <w:tc>
          <w:tcPr>
            <w:tcW w:w="661" w:type="pct"/>
            <w:vAlign w:val="center"/>
          </w:tcPr>
          <w:p>
            <w:pPr>
              <w:adjustRightInd w:val="0"/>
              <w:snapToGrid w:val="0"/>
              <w:ind w:left="-53" w:leftChars="-25" w:right="-53" w:rightChars="-25"/>
              <w:jc w:val="center"/>
              <w:rPr>
                <w:rFonts w:ascii="宋体" w:hAnsi="宋体"/>
                <w:sz w:val="18"/>
                <w:szCs w:val="18"/>
              </w:rPr>
            </w:pPr>
            <w:r>
              <w:rPr>
                <w:rFonts w:ascii="宋体" w:hAnsi="宋体"/>
                <w:sz w:val="18"/>
                <w:szCs w:val="18"/>
              </w:rPr>
              <w:t>减少对环境的影响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338" w:type="pct"/>
            <w:vMerge w:val="restart"/>
            <w:vAlign w:val="center"/>
          </w:tcPr>
          <w:p>
            <w:pPr>
              <w:adjustRightInd w:val="0"/>
              <w:snapToGrid w:val="0"/>
              <w:jc w:val="center"/>
              <w:rPr>
                <w:rFonts w:ascii="宋体" w:hAnsi="宋体" w:cs="宋体"/>
                <w:szCs w:val="21"/>
              </w:rPr>
            </w:pPr>
            <w:r>
              <w:rPr>
                <w:rFonts w:hint="eastAsia" w:ascii="宋体" w:hAnsi="宋体" w:cs="宋体"/>
                <w:szCs w:val="21"/>
              </w:rPr>
              <w:t>固体废物</w:t>
            </w:r>
          </w:p>
        </w:tc>
        <w:tc>
          <w:tcPr>
            <w:tcW w:w="1136" w:type="pct"/>
            <w:vMerge w:val="restart"/>
            <w:vAlign w:val="center"/>
          </w:tcPr>
          <w:p>
            <w:pPr>
              <w:adjustRightInd w:val="0"/>
              <w:snapToGrid w:val="0"/>
              <w:rPr>
                <w:rFonts w:ascii="宋体" w:hAnsi="宋体"/>
                <w:sz w:val="18"/>
                <w:szCs w:val="18"/>
              </w:rPr>
            </w:pPr>
            <w:r>
              <w:rPr>
                <w:rFonts w:hint="eastAsia" w:ascii="宋体" w:hAnsi="宋体"/>
                <w:sz w:val="18"/>
                <w:szCs w:val="18"/>
              </w:rPr>
              <w:t>施工期生活垃圾依托当地环卫部门统一清运处理；未回收利用的施工废料，依托当地环卫部门统一清运处理；施工期剩余少量建渣用于临时道路修建或运送至政府指定的堆场</w:t>
            </w:r>
          </w:p>
        </w:tc>
        <w:tc>
          <w:tcPr>
            <w:tcW w:w="415"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c>
          <w:tcPr>
            <w:tcW w:w="1450" w:type="pct"/>
            <w:vAlign w:val="center"/>
          </w:tcPr>
          <w:p>
            <w:pPr>
              <w:adjustRightInd w:val="0"/>
              <w:snapToGrid w:val="0"/>
              <w:ind w:left="-53" w:leftChars="-25" w:right="-53" w:rightChars="-25"/>
              <w:rPr>
                <w:rFonts w:ascii="宋体" w:hAnsi="宋体"/>
                <w:sz w:val="18"/>
                <w:szCs w:val="18"/>
              </w:rPr>
            </w:pPr>
            <w:r>
              <w:rPr>
                <w:rFonts w:hint="eastAsia" w:ascii="宋体" w:hAnsi="宋体"/>
                <w:sz w:val="18"/>
                <w:szCs w:val="18"/>
              </w:rPr>
              <w:t>清管、分离器检修产生的少量固体废渣，采用专用容积收集存放，最终交由专业单位收集处理。生活垃圾：袋装收集后由当地环卫部门统一收集处理</w:t>
            </w:r>
          </w:p>
        </w:tc>
        <w:tc>
          <w:tcPr>
            <w:tcW w:w="661" w:type="pct"/>
            <w:vMerge w:val="restart"/>
            <w:vAlign w:val="center"/>
          </w:tcPr>
          <w:p>
            <w:pPr>
              <w:adjustRightInd w:val="0"/>
              <w:snapToGrid w:val="0"/>
              <w:ind w:left="-53" w:leftChars="-25" w:right="-53" w:rightChars="-25"/>
              <w:jc w:val="center"/>
              <w:rPr>
                <w:rFonts w:ascii="宋体" w:hAnsi="宋体"/>
                <w:sz w:val="18"/>
                <w:szCs w:val="18"/>
              </w:rPr>
            </w:pPr>
            <w:r>
              <w:rPr>
                <w:rFonts w:ascii="宋体" w:hAnsi="宋体"/>
                <w:sz w:val="18"/>
                <w:szCs w:val="18"/>
              </w:rPr>
              <w:t>满足环保要求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Merge w:val="continue"/>
            <w:vAlign w:val="center"/>
          </w:tcPr>
          <w:p>
            <w:pPr>
              <w:adjustRightInd w:val="0"/>
              <w:snapToGrid w:val="0"/>
              <w:jc w:val="center"/>
              <w:rPr>
                <w:rFonts w:ascii="宋体" w:hAnsi="宋体" w:cs="宋体"/>
                <w:szCs w:val="21"/>
              </w:rPr>
            </w:pPr>
          </w:p>
        </w:tc>
        <w:tc>
          <w:tcPr>
            <w:tcW w:w="1136" w:type="pct"/>
            <w:vMerge w:val="continue"/>
            <w:vAlign w:val="center"/>
          </w:tcPr>
          <w:p>
            <w:pPr>
              <w:adjustRightInd w:val="0"/>
              <w:snapToGrid w:val="0"/>
              <w:spacing w:line="220" w:lineRule="exact"/>
              <w:jc w:val="center"/>
              <w:rPr>
                <w:rFonts w:ascii="宋体" w:hAnsi="宋体"/>
                <w:sz w:val="18"/>
                <w:szCs w:val="18"/>
              </w:rPr>
            </w:pPr>
          </w:p>
        </w:tc>
        <w:tc>
          <w:tcPr>
            <w:tcW w:w="415" w:type="pct"/>
            <w:vAlign w:val="center"/>
          </w:tcPr>
          <w:p>
            <w:pPr>
              <w:adjustRightInd w:val="0"/>
              <w:snapToGrid w:val="0"/>
              <w:spacing w:line="220" w:lineRule="exact"/>
              <w:ind w:left="-53" w:leftChars="-25" w:right="-53" w:rightChars="-25"/>
              <w:jc w:val="center"/>
              <w:rPr>
                <w:rFonts w:ascii="宋体" w:hAnsi="宋体"/>
                <w:sz w:val="18"/>
                <w:szCs w:val="18"/>
              </w:rPr>
            </w:pPr>
            <w:r>
              <w:rPr>
                <w:rFonts w:hint="eastAsia" w:ascii="宋体" w:hAnsi="宋体"/>
                <w:sz w:val="18"/>
                <w:szCs w:val="18"/>
              </w:rPr>
              <w:t>/</w:t>
            </w:r>
          </w:p>
        </w:tc>
        <w:tc>
          <w:tcPr>
            <w:tcW w:w="1450" w:type="pct"/>
            <w:vAlign w:val="center"/>
          </w:tcPr>
          <w:p>
            <w:pPr>
              <w:adjustRightInd w:val="0"/>
              <w:snapToGrid w:val="0"/>
              <w:spacing w:line="220" w:lineRule="exact"/>
              <w:ind w:left="-53" w:leftChars="-25" w:right="-53" w:rightChars="-25"/>
              <w:rPr>
                <w:rFonts w:ascii="宋体" w:hAnsi="宋体"/>
                <w:sz w:val="18"/>
                <w:szCs w:val="18"/>
              </w:rPr>
            </w:pPr>
            <w:r>
              <w:rPr>
                <w:rFonts w:hint="eastAsia" w:ascii="宋体" w:hAnsi="宋体"/>
                <w:sz w:val="18"/>
                <w:szCs w:val="18"/>
              </w:rPr>
              <w:t>废滤芯、废油漆桶、废润滑油等属于危险废物，设置危废暂存间1个，建筑面积约10m</w:t>
            </w:r>
            <w:r>
              <w:rPr>
                <w:rFonts w:hint="eastAsia" w:ascii="宋体" w:hAnsi="宋体"/>
                <w:sz w:val="18"/>
                <w:szCs w:val="18"/>
                <w:vertAlign w:val="superscript"/>
              </w:rPr>
              <w:t>2</w:t>
            </w:r>
            <w:r>
              <w:rPr>
                <w:rFonts w:hint="eastAsia" w:ascii="宋体" w:hAnsi="宋体"/>
                <w:sz w:val="18"/>
                <w:szCs w:val="18"/>
              </w:rPr>
              <w:t>，采取“四防”措施。暂存间内设危废收集容器、分类暂存，设置警示标示、建立管理台账，严格执行危险废物转移联单制度，委托有资质的单位定期回收处置</w:t>
            </w:r>
          </w:p>
        </w:tc>
        <w:tc>
          <w:tcPr>
            <w:tcW w:w="661" w:type="pct"/>
            <w:vMerge w:val="continue"/>
            <w:vAlign w:val="center"/>
          </w:tcPr>
          <w:p>
            <w:pPr>
              <w:adjustRightInd w:val="0"/>
              <w:snapToGrid w:val="0"/>
              <w:ind w:left="-53" w:leftChars="-25" w:right="-53" w:rightChars="-25"/>
              <w:jc w:val="center"/>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338" w:type="pct"/>
            <w:vAlign w:val="center"/>
          </w:tcPr>
          <w:p>
            <w:pPr>
              <w:adjustRightInd w:val="0"/>
              <w:snapToGrid w:val="0"/>
              <w:jc w:val="center"/>
              <w:rPr>
                <w:rFonts w:ascii="宋体" w:hAnsi="宋体" w:cs="宋体"/>
                <w:szCs w:val="21"/>
              </w:rPr>
            </w:pPr>
            <w:r>
              <w:rPr>
                <w:rFonts w:hint="eastAsia" w:ascii="宋体" w:hAnsi="宋体" w:cs="宋体"/>
                <w:szCs w:val="21"/>
              </w:rPr>
              <w:t>电磁环境</w:t>
            </w:r>
          </w:p>
        </w:tc>
        <w:tc>
          <w:tcPr>
            <w:tcW w:w="1136" w:type="pct"/>
            <w:vAlign w:val="center"/>
          </w:tcPr>
          <w:p>
            <w:pPr>
              <w:adjustRightInd w:val="0"/>
              <w:snapToGrid w:val="0"/>
              <w:spacing w:line="220" w:lineRule="exact"/>
              <w:jc w:val="center"/>
              <w:rPr>
                <w:rFonts w:ascii="宋体" w:hAnsi="宋体"/>
                <w:sz w:val="18"/>
                <w:szCs w:val="18"/>
              </w:rPr>
            </w:pPr>
            <w:r>
              <w:rPr>
                <w:rFonts w:hint="eastAsia" w:ascii="宋体" w:hAnsi="宋体"/>
                <w:sz w:val="18"/>
                <w:szCs w:val="18"/>
              </w:rPr>
              <w:t>/</w:t>
            </w:r>
          </w:p>
        </w:tc>
        <w:tc>
          <w:tcPr>
            <w:tcW w:w="415" w:type="pct"/>
            <w:vAlign w:val="center"/>
          </w:tcPr>
          <w:p>
            <w:pPr>
              <w:adjustRightInd w:val="0"/>
              <w:snapToGrid w:val="0"/>
              <w:spacing w:line="220" w:lineRule="exact"/>
              <w:ind w:left="-53" w:leftChars="-25" w:right="-53" w:rightChars="-25"/>
              <w:jc w:val="center"/>
              <w:rPr>
                <w:rFonts w:ascii="宋体" w:hAnsi="宋体"/>
                <w:sz w:val="18"/>
                <w:szCs w:val="18"/>
              </w:rPr>
            </w:pPr>
            <w:r>
              <w:rPr>
                <w:rFonts w:hint="eastAsia" w:ascii="宋体" w:hAnsi="宋体"/>
                <w:sz w:val="18"/>
                <w:szCs w:val="18"/>
              </w:rPr>
              <w:t>/</w:t>
            </w:r>
          </w:p>
        </w:tc>
        <w:tc>
          <w:tcPr>
            <w:tcW w:w="1450" w:type="pct"/>
            <w:vAlign w:val="center"/>
          </w:tcPr>
          <w:p>
            <w:pPr>
              <w:adjustRightInd w:val="0"/>
              <w:snapToGrid w:val="0"/>
              <w:spacing w:line="220" w:lineRule="exact"/>
              <w:ind w:left="-53" w:leftChars="-25" w:right="-53" w:rightChars="-25"/>
              <w:jc w:val="center"/>
              <w:rPr>
                <w:rFonts w:ascii="宋体" w:hAnsi="宋体"/>
                <w:sz w:val="18"/>
                <w:szCs w:val="18"/>
              </w:rPr>
            </w:pPr>
            <w:r>
              <w:rPr>
                <w:rFonts w:hint="eastAsia" w:ascii="宋体" w:hAnsi="宋体"/>
                <w:sz w:val="18"/>
                <w:szCs w:val="18"/>
              </w:rPr>
              <w:t>/</w:t>
            </w:r>
          </w:p>
        </w:tc>
        <w:tc>
          <w:tcPr>
            <w:tcW w:w="661"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Align w:val="center"/>
          </w:tcPr>
          <w:p>
            <w:pPr>
              <w:adjustRightInd w:val="0"/>
              <w:snapToGrid w:val="0"/>
              <w:jc w:val="center"/>
              <w:rPr>
                <w:rFonts w:ascii="宋体" w:hAnsi="宋体" w:cs="宋体"/>
                <w:szCs w:val="21"/>
              </w:rPr>
            </w:pPr>
            <w:r>
              <w:rPr>
                <w:rFonts w:hint="eastAsia" w:ascii="宋体" w:hAnsi="宋体" w:cs="宋体"/>
                <w:szCs w:val="21"/>
              </w:rPr>
              <w:t>环境风险</w:t>
            </w:r>
          </w:p>
        </w:tc>
        <w:tc>
          <w:tcPr>
            <w:tcW w:w="1136" w:type="pct"/>
            <w:vAlign w:val="center"/>
          </w:tcPr>
          <w:p>
            <w:pPr>
              <w:adjustRightInd w:val="0"/>
              <w:snapToGrid w:val="0"/>
              <w:spacing w:line="220" w:lineRule="exact"/>
              <w:jc w:val="center"/>
              <w:rPr>
                <w:rFonts w:ascii="宋体" w:hAnsi="宋体"/>
                <w:sz w:val="18"/>
                <w:szCs w:val="18"/>
              </w:rPr>
            </w:pPr>
            <w:r>
              <w:rPr>
                <w:rFonts w:hint="eastAsia" w:ascii="宋体" w:hAnsi="宋体"/>
                <w:sz w:val="18"/>
                <w:szCs w:val="18"/>
              </w:rPr>
              <w:t>/</w:t>
            </w:r>
          </w:p>
        </w:tc>
        <w:tc>
          <w:tcPr>
            <w:tcW w:w="415" w:type="pct"/>
            <w:vAlign w:val="center"/>
          </w:tcPr>
          <w:p>
            <w:pPr>
              <w:adjustRightInd w:val="0"/>
              <w:snapToGrid w:val="0"/>
              <w:spacing w:line="220" w:lineRule="exact"/>
              <w:ind w:left="-53" w:leftChars="-25" w:right="-53" w:rightChars="-25"/>
              <w:jc w:val="center"/>
              <w:rPr>
                <w:rFonts w:ascii="宋体" w:hAnsi="宋体"/>
                <w:sz w:val="18"/>
                <w:szCs w:val="18"/>
              </w:rPr>
            </w:pPr>
            <w:r>
              <w:rPr>
                <w:rFonts w:hint="eastAsia" w:ascii="宋体" w:hAnsi="宋体"/>
                <w:sz w:val="18"/>
                <w:szCs w:val="18"/>
              </w:rPr>
              <w:t>/</w:t>
            </w:r>
          </w:p>
        </w:tc>
        <w:tc>
          <w:tcPr>
            <w:tcW w:w="1450" w:type="pct"/>
            <w:vAlign w:val="center"/>
          </w:tcPr>
          <w:p>
            <w:pPr>
              <w:adjustRightInd w:val="0"/>
              <w:snapToGrid w:val="0"/>
              <w:spacing w:line="220" w:lineRule="exact"/>
              <w:ind w:left="-53" w:leftChars="-25" w:right="-53" w:rightChars="-25"/>
              <w:rPr>
                <w:rFonts w:ascii="宋体" w:hAnsi="宋体"/>
                <w:sz w:val="18"/>
                <w:szCs w:val="18"/>
              </w:rPr>
            </w:pPr>
            <w:r>
              <w:rPr>
                <w:rFonts w:hint="eastAsia" w:ascii="宋体" w:hAnsi="宋体"/>
                <w:sz w:val="18"/>
                <w:szCs w:val="18"/>
              </w:rPr>
              <w:t>做好管道防护加固措施建设、防腐工程、阴极保护等措施。按《建筑灭火器的配置设计规范》，在工艺装置区配置消防栓、各种手提式、推车式的CO2、干粉、泡沫等灭火器。安装可燃气体探测仪和烟雾报警装置制订环境风险应急预案，建立环境风险事故报警系统体系，设置防火标示牌等。制订环境风险应急预案，建立环境风险事故报警系统体系，设置防火标示牌等</w:t>
            </w:r>
          </w:p>
        </w:tc>
        <w:tc>
          <w:tcPr>
            <w:tcW w:w="661"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338" w:type="pct"/>
            <w:vAlign w:val="center"/>
          </w:tcPr>
          <w:p>
            <w:pPr>
              <w:adjustRightInd w:val="0"/>
              <w:snapToGrid w:val="0"/>
              <w:jc w:val="center"/>
              <w:rPr>
                <w:rFonts w:ascii="宋体" w:hAnsi="宋体" w:cs="宋体"/>
                <w:szCs w:val="21"/>
              </w:rPr>
            </w:pPr>
            <w:r>
              <w:rPr>
                <w:rFonts w:hint="eastAsia" w:ascii="宋体" w:hAnsi="宋体" w:cs="宋体"/>
                <w:szCs w:val="21"/>
              </w:rPr>
              <w:t>环境监测</w:t>
            </w:r>
          </w:p>
        </w:tc>
        <w:tc>
          <w:tcPr>
            <w:tcW w:w="1136" w:type="pct"/>
            <w:vAlign w:val="center"/>
          </w:tcPr>
          <w:p>
            <w:pPr>
              <w:adjustRightInd w:val="0"/>
              <w:snapToGrid w:val="0"/>
              <w:spacing w:line="220" w:lineRule="exact"/>
              <w:jc w:val="center"/>
              <w:rPr>
                <w:rFonts w:ascii="宋体" w:hAnsi="宋体"/>
                <w:sz w:val="18"/>
                <w:szCs w:val="18"/>
              </w:rPr>
            </w:pPr>
            <w:r>
              <w:rPr>
                <w:rFonts w:hint="eastAsia" w:ascii="宋体" w:hAnsi="宋体"/>
                <w:sz w:val="18"/>
                <w:szCs w:val="18"/>
              </w:rPr>
              <w:t>/</w:t>
            </w:r>
          </w:p>
        </w:tc>
        <w:tc>
          <w:tcPr>
            <w:tcW w:w="415" w:type="pct"/>
            <w:vAlign w:val="center"/>
          </w:tcPr>
          <w:p>
            <w:pPr>
              <w:adjustRightInd w:val="0"/>
              <w:snapToGrid w:val="0"/>
              <w:spacing w:line="220" w:lineRule="exact"/>
              <w:ind w:left="-53" w:leftChars="-25" w:right="-53" w:rightChars="-25"/>
              <w:jc w:val="center"/>
              <w:rPr>
                <w:rFonts w:ascii="宋体" w:hAnsi="宋体"/>
                <w:sz w:val="18"/>
                <w:szCs w:val="18"/>
              </w:rPr>
            </w:pPr>
            <w:r>
              <w:rPr>
                <w:rFonts w:hint="eastAsia" w:ascii="宋体" w:hAnsi="宋体"/>
                <w:sz w:val="18"/>
                <w:szCs w:val="18"/>
              </w:rPr>
              <w:t>/</w:t>
            </w:r>
          </w:p>
        </w:tc>
        <w:tc>
          <w:tcPr>
            <w:tcW w:w="1450" w:type="pct"/>
            <w:vAlign w:val="center"/>
          </w:tcPr>
          <w:p>
            <w:pPr>
              <w:adjustRightInd w:val="0"/>
              <w:snapToGrid w:val="0"/>
              <w:spacing w:line="220" w:lineRule="exact"/>
              <w:ind w:left="-53" w:leftChars="-25" w:right="-53" w:rightChars="-25"/>
              <w:rPr>
                <w:sz w:val="18"/>
                <w:szCs w:val="18"/>
              </w:rPr>
            </w:pPr>
            <w:r>
              <w:rPr>
                <w:sz w:val="18"/>
                <w:szCs w:val="18"/>
              </w:rPr>
              <w:t>废气监测：监测因子VOCs</w:t>
            </w:r>
          </w:p>
        </w:tc>
        <w:tc>
          <w:tcPr>
            <w:tcW w:w="661" w:type="pct"/>
            <w:vAlign w:val="center"/>
          </w:tcPr>
          <w:p>
            <w:pPr>
              <w:adjustRightInd w:val="0"/>
              <w:snapToGrid w:val="0"/>
              <w:ind w:left="-53" w:leftChars="-25" w:right="-53" w:rightChars="-25"/>
              <w:rPr>
                <w:sz w:val="18"/>
                <w:szCs w:val="18"/>
              </w:rPr>
            </w:pPr>
            <w:r>
              <w:rPr>
                <w:rFonts w:hint="eastAsia"/>
                <w:sz w:val="18"/>
                <w:szCs w:val="18"/>
              </w:rPr>
              <w:t>1次/年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1338" w:type="pct"/>
            <w:vAlign w:val="center"/>
          </w:tcPr>
          <w:p>
            <w:pPr>
              <w:adjustRightInd w:val="0"/>
              <w:snapToGrid w:val="0"/>
              <w:jc w:val="center"/>
              <w:rPr>
                <w:rFonts w:ascii="宋体" w:hAnsi="宋体" w:cs="宋体"/>
                <w:szCs w:val="21"/>
              </w:rPr>
            </w:pPr>
            <w:r>
              <w:rPr>
                <w:rFonts w:hint="eastAsia" w:ascii="宋体" w:hAnsi="宋体" w:cs="宋体"/>
                <w:szCs w:val="21"/>
              </w:rPr>
              <w:t>其他</w:t>
            </w:r>
          </w:p>
        </w:tc>
        <w:tc>
          <w:tcPr>
            <w:tcW w:w="1136" w:type="pct"/>
            <w:vAlign w:val="center"/>
          </w:tcPr>
          <w:p>
            <w:pPr>
              <w:adjustRightInd w:val="0"/>
              <w:snapToGrid w:val="0"/>
              <w:jc w:val="center"/>
              <w:rPr>
                <w:rFonts w:ascii="宋体" w:hAnsi="宋体"/>
                <w:sz w:val="18"/>
                <w:szCs w:val="18"/>
              </w:rPr>
            </w:pPr>
            <w:r>
              <w:rPr>
                <w:rFonts w:hint="eastAsia" w:ascii="宋体" w:hAnsi="宋体"/>
                <w:sz w:val="18"/>
                <w:szCs w:val="18"/>
              </w:rPr>
              <w:t>/</w:t>
            </w:r>
          </w:p>
        </w:tc>
        <w:tc>
          <w:tcPr>
            <w:tcW w:w="415"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c>
          <w:tcPr>
            <w:tcW w:w="1450"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c>
          <w:tcPr>
            <w:tcW w:w="661" w:type="pct"/>
            <w:vAlign w:val="center"/>
          </w:tcPr>
          <w:p>
            <w:pPr>
              <w:adjustRightInd w:val="0"/>
              <w:snapToGrid w:val="0"/>
              <w:ind w:left="-53" w:leftChars="-25" w:right="-53" w:rightChars="-25"/>
              <w:jc w:val="center"/>
              <w:rPr>
                <w:rFonts w:ascii="宋体" w:hAnsi="宋体"/>
                <w:sz w:val="18"/>
                <w:szCs w:val="18"/>
              </w:rPr>
            </w:pPr>
            <w:r>
              <w:rPr>
                <w:rFonts w:hint="eastAsia" w:ascii="宋体" w:hAnsi="宋体"/>
                <w:sz w:val="18"/>
                <w:szCs w:val="18"/>
              </w:rPr>
              <w:t>/</w:t>
            </w:r>
          </w:p>
        </w:tc>
      </w:tr>
    </w:tbl>
    <w:p>
      <w:pPr>
        <w:pStyle w:val="14"/>
        <w:jc w:val="center"/>
        <w:outlineLvl w:val="0"/>
        <w:rPr>
          <w:rFonts w:ascii="黑体" w:hAnsi="黑体" w:eastAsia="黑体"/>
          <w:snapToGrid w:val="0"/>
          <w:sz w:val="30"/>
          <w:szCs w:val="30"/>
        </w:rPr>
        <w:sectPr>
          <w:pgSz w:w="16838" w:h="11906" w:orient="landscape"/>
          <w:pgMar w:top="1797" w:right="1440" w:bottom="1797" w:left="1440" w:header="851" w:footer="1077" w:gutter="0"/>
          <w:pgNumType w:fmt="numberInDash"/>
          <w:cols w:space="425" w:num="1"/>
          <w:docGrid w:linePitch="312" w:charSpace="0"/>
        </w:sectPr>
      </w:pPr>
    </w:p>
    <w:p>
      <w:pPr>
        <w:pStyle w:val="14"/>
        <w:spacing w:before="0" w:beforeAutospacing="0" w:line="14" w:lineRule="auto"/>
        <w:jc w:val="center"/>
        <w:rPr>
          <w:rFonts w:ascii="黑体" w:hAnsi="黑体" w:eastAsia="黑体"/>
          <w:snapToGrid w:val="0"/>
          <w:sz w:val="30"/>
          <w:szCs w:val="30"/>
        </w:rPr>
      </w:pPr>
    </w:p>
    <w:p>
      <w:pPr>
        <w:pStyle w:val="14"/>
        <w:spacing w:before="192" w:beforeLines="80" w:beforeAutospacing="0"/>
        <w:jc w:val="center"/>
        <w:outlineLvl w:val="0"/>
        <w:rPr>
          <w:rFonts w:ascii="黑体" w:hAnsi="黑体" w:eastAsia="黑体"/>
          <w:snapToGrid w:val="0"/>
          <w:sz w:val="30"/>
          <w:szCs w:val="30"/>
        </w:rPr>
      </w:pPr>
      <w:r>
        <w:rPr>
          <w:rFonts w:hint="eastAsia" w:ascii="黑体" w:hAnsi="黑体" w:eastAsia="黑体"/>
          <w:snapToGrid w:val="0"/>
          <w:sz w:val="30"/>
          <w:szCs w:val="30"/>
        </w:rPr>
        <w:t>七、结论</w:t>
      </w:r>
    </w:p>
    <w:tbl>
      <w:tblPr>
        <w:tblStyle w:val="17"/>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865" w:type="dxa"/>
          </w:tcPr>
          <w:p>
            <w:pPr>
              <w:spacing w:line="400" w:lineRule="exact"/>
              <w:ind w:firstLine="420" w:firstLineChars="200"/>
              <w:jc w:val="left"/>
              <w:rPr>
                <w:rFonts w:asciiTheme="minorEastAsia" w:hAnsiTheme="minorEastAsia" w:eastAsiaTheme="minorEastAsia"/>
                <w:szCs w:val="21"/>
              </w:rPr>
            </w:pPr>
            <w:r>
              <w:rPr>
                <w:rFonts w:hint="eastAsia" w:ascii="宋体" w:hAnsi="宋体" w:cs="宋体"/>
                <w:szCs w:val="21"/>
              </w:rPr>
              <w:t>宣汉普宏燃气有限公司“普光园区化工专线输气管道工程”</w:t>
            </w:r>
            <w:r>
              <w:rPr>
                <w:rFonts w:hint="eastAsia"/>
              </w:rPr>
              <w:t xml:space="preserve"> </w:t>
            </w:r>
            <w:r>
              <w:rPr>
                <w:rFonts w:hint="eastAsia" w:asciiTheme="minorEastAsia" w:hAnsiTheme="minorEastAsia" w:eastAsiaTheme="minorEastAsia"/>
                <w:szCs w:val="21"/>
              </w:rPr>
              <w:t>属清洁能源输送工程，符合国家产业政策，与当地规划相容，符合沿线城镇经济发展、生态环境保护、交通、水利、土地利用等规划，对于满足普光园区企业的用气需求，减少污染物排放总量，改善环境空气质量具有重要意义。项目避开了城镇规划发展用地，路由、场址选择合理；贯彻了“清洁生产、总量控制、达标排放”原则；采取的生态保护和恢复措施可行，污染治理措施经济技术可行；风险防范措施可靠。在施工期和营运期，只要认真落实本报告表中提出的各项污染防治、生态保护及恢复、水土保持措施，风险防范措施，并建立突发事故应急预案后，对环境的影响能降到最低，能够满足环境功能区划的要求，环境风险属可接受水平。</w:t>
            </w:r>
          </w:p>
          <w:p>
            <w:pPr>
              <w:spacing w:line="40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因此，从环境保护角度分析，项目在所选地址建设可行。</w:t>
            </w:r>
          </w:p>
          <w:p>
            <w:pPr>
              <w:spacing w:line="516" w:lineRule="exact"/>
              <w:ind w:firstLine="482" w:firstLineChars="200"/>
              <w:jc w:val="left"/>
              <w:rPr>
                <w:rFonts w:asciiTheme="minorEastAsia" w:hAnsiTheme="minorEastAsia" w:eastAsiaTheme="minorEastAsia"/>
                <w:b/>
                <w:sz w:val="24"/>
              </w:rPr>
            </w:pPr>
          </w:p>
          <w:p>
            <w:pPr>
              <w:spacing w:line="516" w:lineRule="exact"/>
              <w:ind w:firstLine="482" w:firstLineChars="200"/>
              <w:jc w:val="left"/>
              <w:rPr>
                <w:rFonts w:asciiTheme="minorEastAsia" w:hAnsiTheme="minorEastAsia" w:eastAsiaTheme="minorEastAsia"/>
                <w:b/>
                <w:sz w:val="24"/>
              </w:rPr>
            </w:pPr>
          </w:p>
          <w:p>
            <w:pPr>
              <w:spacing w:line="516" w:lineRule="exact"/>
              <w:ind w:firstLine="482" w:firstLineChars="200"/>
              <w:jc w:val="left"/>
              <w:rPr>
                <w:rFonts w:asciiTheme="minorEastAsia" w:hAnsiTheme="minorEastAsia" w:eastAsiaTheme="minorEastAsia"/>
                <w:b/>
                <w:sz w:val="24"/>
              </w:rPr>
            </w:pPr>
          </w:p>
          <w:p>
            <w:pPr>
              <w:spacing w:line="516" w:lineRule="exact"/>
              <w:ind w:firstLine="482" w:firstLineChars="200"/>
              <w:jc w:val="left"/>
              <w:rPr>
                <w:rFonts w:asciiTheme="minorEastAsia" w:hAnsiTheme="minorEastAsia" w:eastAsiaTheme="minorEastAsia"/>
                <w:b/>
                <w:sz w:val="24"/>
              </w:rPr>
            </w:pPr>
          </w:p>
          <w:p>
            <w:pPr>
              <w:spacing w:line="516" w:lineRule="exact"/>
              <w:ind w:firstLine="482" w:firstLineChars="200"/>
              <w:jc w:val="left"/>
              <w:rPr>
                <w:rFonts w:asciiTheme="minorEastAsia" w:hAnsiTheme="minorEastAsia" w:eastAsiaTheme="minorEastAsia"/>
                <w:b/>
                <w:sz w:val="24"/>
              </w:rPr>
            </w:pPr>
          </w:p>
          <w:p>
            <w:pPr>
              <w:spacing w:line="516" w:lineRule="exact"/>
              <w:ind w:firstLine="482" w:firstLineChars="200"/>
              <w:jc w:val="left"/>
              <w:rPr>
                <w:rFonts w:asciiTheme="minorEastAsia" w:hAnsiTheme="minorEastAsia" w:eastAsiaTheme="minorEastAsia"/>
                <w:b/>
                <w:sz w:val="24"/>
              </w:rPr>
            </w:pPr>
          </w:p>
          <w:p>
            <w:pPr>
              <w:spacing w:line="516" w:lineRule="exact"/>
              <w:ind w:firstLine="482" w:firstLineChars="200"/>
              <w:jc w:val="left"/>
              <w:rPr>
                <w:rFonts w:asciiTheme="minorEastAsia" w:hAnsiTheme="minorEastAsia" w:eastAsiaTheme="minorEastAsia"/>
                <w:b/>
                <w:sz w:val="24"/>
              </w:rPr>
            </w:pPr>
          </w:p>
          <w:p>
            <w:pPr>
              <w:spacing w:line="516" w:lineRule="exact"/>
              <w:ind w:firstLine="482" w:firstLineChars="200"/>
              <w:jc w:val="left"/>
              <w:rPr>
                <w:rFonts w:asciiTheme="minorEastAsia" w:hAnsiTheme="minorEastAsia" w:eastAsiaTheme="minorEastAsia"/>
                <w:b/>
                <w:sz w:val="24"/>
              </w:rPr>
            </w:pPr>
          </w:p>
          <w:p>
            <w:pPr>
              <w:spacing w:line="516" w:lineRule="exact"/>
              <w:ind w:firstLine="482" w:firstLineChars="200"/>
              <w:jc w:val="left"/>
              <w:rPr>
                <w:rFonts w:asciiTheme="minorEastAsia" w:hAnsiTheme="minorEastAsia" w:eastAsiaTheme="minorEastAsia"/>
                <w:b/>
                <w:sz w:val="24"/>
              </w:rPr>
            </w:pPr>
          </w:p>
          <w:p>
            <w:pPr>
              <w:spacing w:line="516" w:lineRule="exact"/>
              <w:ind w:firstLine="482" w:firstLineChars="200"/>
              <w:jc w:val="left"/>
              <w:rPr>
                <w:rFonts w:asciiTheme="minorEastAsia" w:hAnsiTheme="minorEastAsia" w:eastAsiaTheme="minorEastAsia"/>
                <w:b/>
                <w:sz w:val="24"/>
              </w:rPr>
            </w:pPr>
          </w:p>
          <w:p>
            <w:pPr>
              <w:spacing w:line="516" w:lineRule="exact"/>
              <w:ind w:firstLine="482" w:firstLineChars="200"/>
              <w:jc w:val="left"/>
              <w:rPr>
                <w:rFonts w:asciiTheme="minorEastAsia" w:hAnsiTheme="minorEastAsia" w:eastAsiaTheme="minorEastAsia"/>
                <w:b/>
                <w:sz w:val="24"/>
              </w:rPr>
            </w:pPr>
          </w:p>
          <w:p>
            <w:pPr>
              <w:spacing w:line="516" w:lineRule="exact"/>
              <w:ind w:firstLine="482" w:firstLineChars="200"/>
              <w:jc w:val="left"/>
              <w:rPr>
                <w:rFonts w:asciiTheme="minorEastAsia" w:hAnsiTheme="minorEastAsia" w:eastAsiaTheme="minorEastAsia"/>
                <w:b/>
                <w:sz w:val="24"/>
              </w:rPr>
            </w:pPr>
          </w:p>
          <w:p>
            <w:pPr>
              <w:spacing w:line="516" w:lineRule="exact"/>
              <w:ind w:firstLine="482" w:firstLineChars="200"/>
              <w:jc w:val="left"/>
              <w:rPr>
                <w:rFonts w:asciiTheme="minorEastAsia" w:hAnsiTheme="minorEastAsia" w:eastAsiaTheme="minorEastAsia"/>
                <w:b/>
                <w:sz w:val="24"/>
              </w:rPr>
            </w:pPr>
          </w:p>
          <w:p>
            <w:pPr>
              <w:spacing w:line="516" w:lineRule="exact"/>
              <w:ind w:firstLine="482" w:firstLineChars="200"/>
              <w:jc w:val="left"/>
              <w:rPr>
                <w:rFonts w:asciiTheme="minorEastAsia" w:hAnsiTheme="minorEastAsia" w:eastAsiaTheme="minorEastAsia"/>
                <w:b/>
                <w:sz w:val="24"/>
              </w:rPr>
            </w:pPr>
          </w:p>
          <w:p>
            <w:pPr>
              <w:spacing w:line="100" w:lineRule="exact"/>
              <w:ind w:firstLine="482" w:firstLineChars="200"/>
              <w:jc w:val="left"/>
              <w:rPr>
                <w:rFonts w:asciiTheme="minorEastAsia" w:hAnsiTheme="minorEastAsia" w:eastAsiaTheme="minorEastAsia"/>
                <w:b/>
                <w:sz w:val="24"/>
              </w:rPr>
            </w:pPr>
          </w:p>
          <w:p>
            <w:pPr>
              <w:spacing w:line="100" w:lineRule="exact"/>
              <w:ind w:firstLine="482" w:firstLineChars="200"/>
              <w:jc w:val="left"/>
              <w:rPr>
                <w:rFonts w:asciiTheme="minorEastAsia" w:hAnsiTheme="minorEastAsia" w:eastAsiaTheme="minorEastAsia"/>
                <w:b/>
                <w:sz w:val="24"/>
              </w:rPr>
            </w:pPr>
          </w:p>
          <w:p>
            <w:pPr>
              <w:spacing w:line="100" w:lineRule="exact"/>
              <w:ind w:firstLine="482" w:firstLineChars="200"/>
              <w:jc w:val="left"/>
              <w:rPr>
                <w:rFonts w:asciiTheme="minorEastAsia" w:hAnsiTheme="minorEastAsia" w:eastAsiaTheme="minorEastAsia"/>
                <w:b/>
                <w:sz w:val="24"/>
              </w:rPr>
            </w:pPr>
          </w:p>
          <w:p>
            <w:pPr>
              <w:spacing w:line="100" w:lineRule="exact"/>
              <w:ind w:firstLine="482" w:firstLineChars="200"/>
              <w:jc w:val="left"/>
              <w:rPr>
                <w:rFonts w:asciiTheme="minorEastAsia" w:hAnsiTheme="minorEastAsia" w:eastAsiaTheme="minorEastAsia"/>
                <w:b/>
                <w:sz w:val="24"/>
              </w:rPr>
            </w:pPr>
          </w:p>
          <w:p>
            <w:pPr>
              <w:spacing w:line="100" w:lineRule="exact"/>
              <w:ind w:firstLine="482" w:firstLineChars="200"/>
              <w:jc w:val="left"/>
              <w:rPr>
                <w:rFonts w:asciiTheme="minorEastAsia" w:hAnsiTheme="minorEastAsia" w:eastAsiaTheme="minorEastAsia"/>
                <w:b/>
                <w:sz w:val="24"/>
              </w:rPr>
            </w:pPr>
          </w:p>
        </w:tc>
      </w:tr>
    </w:tbl>
    <w:p>
      <w:pPr>
        <w:widowControl/>
        <w:adjustRightInd w:val="0"/>
        <w:snapToGrid w:val="0"/>
        <w:spacing w:line="20" w:lineRule="exact"/>
        <w:jc w:val="left"/>
        <w:rPr>
          <w:rFonts w:ascii="宋体"/>
        </w:rPr>
      </w:pPr>
    </w:p>
    <w:sectPr>
      <w:pgSz w:w="11906" w:h="16838"/>
      <w:pgMar w:top="1723" w:right="1531" w:bottom="1723" w:left="1531" w:header="851" w:footer="1077"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TimesNewRoman">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8CF3C52" w:usb2="00000016" w:usb3="00000000" w:csb0="0004001F" w:csb1="00000000"/>
  </w:font>
  <w:font w:name="Arial">
    <w:panose1 w:val="020B0604020202020204"/>
    <w:charset w:val="00"/>
    <w:family w:val="swiss"/>
    <w:pitch w:val="default"/>
    <w:sig w:usb0="E0002E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1"/>
      </w:rPr>
    </w:pPr>
    <w:r>
      <w:rPr>
        <w:rStyle w:val="21"/>
      </w:rPr>
      <w:fldChar w:fldCharType="begin"/>
    </w:r>
    <w:r>
      <w:rPr>
        <w:rStyle w:val="21"/>
      </w:rPr>
      <w:instrText xml:space="preserve">PAGE  </w:instrText>
    </w:r>
    <w:r>
      <w:rPr>
        <w:rStyle w:val="21"/>
      </w:rPr>
      <w:fldChar w:fldCharType="separate"/>
    </w:r>
    <w:r>
      <w:rPr>
        <w:rStyle w:val="21"/>
      </w:rPr>
      <w:t>- 2 -</w:t>
    </w:r>
    <w:r>
      <w:rPr>
        <w:rStyle w:val="21"/>
      </w:rPr>
      <w:fldChar w:fldCharType="end"/>
    </w:r>
  </w:p>
  <w:p>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0899647"/>
    </w:sdtPr>
    <w:sdtEndPr>
      <w:rPr>
        <w:sz w:val="21"/>
        <w:szCs w:val="21"/>
      </w:rPr>
    </w:sdtEndPr>
    <w:sdtContent>
      <w:p>
        <w:pPr>
          <w:pStyle w:val="11"/>
          <w:jc w:val="right"/>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w:t>
        </w:r>
        <w:r>
          <w:rPr>
            <w:sz w:val="21"/>
            <w:szCs w:val="21"/>
          </w:rPr>
          <w:t xml:space="preserve"> 11 -</w:t>
        </w:r>
        <w:r>
          <w:rPr>
            <w:sz w:val="21"/>
            <w:szCs w:val="21"/>
          </w:rPr>
          <w:fldChar w:fldCharType="end"/>
        </w:r>
      </w:p>
    </w:sdtContent>
  </w:sdt>
  <w:p>
    <w:pPr>
      <w:pStyle w:val="11"/>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1"/>
      </w:rPr>
    </w:pPr>
    <w:r>
      <w:rPr>
        <w:rStyle w:val="21"/>
      </w:rPr>
      <w:fldChar w:fldCharType="begin"/>
    </w:r>
    <w:r>
      <w:rPr>
        <w:rStyle w:val="21"/>
      </w:rPr>
      <w:instrText xml:space="preserve">PAGE  </w:instrText>
    </w:r>
    <w:r>
      <w:rPr>
        <w:rStyle w:val="21"/>
      </w:rPr>
      <w:fldChar w:fldCharType="separate"/>
    </w:r>
    <w:r>
      <w:rPr>
        <w:rStyle w:val="21"/>
      </w:rPr>
      <w:t>- 34 -</w:t>
    </w:r>
    <w:r>
      <w:rPr>
        <w:rStyle w:val="21"/>
      </w:rPr>
      <w:fldChar w:fldCharType="end"/>
    </w:r>
  </w:p>
  <w:p>
    <w:pPr>
      <w:pStyle w:val="11"/>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3040754"/>
    </w:sdtPr>
    <w:sdtEndPr>
      <w:rPr>
        <w:sz w:val="21"/>
        <w:szCs w:val="21"/>
      </w:rPr>
    </w:sdtEndPr>
    <w:sdtContent>
      <w:p>
        <w:pPr>
          <w:pStyle w:val="11"/>
          <w:jc w:val="right"/>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w:t>
        </w:r>
        <w:r>
          <w:rPr>
            <w:sz w:val="21"/>
            <w:szCs w:val="21"/>
          </w:rPr>
          <w:t xml:space="preserve"> 15 -</w:t>
        </w:r>
        <w:r>
          <w:rPr>
            <w:sz w:val="21"/>
            <w:szCs w:val="21"/>
          </w:rPr>
          <w:fldChar w:fldCharType="end"/>
        </w:r>
      </w:p>
    </w:sdtContent>
  </w:sdt>
  <w:p>
    <w:pPr>
      <w:pStyle w:val="11"/>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2030672"/>
    </w:sdtPr>
    <w:sdtEndPr>
      <w:rPr>
        <w:sz w:val="21"/>
        <w:szCs w:val="21"/>
      </w:rPr>
    </w:sdtEndPr>
    <w:sdtContent>
      <w:p>
        <w:pPr>
          <w:pStyle w:val="11"/>
          <w:jc w:val="right"/>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w:t>
        </w:r>
        <w:r>
          <w:rPr>
            <w:sz w:val="21"/>
            <w:szCs w:val="21"/>
          </w:rPr>
          <w:t xml:space="preserve"> 35 -</w:t>
        </w:r>
        <w:r>
          <w:rPr>
            <w:sz w:val="21"/>
            <w:szCs w:val="21"/>
          </w:rPr>
          <w:fldChar w:fldCharType="end"/>
        </w:r>
      </w:p>
    </w:sdtContent>
  </w:sdt>
  <w:p>
    <w:pPr>
      <w:pStyle w:val="11"/>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evenAndOddHeaders w:val="1"/>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1MjBmODgwMjA5YjBiZjYzNGIyMDUzMTI2OGU4ZGYifQ=="/>
  </w:docVars>
  <w:rsids>
    <w:rsidRoot w:val="00A14947"/>
    <w:rsid w:val="00000234"/>
    <w:rsid w:val="00000CC8"/>
    <w:rsid w:val="00001CED"/>
    <w:rsid w:val="00001E67"/>
    <w:rsid w:val="00003CD8"/>
    <w:rsid w:val="00005AA1"/>
    <w:rsid w:val="00005BEC"/>
    <w:rsid w:val="00005F2B"/>
    <w:rsid w:val="00006008"/>
    <w:rsid w:val="00010264"/>
    <w:rsid w:val="00014965"/>
    <w:rsid w:val="0001523A"/>
    <w:rsid w:val="00016ECB"/>
    <w:rsid w:val="000208AF"/>
    <w:rsid w:val="000268C9"/>
    <w:rsid w:val="000269F6"/>
    <w:rsid w:val="00031939"/>
    <w:rsid w:val="00032600"/>
    <w:rsid w:val="00032D25"/>
    <w:rsid w:val="000347E1"/>
    <w:rsid w:val="000355A0"/>
    <w:rsid w:val="000363C9"/>
    <w:rsid w:val="0005219D"/>
    <w:rsid w:val="00054B93"/>
    <w:rsid w:val="0005568F"/>
    <w:rsid w:val="0006153D"/>
    <w:rsid w:val="00061AD3"/>
    <w:rsid w:val="00061B1F"/>
    <w:rsid w:val="0006521D"/>
    <w:rsid w:val="000664DB"/>
    <w:rsid w:val="0007127D"/>
    <w:rsid w:val="00071AE5"/>
    <w:rsid w:val="000732BC"/>
    <w:rsid w:val="00074783"/>
    <w:rsid w:val="000801E0"/>
    <w:rsid w:val="000822BA"/>
    <w:rsid w:val="00082A29"/>
    <w:rsid w:val="00082A7E"/>
    <w:rsid w:val="0008331D"/>
    <w:rsid w:val="00083C18"/>
    <w:rsid w:val="000843F6"/>
    <w:rsid w:val="0008634C"/>
    <w:rsid w:val="00090539"/>
    <w:rsid w:val="00090561"/>
    <w:rsid w:val="00092899"/>
    <w:rsid w:val="000A00B6"/>
    <w:rsid w:val="000A1363"/>
    <w:rsid w:val="000A178E"/>
    <w:rsid w:val="000A453B"/>
    <w:rsid w:val="000A557E"/>
    <w:rsid w:val="000B058F"/>
    <w:rsid w:val="000B693F"/>
    <w:rsid w:val="000C07B8"/>
    <w:rsid w:val="000C09AC"/>
    <w:rsid w:val="000C0A63"/>
    <w:rsid w:val="000C1CDE"/>
    <w:rsid w:val="000C37A7"/>
    <w:rsid w:val="000C437E"/>
    <w:rsid w:val="000C540F"/>
    <w:rsid w:val="000C5C4A"/>
    <w:rsid w:val="000C6321"/>
    <w:rsid w:val="000C6857"/>
    <w:rsid w:val="000D0FAA"/>
    <w:rsid w:val="000D33DC"/>
    <w:rsid w:val="000D41AD"/>
    <w:rsid w:val="000D4992"/>
    <w:rsid w:val="000D6C4D"/>
    <w:rsid w:val="000E0F31"/>
    <w:rsid w:val="000E5374"/>
    <w:rsid w:val="000E556C"/>
    <w:rsid w:val="000E5915"/>
    <w:rsid w:val="000E5F16"/>
    <w:rsid w:val="000E72D0"/>
    <w:rsid w:val="000F2C59"/>
    <w:rsid w:val="000F4452"/>
    <w:rsid w:val="000F6D4A"/>
    <w:rsid w:val="000F6DA1"/>
    <w:rsid w:val="000F701B"/>
    <w:rsid w:val="000F70F5"/>
    <w:rsid w:val="0010028B"/>
    <w:rsid w:val="001040A9"/>
    <w:rsid w:val="001056A0"/>
    <w:rsid w:val="001061A0"/>
    <w:rsid w:val="00115279"/>
    <w:rsid w:val="00115BD3"/>
    <w:rsid w:val="00117459"/>
    <w:rsid w:val="0011749A"/>
    <w:rsid w:val="00120BBD"/>
    <w:rsid w:val="001222C6"/>
    <w:rsid w:val="00122DC0"/>
    <w:rsid w:val="0012677A"/>
    <w:rsid w:val="00127A68"/>
    <w:rsid w:val="001309F2"/>
    <w:rsid w:val="0013618E"/>
    <w:rsid w:val="00140B13"/>
    <w:rsid w:val="00141B68"/>
    <w:rsid w:val="001441F0"/>
    <w:rsid w:val="001466DA"/>
    <w:rsid w:val="001469BE"/>
    <w:rsid w:val="00150B8A"/>
    <w:rsid w:val="00154DE1"/>
    <w:rsid w:val="00155B40"/>
    <w:rsid w:val="00156359"/>
    <w:rsid w:val="00157435"/>
    <w:rsid w:val="00163B7B"/>
    <w:rsid w:val="00163EEA"/>
    <w:rsid w:val="00167A07"/>
    <w:rsid w:val="0017046A"/>
    <w:rsid w:val="001704A3"/>
    <w:rsid w:val="0017149A"/>
    <w:rsid w:val="0017504D"/>
    <w:rsid w:val="00177422"/>
    <w:rsid w:val="0018277B"/>
    <w:rsid w:val="00184F10"/>
    <w:rsid w:val="001853C0"/>
    <w:rsid w:val="00185546"/>
    <w:rsid w:val="0018783C"/>
    <w:rsid w:val="00187F19"/>
    <w:rsid w:val="0019146B"/>
    <w:rsid w:val="00194398"/>
    <w:rsid w:val="001963D6"/>
    <w:rsid w:val="00196E28"/>
    <w:rsid w:val="00196F0C"/>
    <w:rsid w:val="001A1491"/>
    <w:rsid w:val="001A59D6"/>
    <w:rsid w:val="001A7D2A"/>
    <w:rsid w:val="001B0469"/>
    <w:rsid w:val="001B4F61"/>
    <w:rsid w:val="001B574C"/>
    <w:rsid w:val="001B5E6C"/>
    <w:rsid w:val="001B7DBE"/>
    <w:rsid w:val="001C0AF9"/>
    <w:rsid w:val="001C153C"/>
    <w:rsid w:val="001C155A"/>
    <w:rsid w:val="001C263F"/>
    <w:rsid w:val="001C48C0"/>
    <w:rsid w:val="001C62F9"/>
    <w:rsid w:val="001D09CF"/>
    <w:rsid w:val="001D3F59"/>
    <w:rsid w:val="001D6726"/>
    <w:rsid w:val="001D6E72"/>
    <w:rsid w:val="001E2CD5"/>
    <w:rsid w:val="001F0E3E"/>
    <w:rsid w:val="001F1AE6"/>
    <w:rsid w:val="001F3347"/>
    <w:rsid w:val="001F4440"/>
    <w:rsid w:val="001F5921"/>
    <w:rsid w:val="001F634D"/>
    <w:rsid w:val="001F69E4"/>
    <w:rsid w:val="00203A97"/>
    <w:rsid w:val="00206A65"/>
    <w:rsid w:val="00207BEB"/>
    <w:rsid w:val="00210685"/>
    <w:rsid w:val="00211FAE"/>
    <w:rsid w:val="00212D31"/>
    <w:rsid w:val="002130C7"/>
    <w:rsid w:val="00214BA5"/>
    <w:rsid w:val="00215A1B"/>
    <w:rsid w:val="002160D9"/>
    <w:rsid w:val="00216FFA"/>
    <w:rsid w:val="00220990"/>
    <w:rsid w:val="002218A8"/>
    <w:rsid w:val="0022306D"/>
    <w:rsid w:val="00226574"/>
    <w:rsid w:val="002278EC"/>
    <w:rsid w:val="00233D26"/>
    <w:rsid w:val="002357C7"/>
    <w:rsid w:val="00235F4B"/>
    <w:rsid w:val="002367C4"/>
    <w:rsid w:val="002406C4"/>
    <w:rsid w:val="002457E8"/>
    <w:rsid w:val="00246BEB"/>
    <w:rsid w:val="00247305"/>
    <w:rsid w:val="002478A9"/>
    <w:rsid w:val="002527A7"/>
    <w:rsid w:val="0025679E"/>
    <w:rsid w:val="00257A0A"/>
    <w:rsid w:val="00260C68"/>
    <w:rsid w:val="00262CF5"/>
    <w:rsid w:val="002648B0"/>
    <w:rsid w:val="002650DD"/>
    <w:rsid w:val="00270324"/>
    <w:rsid w:val="0027060D"/>
    <w:rsid w:val="002710CB"/>
    <w:rsid w:val="00275271"/>
    <w:rsid w:val="0027535E"/>
    <w:rsid w:val="00275AA6"/>
    <w:rsid w:val="002807D5"/>
    <w:rsid w:val="00282CCD"/>
    <w:rsid w:val="00290780"/>
    <w:rsid w:val="00291F0E"/>
    <w:rsid w:val="00292EFF"/>
    <w:rsid w:val="00296058"/>
    <w:rsid w:val="00296565"/>
    <w:rsid w:val="002A168C"/>
    <w:rsid w:val="002A2C48"/>
    <w:rsid w:val="002A3EED"/>
    <w:rsid w:val="002A4A39"/>
    <w:rsid w:val="002A5A17"/>
    <w:rsid w:val="002A6425"/>
    <w:rsid w:val="002A6683"/>
    <w:rsid w:val="002B3D4F"/>
    <w:rsid w:val="002B49E2"/>
    <w:rsid w:val="002B7B00"/>
    <w:rsid w:val="002B7C44"/>
    <w:rsid w:val="002C1388"/>
    <w:rsid w:val="002C3C6A"/>
    <w:rsid w:val="002C5A77"/>
    <w:rsid w:val="002C7CCE"/>
    <w:rsid w:val="002D0593"/>
    <w:rsid w:val="002D0FE0"/>
    <w:rsid w:val="002D312B"/>
    <w:rsid w:val="002D3E23"/>
    <w:rsid w:val="002D42DB"/>
    <w:rsid w:val="002E1168"/>
    <w:rsid w:val="002E1F3A"/>
    <w:rsid w:val="002E298A"/>
    <w:rsid w:val="002E5950"/>
    <w:rsid w:val="002E7CCD"/>
    <w:rsid w:val="002F02A4"/>
    <w:rsid w:val="002F0C9A"/>
    <w:rsid w:val="002F1F72"/>
    <w:rsid w:val="002F272B"/>
    <w:rsid w:val="002F6E85"/>
    <w:rsid w:val="002F7C6D"/>
    <w:rsid w:val="003027E4"/>
    <w:rsid w:val="0030332C"/>
    <w:rsid w:val="00312296"/>
    <w:rsid w:val="0031340E"/>
    <w:rsid w:val="00316464"/>
    <w:rsid w:val="00316B7D"/>
    <w:rsid w:val="00316E32"/>
    <w:rsid w:val="0032073A"/>
    <w:rsid w:val="00321D8E"/>
    <w:rsid w:val="00324DEB"/>
    <w:rsid w:val="00325C3E"/>
    <w:rsid w:val="00326097"/>
    <w:rsid w:val="00334996"/>
    <w:rsid w:val="00336969"/>
    <w:rsid w:val="00336BC3"/>
    <w:rsid w:val="00336C52"/>
    <w:rsid w:val="00336E6E"/>
    <w:rsid w:val="00341300"/>
    <w:rsid w:val="00341B3E"/>
    <w:rsid w:val="00341B42"/>
    <w:rsid w:val="003420FE"/>
    <w:rsid w:val="00345154"/>
    <w:rsid w:val="0034560E"/>
    <w:rsid w:val="00350523"/>
    <w:rsid w:val="00352975"/>
    <w:rsid w:val="00356868"/>
    <w:rsid w:val="00356C26"/>
    <w:rsid w:val="00357857"/>
    <w:rsid w:val="00360283"/>
    <w:rsid w:val="00360DDF"/>
    <w:rsid w:val="0036485B"/>
    <w:rsid w:val="0037194C"/>
    <w:rsid w:val="003729CC"/>
    <w:rsid w:val="00372B69"/>
    <w:rsid w:val="00372D3C"/>
    <w:rsid w:val="00373B0D"/>
    <w:rsid w:val="00375FBB"/>
    <w:rsid w:val="00376926"/>
    <w:rsid w:val="00376988"/>
    <w:rsid w:val="00381A72"/>
    <w:rsid w:val="0038270B"/>
    <w:rsid w:val="003A0352"/>
    <w:rsid w:val="003A1948"/>
    <w:rsid w:val="003A21C2"/>
    <w:rsid w:val="003A3E1C"/>
    <w:rsid w:val="003A4EAC"/>
    <w:rsid w:val="003B152A"/>
    <w:rsid w:val="003B1B70"/>
    <w:rsid w:val="003B27C2"/>
    <w:rsid w:val="003B4102"/>
    <w:rsid w:val="003B545B"/>
    <w:rsid w:val="003C1BCE"/>
    <w:rsid w:val="003D07AE"/>
    <w:rsid w:val="003D3EE9"/>
    <w:rsid w:val="003D4756"/>
    <w:rsid w:val="003D55A7"/>
    <w:rsid w:val="003E104B"/>
    <w:rsid w:val="003E204B"/>
    <w:rsid w:val="003E2BDD"/>
    <w:rsid w:val="003E45E3"/>
    <w:rsid w:val="003E7681"/>
    <w:rsid w:val="003F0809"/>
    <w:rsid w:val="003F272C"/>
    <w:rsid w:val="003F611C"/>
    <w:rsid w:val="003F755C"/>
    <w:rsid w:val="004001DF"/>
    <w:rsid w:val="00405077"/>
    <w:rsid w:val="0040537F"/>
    <w:rsid w:val="00406F01"/>
    <w:rsid w:val="00407680"/>
    <w:rsid w:val="00411B36"/>
    <w:rsid w:val="004121D7"/>
    <w:rsid w:val="00414F94"/>
    <w:rsid w:val="004158DE"/>
    <w:rsid w:val="004162DC"/>
    <w:rsid w:val="00416D50"/>
    <w:rsid w:val="00417772"/>
    <w:rsid w:val="00420E6A"/>
    <w:rsid w:val="004228A3"/>
    <w:rsid w:val="004243FE"/>
    <w:rsid w:val="00427B73"/>
    <w:rsid w:val="00430CB5"/>
    <w:rsid w:val="00431D5F"/>
    <w:rsid w:val="00433CA9"/>
    <w:rsid w:val="0043521D"/>
    <w:rsid w:val="004376CA"/>
    <w:rsid w:val="0044017C"/>
    <w:rsid w:val="00442024"/>
    <w:rsid w:val="0044254C"/>
    <w:rsid w:val="00443F6A"/>
    <w:rsid w:val="00447D3B"/>
    <w:rsid w:val="00450A17"/>
    <w:rsid w:val="0045165D"/>
    <w:rsid w:val="00451814"/>
    <w:rsid w:val="00452EB6"/>
    <w:rsid w:val="00453892"/>
    <w:rsid w:val="00463F4B"/>
    <w:rsid w:val="004643B0"/>
    <w:rsid w:val="00466321"/>
    <w:rsid w:val="004672AF"/>
    <w:rsid w:val="004674B6"/>
    <w:rsid w:val="0047139C"/>
    <w:rsid w:val="004727B0"/>
    <w:rsid w:val="004774DF"/>
    <w:rsid w:val="00480247"/>
    <w:rsid w:val="0048081D"/>
    <w:rsid w:val="0048117E"/>
    <w:rsid w:val="004843BB"/>
    <w:rsid w:val="0048445E"/>
    <w:rsid w:val="004855F6"/>
    <w:rsid w:val="00486F0C"/>
    <w:rsid w:val="00494670"/>
    <w:rsid w:val="00497C43"/>
    <w:rsid w:val="004A0EB4"/>
    <w:rsid w:val="004A3823"/>
    <w:rsid w:val="004A4BED"/>
    <w:rsid w:val="004A59BB"/>
    <w:rsid w:val="004B43A3"/>
    <w:rsid w:val="004B4C49"/>
    <w:rsid w:val="004B5109"/>
    <w:rsid w:val="004B54D7"/>
    <w:rsid w:val="004B58A5"/>
    <w:rsid w:val="004B63D9"/>
    <w:rsid w:val="004C00C5"/>
    <w:rsid w:val="004C045A"/>
    <w:rsid w:val="004C0882"/>
    <w:rsid w:val="004C2162"/>
    <w:rsid w:val="004C46C8"/>
    <w:rsid w:val="004C4BDC"/>
    <w:rsid w:val="004C55BE"/>
    <w:rsid w:val="004C7588"/>
    <w:rsid w:val="004D0736"/>
    <w:rsid w:val="004D6141"/>
    <w:rsid w:val="004D75A8"/>
    <w:rsid w:val="004E4FA1"/>
    <w:rsid w:val="004E5B30"/>
    <w:rsid w:val="004F05D4"/>
    <w:rsid w:val="004F0779"/>
    <w:rsid w:val="004F1230"/>
    <w:rsid w:val="004F173F"/>
    <w:rsid w:val="004F177C"/>
    <w:rsid w:val="004F2DB3"/>
    <w:rsid w:val="004F2DCE"/>
    <w:rsid w:val="004F5919"/>
    <w:rsid w:val="005039CB"/>
    <w:rsid w:val="00504E7D"/>
    <w:rsid w:val="0050558F"/>
    <w:rsid w:val="005057E0"/>
    <w:rsid w:val="00506286"/>
    <w:rsid w:val="005070DD"/>
    <w:rsid w:val="00510813"/>
    <w:rsid w:val="00511DE0"/>
    <w:rsid w:val="00512028"/>
    <w:rsid w:val="00512E66"/>
    <w:rsid w:val="0051462C"/>
    <w:rsid w:val="00516256"/>
    <w:rsid w:val="005177EB"/>
    <w:rsid w:val="00517F02"/>
    <w:rsid w:val="00524547"/>
    <w:rsid w:val="005258A2"/>
    <w:rsid w:val="00526C70"/>
    <w:rsid w:val="00527A8E"/>
    <w:rsid w:val="00530F7C"/>
    <w:rsid w:val="00532159"/>
    <w:rsid w:val="00532B3F"/>
    <w:rsid w:val="005342F2"/>
    <w:rsid w:val="00534567"/>
    <w:rsid w:val="00534F43"/>
    <w:rsid w:val="00535A84"/>
    <w:rsid w:val="00536889"/>
    <w:rsid w:val="00541155"/>
    <w:rsid w:val="00542633"/>
    <w:rsid w:val="005428C6"/>
    <w:rsid w:val="00542E07"/>
    <w:rsid w:val="00544530"/>
    <w:rsid w:val="005462F9"/>
    <w:rsid w:val="00546456"/>
    <w:rsid w:val="00552284"/>
    <w:rsid w:val="00554A7B"/>
    <w:rsid w:val="00555378"/>
    <w:rsid w:val="0055572C"/>
    <w:rsid w:val="0056064F"/>
    <w:rsid w:val="00561B84"/>
    <w:rsid w:val="00565A30"/>
    <w:rsid w:val="005662BC"/>
    <w:rsid w:val="00571D98"/>
    <w:rsid w:val="005720AE"/>
    <w:rsid w:val="00577F7F"/>
    <w:rsid w:val="0058030D"/>
    <w:rsid w:val="00582045"/>
    <w:rsid w:val="00582C16"/>
    <w:rsid w:val="00590AE3"/>
    <w:rsid w:val="005918F1"/>
    <w:rsid w:val="005935A9"/>
    <w:rsid w:val="005A06B7"/>
    <w:rsid w:val="005A1759"/>
    <w:rsid w:val="005A1BCA"/>
    <w:rsid w:val="005A623D"/>
    <w:rsid w:val="005B4E22"/>
    <w:rsid w:val="005C3342"/>
    <w:rsid w:val="005C3628"/>
    <w:rsid w:val="005C7E20"/>
    <w:rsid w:val="005D0369"/>
    <w:rsid w:val="005D09C3"/>
    <w:rsid w:val="005D53FE"/>
    <w:rsid w:val="005D54B0"/>
    <w:rsid w:val="005D7A0F"/>
    <w:rsid w:val="005E0438"/>
    <w:rsid w:val="005E1791"/>
    <w:rsid w:val="005E2CE6"/>
    <w:rsid w:val="005E4E2C"/>
    <w:rsid w:val="005E6324"/>
    <w:rsid w:val="005E68F5"/>
    <w:rsid w:val="005E69D2"/>
    <w:rsid w:val="005F05F7"/>
    <w:rsid w:val="005F228B"/>
    <w:rsid w:val="005F29CD"/>
    <w:rsid w:val="005F4389"/>
    <w:rsid w:val="005F4DFB"/>
    <w:rsid w:val="005F6CC0"/>
    <w:rsid w:val="005F73FA"/>
    <w:rsid w:val="00603824"/>
    <w:rsid w:val="00603E5B"/>
    <w:rsid w:val="00603ED3"/>
    <w:rsid w:val="00604BC8"/>
    <w:rsid w:val="00607FCA"/>
    <w:rsid w:val="00615B4C"/>
    <w:rsid w:val="00615B5D"/>
    <w:rsid w:val="00616066"/>
    <w:rsid w:val="00616574"/>
    <w:rsid w:val="00617B2C"/>
    <w:rsid w:val="0062146F"/>
    <w:rsid w:val="00621F4C"/>
    <w:rsid w:val="00622FCD"/>
    <w:rsid w:val="00627BA4"/>
    <w:rsid w:val="00630ACE"/>
    <w:rsid w:val="006311F5"/>
    <w:rsid w:val="00634374"/>
    <w:rsid w:val="006343AF"/>
    <w:rsid w:val="0063634A"/>
    <w:rsid w:val="0063726A"/>
    <w:rsid w:val="006378BF"/>
    <w:rsid w:val="0064250D"/>
    <w:rsid w:val="00646CEB"/>
    <w:rsid w:val="00650182"/>
    <w:rsid w:val="00650529"/>
    <w:rsid w:val="00650CC5"/>
    <w:rsid w:val="006535EB"/>
    <w:rsid w:val="00655167"/>
    <w:rsid w:val="00663016"/>
    <w:rsid w:val="006667A7"/>
    <w:rsid w:val="00667A9F"/>
    <w:rsid w:val="00674605"/>
    <w:rsid w:val="006748B8"/>
    <w:rsid w:val="00675E2B"/>
    <w:rsid w:val="00677EBE"/>
    <w:rsid w:val="00680D74"/>
    <w:rsid w:val="00681493"/>
    <w:rsid w:val="006833AC"/>
    <w:rsid w:val="00683CAC"/>
    <w:rsid w:val="0068535B"/>
    <w:rsid w:val="0068736E"/>
    <w:rsid w:val="00687E7F"/>
    <w:rsid w:val="0069290A"/>
    <w:rsid w:val="0069581E"/>
    <w:rsid w:val="00697032"/>
    <w:rsid w:val="006975AC"/>
    <w:rsid w:val="006A092A"/>
    <w:rsid w:val="006A0D60"/>
    <w:rsid w:val="006A15FB"/>
    <w:rsid w:val="006A1954"/>
    <w:rsid w:val="006A262B"/>
    <w:rsid w:val="006A4FC1"/>
    <w:rsid w:val="006A60A9"/>
    <w:rsid w:val="006A62DE"/>
    <w:rsid w:val="006A6DA0"/>
    <w:rsid w:val="006A6EB0"/>
    <w:rsid w:val="006A72BF"/>
    <w:rsid w:val="006B332A"/>
    <w:rsid w:val="006B33BD"/>
    <w:rsid w:val="006B355F"/>
    <w:rsid w:val="006B4658"/>
    <w:rsid w:val="006B5B14"/>
    <w:rsid w:val="006B6084"/>
    <w:rsid w:val="006B6215"/>
    <w:rsid w:val="006B6FD3"/>
    <w:rsid w:val="006C0FA9"/>
    <w:rsid w:val="006C3F75"/>
    <w:rsid w:val="006C70AB"/>
    <w:rsid w:val="006C7E09"/>
    <w:rsid w:val="006D170E"/>
    <w:rsid w:val="006D1FB5"/>
    <w:rsid w:val="006D5857"/>
    <w:rsid w:val="006E0245"/>
    <w:rsid w:val="006E0337"/>
    <w:rsid w:val="006E06AF"/>
    <w:rsid w:val="006E12BC"/>
    <w:rsid w:val="006E505C"/>
    <w:rsid w:val="006E5BB3"/>
    <w:rsid w:val="006F0A93"/>
    <w:rsid w:val="006F1143"/>
    <w:rsid w:val="006F1789"/>
    <w:rsid w:val="006F1856"/>
    <w:rsid w:val="006F2EB5"/>
    <w:rsid w:val="00702396"/>
    <w:rsid w:val="00702AA2"/>
    <w:rsid w:val="00706920"/>
    <w:rsid w:val="00706A19"/>
    <w:rsid w:val="00706C5D"/>
    <w:rsid w:val="007118E6"/>
    <w:rsid w:val="00713C0C"/>
    <w:rsid w:val="0071696F"/>
    <w:rsid w:val="00716FDF"/>
    <w:rsid w:val="007224E5"/>
    <w:rsid w:val="007225C9"/>
    <w:rsid w:val="0072738B"/>
    <w:rsid w:val="0073129A"/>
    <w:rsid w:val="0073168B"/>
    <w:rsid w:val="00735CD7"/>
    <w:rsid w:val="007369EA"/>
    <w:rsid w:val="00740603"/>
    <w:rsid w:val="00754034"/>
    <w:rsid w:val="00754BF1"/>
    <w:rsid w:val="00755A30"/>
    <w:rsid w:val="00755E1C"/>
    <w:rsid w:val="00756556"/>
    <w:rsid w:val="0076132B"/>
    <w:rsid w:val="00761D6D"/>
    <w:rsid w:val="007623AE"/>
    <w:rsid w:val="00762721"/>
    <w:rsid w:val="007706E7"/>
    <w:rsid w:val="00770B19"/>
    <w:rsid w:val="007712AF"/>
    <w:rsid w:val="0077231A"/>
    <w:rsid w:val="00774FA0"/>
    <w:rsid w:val="0077508D"/>
    <w:rsid w:val="007755D3"/>
    <w:rsid w:val="00776620"/>
    <w:rsid w:val="00776BE8"/>
    <w:rsid w:val="00777B6D"/>
    <w:rsid w:val="00782900"/>
    <w:rsid w:val="00784855"/>
    <w:rsid w:val="00784F39"/>
    <w:rsid w:val="0078545C"/>
    <w:rsid w:val="0078656B"/>
    <w:rsid w:val="007906C4"/>
    <w:rsid w:val="00793B1F"/>
    <w:rsid w:val="007940EA"/>
    <w:rsid w:val="0079673B"/>
    <w:rsid w:val="007967E8"/>
    <w:rsid w:val="00796BFF"/>
    <w:rsid w:val="007A63F2"/>
    <w:rsid w:val="007B0298"/>
    <w:rsid w:val="007B4F00"/>
    <w:rsid w:val="007B68DE"/>
    <w:rsid w:val="007C1857"/>
    <w:rsid w:val="007C1DE6"/>
    <w:rsid w:val="007C46DB"/>
    <w:rsid w:val="007C514F"/>
    <w:rsid w:val="007C66A8"/>
    <w:rsid w:val="007D035D"/>
    <w:rsid w:val="007D0F95"/>
    <w:rsid w:val="007D7ECB"/>
    <w:rsid w:val="007E1BF0"/>
    <w:rsid w:val="007E25A1"/>
    <w:rsid w:val="007E3D27"/>
    <w:rsid w:val="007E4BD2"/>
    <w:rsid w:val="007E612B"/>
    <w:rsid w:val="007E7145"/>
    <w:rsid w:val="007E74CD"/>
    <w:rsid w:val="007E7DDE"/>
    <w:rsid w:val="007F3916"/>
    <w:rsid w:val="007F6F0A"/>
    <w:rsid w:val="00801179"/>
    <w:rsid w:val="008022AF"/>
    <w:rsid w:val="00802479"/>
    <w:rsid w:val="00805372"/>
    <w:rsid w:val="00805B7B"/>
    <w:rsid w:val="00806B30"/>
    <w:rsid w:val="00811904"/>
    <w:rsid w:val="0081293E"/>
    <w:rsid w:val="00812955"/>
    <w:rsid w:val="00813BBB"/>
    <w:rsid w:val="00814FFB"/>
    <w:rsid w:val="008160AE"/>
    <w:rsid w:val="00820568"/>
    <w:rsid w:val="00820A4F"/>
    <w:rsid w:val="008240A0"/>
    <w:rsid w:val="008245A8"/>
    <w:rsid w:val="00824BD6"/>
    <w:rsid w:val="00824DE6"/>
    <w:rsid w:val="00825ED3"/>
    <w:rsid w:val="00826C64"/>
    <w:rsid w:val="0082737A"/>
    <w:rsid w:val="00831A80"/>
    <w:rsid w:val="008332C8"/>
    <w:rsid w:val="00833743"/>
    <w:rsid w:val="00833C52"/>
    <w:rsid w:val="008340A4"/>
    <w:rsid w:val="008344E9"/>
    <w:rsid w:val="00834F7F"/>
    <w:rsid w:val="00835851"/>
    <w:rsid w:val="00836227"/>
    <w:rsid w:val="00836799"/>
    <w:rsid w:val="00837028"/>
    <w:rsid w:val="0083702F"/>
    <w:rsid w:val="00837131"/>
    <w:rsid w:val="0084183F"/>
    <w:rsid w:val="00845124"/>
    <w:rsid w:val="00845F57"/>
    <w:rsid w:val="00850542"/>
    <w:rsid w:val="008521E0"/>
    <w:rsid w:val="008525B0"/>
    <w:rsid w:val="008612BF"/>
    <w:rsid w:val="00861C7C"/>
    <w:rsid w:val="00863E99"/>
    <w:rsid w:val="008643E8"/>
    <w:rsid w:val="00867C7D"/>
    <w:rsid w:val="00867CBC"/>
    <w:rsid w:val="008702FD"/>
    <w:rsid w:val="00876C30"/>
    <w:rsid w:val="00877017"/>
    <w:rsid w:val="008773C0"/>
    <w:rsid w:val="008775E7"/>
    <w:rsid w:val="0087794C"/>
    <w:rsid w:val="00880364"/>
    <w:rsid w:val="00883016"/>
    <w:rsid w:val="00883A2F"/>
    <w:rsid w:val="00886C4C"/>
    <w:rsid w:val="0088711C"/>
    <w:rsid w:val="00892ECF"/>
    <w:rsid w:val="00892F06"/>
    <w:rsid w:val="00894285"/>
    <w:rsid w:val="0089458E"/>
    <w:rsid w:val="008A1FFB"/>
    <w:rsid w:val="008A40AE"/>
    <w:rsid w:val="008A4E19"/>
    <w:rsid w:val="008A67C5"/>
    <w:rsid w:val="008B22E1"/>
    <w:rsid w:val="008B3C78"/>
    <w:rsid w:val="008B4AE9"/>
    <w:rsid w:val="008C30AD"/>
    <w:rsid w:val="008C5080"/>
    <w:rsid w:val="008C683B"/>
    <w:rsid w:val="008C78A2"/>
    <w:rsid w:val="008C7D0A"/>
    <w:rsid w:val="008D068E"/>
    <w:rsid w:val="008D0F7A"/>
    <w:rsid w:val="008D367A"/>
    <w:rsid w:val="008D44AF"/>
    <w:rsid w:val="008D63BE"/>
    <w:rsid w:val="008E070E"/>
    <w:rsid w:val="008E0CFF"/>
    <w:rsid w:val="008E1C3D"/>
    <w:rsid w:val="008E38C9"/>
    <w:rsid w:val="008E41C2"/>
    <w:rsid w:val="008E5D6B"/>
    <w:rsid w:val="008E689B"/>
    <w:rsid w:val="008E76F0"/>
    <w:rsid w:val="008F15FE"/>
    <w:rsid w:val="008F2A94"/>
    <w:rsid w:val="008F3189"/>
    <w:rsid w:val="008F5187"/>
    <w:rsid w:val="008F523D"/>
    <w:rsid w:val="008F709C"/>
    <w:rsid w:val="0090312B"/>
    <w:rsid w:val="009036D7"/>
    <w:rsid w:val="009045E9"/>
    <w:rsid w:val="00904961"/>
    <w:rsid w:val="00905718"/>
    <w:rsid w:val="0091736D"/>
    <w:rsid w:val="00921680"/>
    <w:rsid w:val="00922C64"/>
    <w:rsid w:val="0092549F"/>
    <w:rsid w:val="00931001"/>
    <w:rsid w:val="00931863"/>
    <w:rsid w:val="00932022"/>
    <w:rsid w:val="00933524"/>
    <w:rsid w:val="009367C5"/>
    <w:rsid w:val="0094278D"/>
    <w:rsid w:val="00951C61"/>
    <w:rsid w:val="009526B0"/>
    <w:rsid w:val="0095308A"/>
    <w:rsid w:val="00953CC9"/>
    <w:rsid w:val="00955AEE"/>
    <w:rsid w:val="00956F14"/>
    <w:rsid w:val="009620FD"/>
    <w:rsid w:val="0096247A"/>
    <w:rsid w:val="0096441C"/>
    <w:rsid w:val="00965F4B"/>
    <w:rsid w:val="00966181"/>
    <w:rsid w:val="00970462"/>
    <w:rsid w:val="00970F8A"/>
    <w:rsid w:val="00971FB5"/>
    <w:rsid w:val="00972D2A"/>
    <w:rsid w:val="00975CC5"/>
    <w:rsid w:val="00976328"/>
    <w:rsid w:val="00976B4E"/>
    <w:rsid w:val="00984458"/>
    <w:rsid w:val="00985283"/>
    <w:rsid w:val="00987322"/>
    <w:rsid w:val="00990524"/>
    <w:rsid w:val="00992B21"/>
    <w:rsid w:val="00996AD7"/>
    <w:rsid w:val="00996D71"/>
    <w:rsid w:val="00997724"/>
    <w:rsid w:val="009A0F3B"/>
    <w:rsid w:val="009A425B"/>
    <w:rsid w:val="009A4944"/>
    <w:rsid w:val="009A4FEE"/>
    <w:rsid w:val="009A55A7"/>
    <w:rsid w:val="009A72C7"/>
    <w:rsid w:val="009B03CF"/>
    <w:rsid w:val="009B0897"/>
    <w:rsid w:val="009B4984"/>
    <w:rsid w:val="009C124E"/>
    <w:rsid w:val="009D0852"/>
    <w:rsid w:val="009D1FBF"/>
    <w:rsid w:val="009D2395"/>
    <w:rsid w:val="009D55FF"/>
    <w:rsid w:val="009D721C"/>
    <w:rsid w:val="009E399C"/>
    <w:rsid w:val="009E43C1"/>
    <w:rsid w:val="009E7E95"/>
    <w:rsid w:val="009F0CF6"/>
    <w:rsid w:val="009F116F"/>
    <w:rsid w:val="009F2A96"/>
    <w:rsid w:val="009F329E"/>
    <w:rsid w:val="009F5E66"/>
    <w:rsid w:val="009F5EA1"/>
    <w:rsid w:val="009F7ED3"/>
    <w:rsid w:val="00A0145B"/>
    <w:rsid w:val="00A024FA"/>
    <w:rsid w:val="00A02B28"/>
    <w:rsid w:val="00A03607"/>
    <w:rsid w:val="00A047FF"/>
    <w:rsid w:val="00A04FEF"/>
    <w:rsid w:val="00A122CD"/>
    <w:rsid w:val="00A12A32"/>
    <w:rsid w:val="00A141EA"/>
    <w:rsid w:val="00A14248"/>
    <w:rsid w:val="00A14947"/>
    <w:rsid w:val="00A21A0C"/>
    <w:rsid w:val="00A23DC5"/>
    <w:rsid w:val="00A26FE1"/>
    <w:rsid w:val="00A31D71"/>
    <w:rsid w:val="00A34028"/>
    <w:rsid w:val="00A35568"/>
    <w:rsid w:val="00A37056"/>
    <w:rsid w:val="00A4358F"/>
    <w:rsid w:val="00A436BB"/>
    <w:rsid w:val="00A43AA8"/>
    <w:rsid w:val="00A4493F"/>
    <w:rsid w:val="00A44C28"/>
    <w:rsid w:val="00A44E55"/>
    <w:rsid w:val="00A46F67"/>
    <w:rsid w:val="00A4777F"/>
    <w:rsid w:val="00A54AA1"/>
    <w:rsid w:val="00A56818"/>
    <w:rsid w:val="00A568FF"/>
    <w:rsid w:val="00A572AE"/>
    <w:rsid w:val="00A602C4"/>
    <w:rsid w:val="00A61496"/>
    <w:rsid w:val="00A61833"/>
    <w:rsid w:val="00A624C6"/>
    <w:rsid w:val="00A63CEC"/>
    <w:rsid w:val="00A64D71"/>
    <w:rsid w:val="00A7031E"/>
    <w:rsid w:val="00A71AC4"/>
    <w:rsid w:val="00A728B1"/>
    <w:rsid w:val="00A72DDF"/>
    <w:rsid w:val="00A7514A"/>
    <w:rsid w:val="00A763DE"/>
    <w:rsid w:val="00A801EE"/>
    <w:rsid w:val="00A803D6"/>
    <w:rsid w:val="00A81282"/>
    <w:rsid w:val="00A8165F"/>
    <w:rsid w:val="00A82D6C"/>
    <w:rsid w:val="00A83F52"/>
    <w:rsid w:val="00A86C81"/>
    <w:rsid w:val="00A8713F"/>
    <w:rsid w:val="00A90D3D"/>
    <w:rsid w:val="00A91167"/>
    <w:rsid w:val="00A9171C"/>
    <w:rsid w:val="00A92FFD"/>
    <w:rsid w:val="00A95975"/>
    <w:rsid w:val="00A9708D"/>
    <w:rsid w:val="00AA2C17"/>
    <w:rsid w:val="00AA4172"/>
    <w:rsid w:val="00AB1914"/>
    <w:rsid w:val="00AB2210"/>
    <w:rsid w:val="00AB29F6"/>
    <w:rsid w:val="00AB454E"/>
    <w:rsid w:val="00AB5330"/>
    <w:rsid w:val="00AB5ED7"/>
    <w:rsid w:val="00AB63CA"/>
    <w:rsid w:val="00AB7747"/>
    <w:rsid w:val="00AC2532"/>
    <w:rsid w:val="00AC3B16"/>
    <w:rsid w:val="00AC6E62"/>
    <w:rsid w:val="00AC7076"/>
    <w:rsid w:val="00AC71D2"/>
    <w:rsid w:val="00AD1507"/>
    <w:rsid w:val="00AD5A70"/>
    <w:rsid w:val="00AD5AD8"/>
    <w:rsid w:val="00AD738B"/>
    <w:rsid w:val="00AE1BF4"/>
    <w:rsid w:val="00AE5D97"/>
    <w:rsid w:val="00AE6794"/>
    <w:rsid w:val="00AE707B"/>
    <w:rsid w:val="00AF3422"/>
    <w:rsid w:val="00B01110"/>
    <w:rsid w:val="00B02262"/>
    <w:rsid w:val="00B03CEC"/>
    <w:rsid w:val="00B1209F"/>
    <w:rsid w:val="00B1274D"/>
    <w:rsid w:val="00B12AD0"/>
    <w:rsid w:val="00B23AE1"/>
    <w:rsid w:val="00B245CF"/>
    <w:rsid w:val="00B24F30"/>
    <w:rsid w:val="00B2758F"/>
    <w:rsid w:val="00B31ABF"/>
    <w:rsid w:val="00B3234C"/>
    <w:rsid w:val="00B335AE"/>
    <w:rsid w:val="00B35B8C"/>
    <w:rsid w:val="00B37CE1"/>
    <w:rsid w:val="00B40323"/>
    <w:rsid w:val="00B40ACF"/>
    <w:rsid w:val="00B44065"/>
    <w:rsid w:val="00B45274"/>
    <w:rsid w:val="00B462C6"/>
    <w:rsid w:val="00B46BAA"/>
    <w:rsid w:val="00B50B5F"/>
    <w:rsid w:val="00B54128"/>
    <w:rsid w:val="00B55046"/>
    <w:rsid w:val="00B55826"/>
    <w:rsid w:val="00B55876"/>
    <w:rsid w:val="00B56599"/>
    <w:rsid w:val="00B5706F"/>
    <w:rsid w:val="00B60426"/>
    <w:rsid w:val="00B622DD"/>
    <w:rsid w:val="00B62AC5"/>
    <w:rsid w:val="00B63522"/>
    <w:rsid w:val="00B661B3"/>
    <w:rsid w:val="00B7152E"/>
    <w:rsid w:val="00B746F6"/>
    <w:rsid w:val="00B74898"/>
    <w:rsid w:val="00B74D47"/>
    <w:rsid w:val="00B76F1D"/>
    <w:rsid w:val="00B828C5"/>
    <w:rsid w:val="00B87585"/>
    <w:rsid w:val="00B91BC2"/>
    <w:rsid w:val="00B92A19"/>
    <w:rsid w:val="00B936E9"/>
    <w:rsid w:val="00B9472A"/>
    <w:rsid w:val="00B9544C"/>
    <w:rsid w:val="00B95AEB"/>
    <w:rsid w:val="00B97358"/>
    <w:rsid w:val="00BA118B"/>
    <w:rsid w:val="00BA29E9"/>
    <w:rsid w:val="00BA5C31"/>
    <w:rsid w:val="00BA6F5F"/>
    <w:rsid w:val="00BA709F"/>
    <w:rsid w:val="00BA71E4"/>
    <w:rsid w:val="00BA7F56"/>
    <w:rsid w:val="00BB3618"/>
    <w:rsid w:val="00BB502F"/>
    <w:rsid w:val="00BB53AB"/>
    <w:rsid w:val="00BB7B44"/>
    <w:rsid w:val="00BC0C9E"/>
    <w:rsid w:val="00BC32DC"/>
    <w:rsid w:val="00BD1B51"/>
    <w:rsid w:val="00BD47F6"/>
    <w:rsid w:val="00BD5F6E"/>
    <w:rsid w:val="00BE0466"/>
    <w:rsid w:val="00BE0FB4"/>
    <w:rsid w:val="00BE300C"/>
    <w:rsid w:val="00BE312D"/>
    <w:rsid w:val="00BE3FCA"/>
    <w:rsid w:val="00BF2380"/>
    <w:rsid w:val="00BF2D7D"/>
    <w:rsid w:val="00BF3C56"/>
    <w:rsid w:val="00BF4021"/>
    <w:rsid w:val="00BF5DE4"/>
    <w:rsid w:val="00BF5FE3"/>
    <w:rsid w:val="00C01077"/>
    <w:rsid w:val="00C0479A"/>
    <w:rsid w:val="00C05719"/>
    <w:rsid w:val="00C10578"/>
    <w:rsid w:val="00C11A8F"/>
    <w:rsid w:val="00C16153"/>
    <w:rsid w:val="00C17D62"/>
    <w:rsid w:val="00C21FDC"/>
    <w:rsid w:val="00C22647"/>
    <w:rsid w:val="00C22AB0"/>
    <w:rsid w:val="00C24EE7"/>
    <w:rsid w:val="00C2596A"/>
    <w:rsid w:val="00C26F01"/>
    <w:rsid w:val="00C271BE"/>
    <w:rsid w:val="00C2733E"/>
    <w:rsid w:val="00C27425"/>
    <w:rsid w:val="00C328FE"/>
    <w:rsid w:val="00C33A05"/>
    <w:rsid w:val="00C345CF"/>
    <w:rsid w:val="00C41ABC"/>
    <w:rsid w:val="00C42500"/>
    <w:rsid w:val="00C431F2"/>
    <w:rsid w:val="00C43435"/>
    <w:rsid w:val="00C4409D"/>
    <w:rsid w:val="00C455BE"/>
    <w:rsid w:val="00C47708"/>
    <w:rsid w:val="00C51E5F"/>
    <w:rsid w:val="00C539DC"/>
    <w:rsid w:val="00C554EB"/>
    <w:rsid w:val="00C5571F"/>
    <w:rsid w:val="00C55F90"/>
    <w:rsid w:val="00C60E8E"/>
    <w:rsid w:val="00C616A2"/>
    <w:rsid w:val="00C61E4B"/>
    <w:rsid w:val="00C62E3A"/>
    <w:rsid w:val="00C62FA2"/>
    <w:rsid w:val="00C64503"/>
    <w:rsid w:val="00C64A1F"/>
    <w:rsid w:val="00C64BFF"/>
    <w:rsid w:val="00C66395"/>
    <w:rsid w:val="00C67A00"/>
    <w:rsid w:val="00C712C6"/>
    <w:rsid w:val="00C7326E"/>
    <w:rsid w:val="00C739D3"/>
    <w:rsid w:val="00C763C9"/>
    <w:rsid w:val="00C80057"/>
    <w:rsid w:val="00C82C79"/>
    <w:rsid w:val="00C839F3"/>
    <w:rsid w:val="00C83B18"/>
    <w:rsid w:val="00C83F80"/>
    <w:rsid w:val="00C84753"/>
    <w:rsid w:val="00C8674A"/>
    <w:rsid w:val="00C86B97"/>
    <w:rsid w:val="00C87085"/>
    <w:rsid w:val="00C874FA"/>
    <w:rsid w:val="00C91611"/>
    <w:rsid w:val="00C93248"/>
    <w:rsid w:val="00C93249"/>
    <w:rsid w:val="00C95700"/>
    <w:rsid w:val="00CA3585"/>
    <w:rsid w:val="00CA3D5A"/>
    <w:rsid w:val="00CA4C7C"/>
    <w:rsid w:val="00CB0183"/>
    <w:rsid w:val="00CB169E"/>
    <w:rsid w:val="00CB1EA3"/>
    <w:rsid w:val="00CB30E4"/>
    <w:rsid w:val="00CB552C"/>
    <w:rsid w:val="00CB6A9E"/>
    <w:rsid w:val="00CC3179"/>
    <w:rsid w:val="00CC6181"/>
    <w:rsid w:val="00CD2BCD"/>
    <w:rsid w:val="00CD36AA"/>
    <w:rsid w:val="00CD3791"/>
    <w:rsid w:val="00CD501A"/>
    <w:rsid w:val="00CD65B0"/>
    <w:rsid w:val="00CE02CD"/>
    <w:rsid w:val="00CE0DC0"/>
    <w:rsid w:val="00CE10E9"/>
    <w:rsid w:val="00CE11A8"/>
    <w:rsid w:val="00CE51B3"/>
    <w:rsid w:val="00CE67DA"/>
    <w:rsid w:val="00CE79B4"/>
    <w:rsid w:val="00D0072E"/>
    <w:rsid w:val="00D011F0"/>
    <w:rsid w:val="00D074C8"/>
    <w:rsid w:val="00D101AC"/>
    <w:rsid w:val="00D12BB7"/>
    <w:rsid w:val="00D14F5E"/>
    <w:rsid w:val="00D15727"/>
    <w:rsid w:val="00D16332"/>
    <w:rsid w:val="00D1725A"/>
    <w:rsid w:val="00D1746C"/>
    <w:rsid w:val="00D174DB"/>
    <w:rsid w:val="00D21086"/>
    <w:rsid w:val="00D22E88"/>
    <w:rsid w:val="00D2365A"/>
    <w:rsid w:val="00D24972"/>
    <w:rsid w:val="00D2515E"/>
    <w:rsid w:val="00D308ED"/>
    <w:rsid w:val="00D40239"/>
    <w:rsid w:val="00D40981"/>
    <w:rsid w:val="00D449BF"/>
    <w:rsid w:val="00D52F5B"/>
    <w:rsid w:val="00D56178"/>
    <w:rsid w:val="00D56CF0"/>
    <w:rsid w:val="00D56F5C"/>
    <w:rsid w:val="00D623D5"/>
    <w:rsid w:val="00D62B71"/>
    <w:rsid w:val="00D704B1"/>
    <w:rsid w:val="00D70B63"/>
    <w:rsid w:val="00D72B92"/>
    <w:rsid w:val="00D72ED4"/>
    <w:rsid w:val="00D73F61"/>
    <w:rsid w:val="00D7404D"/>
    <w:rsid w:val="00D74986"/>
    <w:rsid w:val="00D754C0"/>
    <w:rsid w:val="00D75BA9"/>
    <w:rsid w:val="00D776A2"/>
    <w:rsid w:val="00D801C4"/>
    <w:rsid w:val="00D87CA8"/>
    <w:rsid w:val="00D90836"/>
    <w:rsid w:val="00D91AD8"/>
    <w:rsid w:val="00D93057"/>
    <w:rsid w:val="00D95740"/>
    <w:rsid w:val="00D95896"/>
    <w:rsid w:val="00D95CC6"/>
    <w:rsid w:val="00DA2DA3"/>
    <w:rsid w:val="00DA6615"/>
    <w:rsid w:val="00DA76AE"/>
    <w:rsid w:val="00DB0E73"/>
    <w:rsid w:val="00DB126F"/>
    <w:rsid w:val="00DB181E"/>
    <w:rsid w:val="00DB1C7A"/>
    <w:rsid w:val="00DB2555"/>
    <w:rsid w:val="00DB2983"/>
    <w:rsid w:val="00DB343D"/>
    <w:rsid w:val="00DB37E6"/>
    <w:rsid w:val="00DB4E0D"/>
    <w:rsid w:val="00DB5579"/>
    <w:rsid w:val="00DB5CFE"/>
    <w:rsid w:val="00DC72A6"/>
    <w:rsid w:val="00DC7A77"/>
    <w:rsid w:val="00DD2113"/>
    <w:rsid w:val="00DD265E"/>
    <w:rsid w:val="00DD5B3A"/>
    <w:rsid w:val="00DD6D98"/>
    <w:rsid w:val="00DE09C9"/>
    <w:rsid w:val="00DE1503"/>
    <w:rsid w:val="00DE659E"/>
    <w:rsid w:val="00DE798F"/>
    <w:rsid w:val="00DF170E"/>
    <w:rsid w:val="00DF1930"/>
    <w:rsid w:val="00DF44FC"/>
    <w:rsid w:val="00DF514A"/>
    <w:rsid w:val="00E00115"/>
    <w:rsid w:val="00E0358D"/>
    <w:rsid w:val="00E06327"/>
    <w:rsid w:val="00E063C9"/>
    <w:rsid w:val="00E072A9"/>
    <w:rsid w:val="00E07A31"/>
    <w:rsid w:val="00E1064B"/>
    <w:rsid w:val="00E10820"/>
    <w:rsid w:val="00E2064B"/>
    <w:rsid w:val="00E25239"/>
    <w:rsid w:val="00E265B1"/>
    <w:rsid w:val="00E271F3"/>
    <w:rsid w:val="00E275B0"/>
    <w:rsid w:val="00E276F0"/>
    <w:rsid w:val="00E312FD"/>
    <w:rsid w:val="00E34D59"/>
    <w:rsid w:val="00E36A28"/>
    <w:rsid w:val="00E3749C"/>
    <w:rsid w:val="00E37EC5"/>
    <w:rsid w:val="00E412D0"/>
    <w:rsid w:val="00E443F9"/>
    <w:rsid w:val="00E4519C"/>
    <w:rsid w:val="00E464B5"/>
    <w:rsid w:val="00E46AE2"/>
    <w:rsid w:val="00E47CDB"/>
    <w:rsid w:val="00E566BC"/>
    <w:rsid w:val="00E60982"/>
    <w:rsid w:val="00E60C8D"/>
    <w:rsid w:val="00E6162F"/>
    <w:rsid w:val="00E6311B"/>
    <w:rsid w:val="00E65D97"/>
    <w:rsid w:val="00E67EFD"/>
    <w:rsid w:val="00E702DC"/>
    <w:rsid w:val="00E71FFB"/>
    <w:rsid w:val="00E733AC"/>
    <w:rsid w:val="00E7400F"/>
    <w:rsid w:val="00E76D1D"/>
    <w:rsid w:val="00E77A59"/>
    <w:rsid w:val="00E806F8"/>
    <w:rsid w:val="00E823AB"/>
    <w:rsid w:val="00E82B82"/>
    <w:rsid w:val="00E84DC9"/>
    <w:rsid w:val="00E86403"/>
    <w:rsid w:val="00E86629"/>
    <w:rsid w:val="00E87752"/>
    <w:rsid w:val="00E8793B"/>
    <w:rsid w:val="00E90F81"/>
    <w:rsid w:val="00E91A6D"/>
    <w:rsid w:val="00E9242D"/>
    <w:rsid w:val="00E925CB"/>
    <w:rsid w:val="00E96404"/>
    <w:rsid w:val="00E96B94"/>
    <w:rsid w:val="00EA0314"/>
    <w:rsid w:val="00EA1E62"/>
    <w:rsid w:val="00EA442C"/>
    <w:rsid w:val="00EB041C"/>
    <w:rsid w:val="00EB0F19"/>
    <w:rsid w:val="00EB2058"/>
    <w:rsid w:val="00EC0DD7"/>
    <w:rsid w:val="00EC29BB"/>
    <w:rsid w:val="00EC48F7"/>
    <w:rsid w:val="00EC5874"/>
    <w:rsid w:val="00ED0099"/>
    <w:rsid w:val="00ED192D"/>
    <w:rsid w:val="00ED2547"/>
    <w:rsid w:val="00ED30B4"/>
    <w:rsid w:val="00ED31F5"/>
    <w:rsid w:val="00EE1ECB"/>
    <w:rsid w:val="00EE4456"/>
    <w:rsid w:val="00EF2759"/>
    <w:rsid w:val="00EF45EB"/>
    <w:rsid w:val="00EF505E"/>
    <w:rsid w:val="00EF5099"/>
    <w:rsid w:val="00EF5E33"/>
    <w:rsid w:val="00EF62EE"/>
    <w:rsid w:val="00EF7F5C"/>
    <w:rsid w:val="00F00075"/>
    <w:rsid w:val="00F008CC"/>
    <w:rsid w:val="00F07822"/>
    <w:rsid w:val="00F079DE"/>
    <w:rsid w:val="00F106E3"/>
    <w:rsid w:val="00F13159"/>
    <w:rsid w:val="00F133C9"/>
    <w:rsid w:val="00F13EC6"/>
    <w:rsid w:val="00F15C95"/>
    <w:rsid w:val="00F1788A"/>
    <w:rsid w:val="00F21292"/>
    <w:rsid w:val="00F21B91"/>
    <w:rsid w:val="00F22985"/>
    <w:rsid w:val="00F23621"/>
    <w:rsid w:val="00F241AB"/>
    <w:rsid w:val="00F2446D"/>
    <w:rsid w:val="00F24EE3"/>
    <w:rsid w:val="00F27F5E"/>
    <w:rsid w:val="00F31382"/>
    <w:rsid w:val="00F35829"/>
    <w:rsid w:val="00F36E58"/>
    <w:rsid w:val="00F41D3D"/>
    <w:rsid w:val="00F42868"/>
    <w:rsid w:val="00F434CB"/>
    <w:rsid w:val="00F44148"/>
    <w:rsid w:val="00F44229"/>
    <w:rsid w:val="00F465A7"/>
    <w:rsid w:val="00F50B7C"/>
    <w:rsid w:val="00F5202D"/>
    <w:rsid w:val="00F522F0"/>
    <w:rsid w:val="00F52CF6"/>
    <w:rsid w:val="00F538F6"/>
    <w:rsid w:val="00F54496"/>
    <w:rsid w:val="00F557A9"/>
    <w:rsid w:val="00F559AE"/>
    <w:rsid w:val="00F603FD"/>
    <w:rsid w:val="00F60AE1"/>
    <w:rsid w:val="00F61097"/>
    <w:rsid w:val="00F61844"/>
    <w:rsid w:val="00F66C11"/>
    <w:rsid w:val="00F67CDF"/>
    <w:rsid w:val="00F74345"/>
    <w:rsid w:val="00F74441"/>
    <w:rsid w:val="00F76778"/>
    <w:rsid w:val="00F77F30"/>
    <w:rsid w:val="00F82589"/>
    <w:rsid w:val="00F82B19"/>
    <w:rsid w:val="00F90AA7"/>
    <w:rsid w:val="00F92049"/>
    <w:rsid w:val="00F9212D"/>
    <w:rsid w:val="00F967E3"/>
    <w:rsid w:val="00F96FA1"/>
    <w:rsid w:val="00FA2F4E"/>
    <w:rsid w:val="00FA301A"/>
    <w:rsid w:val="00FA406A"/>
    <w:rsid w:val="00FA5CB6"/>
    <w:rsid w:val="00FA5F62"/>
    <w:rsid w:val="00FB3AE4"/>
    <w:rsid w:val="00FB5CE8"/>
    <w:rsid w:val="00FC1EA6"/>
    <w:rsid w:val="00FC481F"/>
    <w:rsid w:val="00FC66AC"/>
    <w:rsid w:val="00FC7494"/>
    <w:rsid w:val="00FD111C"/>
    <w:rsid w:val="00FD18F4"/>
    <w:rsid w:val="00FD74B4"/>
    <w:rsid w:val="00FE2F99"/>
    <w:rsid w:val="00FE65F2"/>
    <w:rsid w:val="00FF032B"/>
    <w:rsid w:val="00FF06C9"/>
    <w:rsid w:val="00FF21F5"/>
    <w:rsid w:val="00FF333D"/>
    <w:rsid w:val="00FF4AB7"/>
    <w:rsid w:val="00FF4E89"/>
    <w:rsid w:val="00FF6FCE"/>
    <w:rsid w:val="00FF7518"/>
    <w:rsid w:val="00FF7FD8"/>
    <w:rsid w:val="03433F84"/>
    <w:rsid w:val="05742AC8"/>
    <w:rsid w:val="06352F05"/>
    <w:rsid w:val="063E7D85"/>
    <w:rsid w:val="070875E0"/>
    <w:rsid w:val="07293586"/>
    <w:rsid w:val="07295285"/>
    <w:rsid w:val="07770C56"/>
    <w:rsid w:val="092217DD"/>
    <w:rsid w:val="093A7294"/>
    <w:rsid w:val="09E519AE"/>
    <w:rsid w:val="0AAE58B1"/>
    <w:rsid w:val="0BBF2F7A"/>
    <w:rsid w:val="0BD27BF6"/>
    <w:rsid w:val="0DAC7CFC"/>
    <w:rsid w:val="0E110D06"/>
    <w:rsid w:val="0F13775A"/>
    <w:rsid w:val="0F9A112B"/>
    <w:rsid w:val="106D2F64"/>
    <w:rsid w:val="10B63710"/>
    <w:rsid w:val="111C2F7A"/>
    <w:rsid w:val="113013DE"/>
    <w:rsid w:val="11CC703D"/>
    <w:rsid w:val="122B06C2"/>
    <w:rsid w:val="13951726"/>
    <w:rsid w:val="14396509"/>
    <w:rsid w:val="1447165C"/>
    <w:rsid w:val="17735226"/>
    <w:rsid w:val="17E11D22"/>
    <w:rsid w:val="1A1C66C0"/>
    <w:rsid w:val="1A42393B"/>
    <w:rsid w:val="1B046F80"/>
    <w:rsid w:val="1B3267B5"/>
    <w:rsid w:val="1BC25DC8"/>
    <w:rsid w:val="1C5E7925"/>
    <w:rsid w:val="1C887FC8"/>
    <w:rsid w:val="1D5F6196"/>
    <w:rsid w:val="1D6132A5"/>
    <w:rsid w:val="1D6C45B5"/>
    <w:rsid w:val="1D8E56D5"/>
    <w:rsid w:val="1E7A43DA"/>
    <w:rsid w:val="1EB277FE"/>
    <w:rsid w:val="1EC028CD"/>
    <w:rsid w:val="1EF667C1"/>
    <w:rsid w:val="1EF75B98"/>
    <w:rsid w:val="1FE7539E"/>
    <w:rsid w:val="20963CB8"/>
    <w:rsid w:val="20B07FB6"/>
    <w:rsid w:val="213B74B1"/>
    <w:rsid w:val="215A2310"/>
    <w:rsid w:val="21DE318A"/>
    <w:rsid w:val="21EF5B80"/>
    <w:rsid w:val="22576990"/>
    <w:rsid w:val="226C68D3"/>
    <w:rsid w:val="229C4EAB"/>
    <w:rsid w:val="23B14E12"/>
    <w:rsid w:val="252D53FE"/>
    <w:rsid w:val="25645024"/>
    <w:rsid w:val="25EC2D81"/>
    <w:rsid w:val="26163211"/>
    <w:rsid w:val="264528BD"/>
    <w:rsid w:val="27D15DD1"/>
    <w:rsid w:val="280B553E"/>
    <w:rsid w:val="28A76295"/>
    <w:rsid w:val="29206EB8"/>
    <w:rsid w:val="29E325E0"/>
    <w:rsid w:val="2A452503"/>
    <w:rsid w:val="2BA936A8"/>
    <w:rsid w:val="2C315A5A"/>
    <w:rsid w:val="2D9E56F5"/>
    <w:rsid w:val="2E667F96"/>
    <w:rsid w:val="2E8226AB"/>
    <w:rsid w:val="2EB02184"/>
    <w:rsid w:val="2F832C79"/>
    <w:rsid w:val="2F971705"/>
    <w:rsid w:val="2FE61320"/>
    <w:rsid w:val="2FEF2D58"/>
    <w:rsid w:val="30580BC9"/>
    <w:rsid w:val="311E2ED7"/>
    <w:rsid w:val="315C449C"/>
    <w:rsid w:val="31B82709"/>
    <w:rsid w:val="32400B34"/>
    <w:rsid w:val="329E6876"/>
    <w:rsid w:val="33D934D4"/>
    <w:rsid w:val="33FE2F6A"/>
    <w:rsid w:val="352A5349"/>
    <w:rsid w:val="35D0279A"/>
    <w:rsid w:val="36074A7F"/>
    <w:rsid w:val="36893F37"/>
    <w:rsid w:val="36923549"/>
    <w:rsid w:val="36B75FBF"/>
    <w:rsid w:val="36FB4891"/>
    <w:rsid w:val="385A0F2C"/>
    <w:rsid w:val="38F12CD3"/>
    <w:rsid w:val="38F94775"/>
    <w:rsid w:val="392971ED"/>
    <w:rsid w:val="3B3763D1"/>
    <w:rsid w:val="3CDA245A"/>
    <w:rsid w:val="3CEE0A37"/>
    <w:rsid w:val="3F660E74"/>
    <w:rsid w:val="407A6407"/>
    <w:rsid w:val="40C5089D"/>
    <w:rsid w:val="41365E52"/>
    <w:rsid w:val="41A6671D"/>
    <w:rsid w:val="41DA7286"/>
    <w:rsid w:val="423A3BCC"/>
    <w:rsid w:val="433A6FE6"/>
    <w:rsid w:val="4350713C"/>
    <w:rsid w:val="436653E0"/>
    <w:rsid w:val="44CD14E0"/>
    <w:rsid w:val="458946E9"/>
    <w:rsid w:val="46D955A7"/>
    <w:rsid w:val="47133957"/>
    <w:rsid w:val="4779329E"/>
    <w:rsid w:val="47A07E0C"/>
    <w:rsid w:val="485A5411"/>
    <w:rsid w:val="4870272E"/>
    <w:rsid w:val="49D30C72"/>
    <w:rsid w:val="49DC7715"/>
    <w:rsid w:val="4A023139"/>
    <w:rsid w:val="4A7B576F"/>
    <w:rsid w:val="4C4A0649"/>
    <w:rsid w:val="4CE470D3"/>
    <w:rsid w:val="4D59140D"/>
    <w:rsid w:val="4DEC4FB0"/>
    <w:rsid w:val="4E075D8A"/>
    <w:rsid w:val="4FC62A8C"/>
    <w:rsid w:val="4FE20F0D"/>
    <w:rsid w:val="50504C4B"/>
    <w:rsid w:val="509C6E7C"/>
    <w:rsid w:val="5162104E"/>
    <w:rsid w:val="53A039CC"/>
    <w:rsid w:val="53A1505A"/>
    <w:rsid w:val="54063E08"/>
    <w:rsid w:val="543437E8"/>
    <w:rsid w:val="559B174B"/>
    <w:rsid w:val="55CE0CF4"/>
    <w:rsid w:val="55E06E51"/>
    <w:rsid w:val="56B22A9C"/>
    <w:rsid w:val="57B72A76"/>
    <w:rsid w:val="5A3C747D"/>
    <w:rsid w:val="5ABE2233"/>
    <w:rsid w:val="5B276D18"/>
    <w:rsid w:val="5BDF5D95"/>
    <w:rsid w:val="5C0A20D9"/>
    <w:rsid w:val="5C542CD0"/>
    <w:rsid w:val="5DF87A0F"/>
    <w:rsid w:val="5F1A2B43"/>
    <w:rsid w:val="5F343737"/>
    <w:rsid w:val="5FB837BB"/>
    <w:rsid w:val="62364782"/>
    <w:rsid w:val="63D40BE9"/>
    <w:rsid w:val="63E0211F"/>
    <w:rsid w:val="6402381C"/>
    <w:rsid w:val="650520CD"/>
    <w:rsid w:val="65373578"/>
    <w:rsid w:val="65393A14"/>
    <w:rsid w:val="66343DCA"/>
    <w:rsid w:val="673F2C7A"/>
    <w:rsid w:val="67C14FE1"/>
    <w:rsid w:val="67D30150"/>
    <w:rsid w:val="681F6961"/>
    <w:rsid w:val="68610A2F"/>
    <w:rsid w:val="68805514"/>
    <w:rsid w:val="694E2071"/>
    <w:rsid w:val="697A3B33"/>
    <w:rsid w:val="699E2456"/>
    <w:rsid w:val="6B322639"/>
    <w:rsid w:val="6C636C38"/>
    <w:rsid w:val="6DB34098"/>
    <w:rsid w:val="6DB545B6"/>
    <w:rsid w:val="6E4375A0"/>
    <w:rsid w:val="6E514CED"/>
    <w:rsid w:val="6E79491A"/>
    <w:rsid w:val="6EB563D5"/>
    <w:rsid w:val="6F225983"/>
    <w:rsid w:val="6FFC5590"/>
    <w:rsid w:val="70301DA3"/>
    <w:rsid w:val="706D1DD0"/>
    <w:rsid w:val="70856B87"/>
    <w:rsid w:val="70D527EE"/>
    <w:rsid w:val="710F5FD7"/>
    <w:rsid w:val="715B5300"/>
    <w:rsid w:val="715F4BD7"/>
    <w:rsid w:val="71D27F8A"/>
    <w:rsid w:val="71F744C6"/>
    <w:rsid w:val="71F960CF"/>
    <w:rsid w:val="731F5D5E"/>
    <w:rsid w:val="741E793C"/>
    <w:rsid w:val="758D75E2"/>
    <w:rsid w:val="77762421"/>
    <w:rsid w:val="780F09F4"/>
    <w:rsid w:val="789C4F47"/>
    <w:rsid w:val="78A90480"/>
    <w:rsid w:val="79811327"/>
    <w:rsid w:val="798F38FA"/>
    <w:rsid w:val="7A364017"/>
    <w:rsid w:val="7A8265E1"/>
    <w:rsid w:val="7B686D42"/>
    <w:rsid w:val="7B841746"/>
    <w:rsid w:val="7D0239FF"/>
    <w:rsid w:val="7D5E40CD"/>
    <w:rsid w:val="7D693BED"/>
    <w:rsid w:val="7F235362"/>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qFormat="1" w:uiPriority="9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qFormat="1" w:uiPriority="0" w:semiHidden="0" w:name="Block Text"/>
    <w:lsdException w:qFormat="1" w:uiPriority="0" w:semiHidden="0" w:name="Hyperlink"/>
    <w:lsdException w:unhideWhenUsed="0" w:uiPriority="0" w:semiHidden="0" w:name="FollowedHyperlink"/>
    <w:lsdException w:qFormat="1" w:unhideWhenUsed="0" w:uiPriority="22" w:semiHidden="0" w:name="Strong" w:locked="1"/>
    <w:lsdException w:qFormat="1" w:unhideWhenUsed="0" w:uiPriority="2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99" w:semiHidden="0" w:name="Table Grid"/>
    <w:lsdException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59"/>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42"/>
    <w:unhideWhenUsed/>
    <w:qFormat/>
    <w:uiPriority w:val="99"/>
    <w:pPr>
      <w:spacing w:after="120" w:line="480" w:lineRule="auto"/>
      <w:ind w:left="420" w:leftChars="200"/>
    </w:pPr>
  </w:style>
  <w:style w:type="paragraph" w:styleId="5">
    <w:name w:val="annotation text"/>
    <w:basedOn w:val="1"/>
    <w:link w:val="36"/>
    <w:semiHidden/>
    <w:qFormat/>
    <w:uiPriority w:val="0"/>
    <w:pPr>
      <w:jc w:val="left"/>
    </w:pPr>
    <w:rPr>
      <w:kern w:val="0"/>
      <w:sz w:val="20"/>
    </w:rPr>
  </w:style>
  <w:style w:type="paragraph" w:styleId="6">
    <w:name w:val="Body Text"/>
    <w:basedOn w:val="1"/>
    <w:link w:val="27"/>
    <w:qFormat/>
    <w:uiPriority w:val="0"/>
    <w:pPr>
      <w:widowControl/>
      <w:snapToGrid w:val="0"/>
      <w:spacing w:before="60" w:after="160" w:line="259" w:lineRule="auto"/>
      <w:ind w:right="113"/>
    </w:pPr>
    <w:rPr>
      <w:kern w:val="0"/>
      <w:sz w:val="18"/>
      <w:szCs w:val="18"/>
    </w:rPr>
  </w:style>
  <w:style w:type="paragraph" w:styleId="7">
    <w:name w:val="Body Text Indent"/>
    <w:basedOn w:val="1"/>
    <w:link w:val="38"/>
    <w:semiHidden/>
    <w:qFormat/>
    <w:uiPriority w:val="0"/>
    <w:pPr>
      <w:spacing w:after="120"/>
      <w:ind w:left="420" w:leftChars="200"/>
    </w:pPr>
  </w:style>
  <w:style w:type="paragraph" w:styleId="8">
    <w:name w:val="Block Text"/>
    <w:basedOn w:val="1"/>
    <w:unhideWhenUsed/>
    <w:qFormat/>
    <w:uiPriority w:val="0"/>
    <w:pPr>
      <w:spacing w:after="120"/>
      <w:ind w:left="1440" w:leftChars="700" w:right="700" w:rightChars="700"/>
    </w:pPr>
  </w:style>
  <w:style w:type="paragraph" w:styleId="9">
    <w:name w:val="Date"/>
    <w:basedOn w:val="1"/>
    <w:next w:val="1"/>
    <w:link w:val="29"/>
    <w:qFormat/>
    <w:uiPriority w:val="0"/>
    <w:pPr>
      <w:ind w:left="100" w:leftChars="2500"/>
    </w:pPr>
    <w:rPr>
      <w:kern w:val="0"/>
      <w:sz w:val="20"/>
    </w:rPr>
  </w:style>
  <w:style w:type="paragraph" w:styleId="10">
    <w:name w:val="Balloon Text"/>
    <w:basedOn w:val="1"/>
    <w:link w:val="35"/>
    <w:semiHidden/>
    <w:qFormat/>
    <w:uiPriority w:val="0"/>
    <w:rPr>
      <w:sz w:val="18"/>
      <w:szCs w:val="18"/>
    </w:rPr>
  </w:style>
  <w:style w:type="paragraph" w:styleId="11">
    <w:name w:val="footer"/>
    <w:basedOn w:val="1"/>
    <w:link w:val="26"/>
    <w:qFormat/>
    <w:uiPriority w:val="99"/>
    <w:pPr>
      <w:tabs>
        <w:tab w:val="center" w:pos="4153"/>
        <w:tab w:val="right" w:pos="8306"/>
      </w:tabs>
      <w:snapToGrid w:val="0"/>
      <w:jc w:val="left"/>
    </w:pPr>
    <w:rPr>
      <w:sz w:val="18"/>
      <w:szCs w:val="18"/>
    </w:rPr>
  </w:style>
  <w:style w:type="paragraph" w:styleId="12">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3">
    <w:name w:val="toc 2"/>
    <w:basedOn w:val="1"/>
    <w:next w:val="1"/>
    <w:unhideWhenUsed/>
    <w:qFormat/>
    <w:locked/>
    <w:uiPriority w:val="99"/>
    <w:pPr>
      <w:jc w:val="center"/>
    </w:pPr>
    <w:rPr>
      <w:rFonts w:ascii="Calibri" w:hAnsi="Calibri" w:cs="Calibri"/>
      <w:smallCaps/>
      <w:kern w:val="0"/>
      <w:sz w:val="20"/>
      <w:szCs w:val="20"/>
    </w:rPr>
  </w:style>
  <w:style w:type="paragraph" w:styleId="14">
    <w:name w:val="Normal (Web)"/>
    <w:basedOn w:val="1"/>
    <w:link w:val="28"/>
    <w:qFormat/>
    <w:uiPriority w:val="99"/>
    <w:pPr>
      <w:widowControl/>
      <w:spacing w:before="100" w:beforeAutospacing="1" w:after="100" w:afterAutospacing="1"/>
      <w:jc w:val="left"/>
    </w:pPr>
    <w:rPr>
      <w:rFonts w:ascii="宋体" w:hAnsi="宋体"/>
      <w:kern w:val="0"/>
      <w:sz w:val="24"/>
    </w:rPr>
  </w:style>
  <w:style w:type="paragraph" w:styleId="15">
    <w:name w:val="annotation subject"/>
    <w:basedOn w:val="5"/>
    <w:next w:val="5"/>
    <w:link w:val="39"/>
    <w:semiHidden/>
    <w:qFormat/>
    <w:uiPriority w:val="0"/>
    <w:rPr>
      <w:b/>
      <w:bCs/>
    </w:rPr>
  </w:style>
  <w:style w:type="paragraph" w:styleId="16">
    <w:name w:val="Body Text First Indent 2"/>
    <w:basedOn w:val="7"/>
    <w:link w:val="56"/>
    <w:qFormat/>
    <w:uiPriority w:val="0"/>
    <w:pPr>
      <w:ind w:firstLine="420" w:firstLineChars="200"/>
    </w:pPr>
  </w:style>
  <w:style w:type="table" w:styleId="18">
    <w:name w:val="Table Grid"/>
    <w:basedOn w:val="1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locked/>
    <w:uiPriority w:val="22"/>
    <w:rPr>
      <w:b/>
      <w:bCs/>
    </w:rPr>
  </w:style>
  <w:style w:type="character" w:styleId="21">
    <w:name w:val="page number"/>
    <w:basedOn w:val="19"/>
    <w:qFormat/>
    <w:uiPriority w:val="0"/>
  </w:style>
  <w:style w:type="character" w:styleId="22">
    <w:name w:val="Emphasis"/>
    <w:basedOn w:val="19"/>
    <w:qFormat/>
    <w:locked/>
    <w:uiPriority w:val="20"/>
    <w:rPr>
      <w:i/>
      <w:iCs/>
    </w:rPr>
  </w:style>
  <w:style w:type="character" w:styleId="23">
    <w:name w:val="Hyperlink"/>
    <w:basedOn w:val="19"/>
    <w:unhideWhenUsed/>
    <w:qFormat/>
    <w:uiPriority w:val="0"/>
    <w:rPr>
      <w:color w:val="000000"/>
      <w:u w:val="none"/>
    </w:rPr>
  </w:style>
  <w:style w:type="character" w:styleId="24">
    <w:name w:val="annotation reference"/>
    <w:basedOn w:val="19"/>
    <w:semiHidden/>
    <w:qFormat/>
    <w:uiPriority w:val="0"/>
    <w:rPr>
      <w:sz w:val="21"/>
    </w:rPr>
  </w:style>
  <w:style w:type="character" w:customStyle="1" w:styleId="25">
    <w:name w:val="页眉 Char"/>
    <w:basedOn w:val="19"/>
    <w:link w:val="12"/>
    <w:qFormat/>
    <w:locked/>
    <w:uiPriority w:val="0"/>
    <w:rPr>
      <w:rFonts w:cs="Times New Roman"/>
      <w:sz w:val="18"/>
      <w:szCs w:val="18"/>
    </w:rPr>
  </w:style>
  <w:style w:type="character" w:customStyle="1" w:styleId="26">
    <w:name w:val="页脚 Char"/>
    <w:basedOn w:val="19"/>
    <w:link w:val="11"/>
    <w:qFormat/>
    <w:locked/>
    <w:uiPriority w:val="99"/>
    <w:rPr>
      <w:rFonts w:cs="Times New Roman"/>
      <w:sz w:val="18"/>
      <w:szCs w:val="18"/>
    </w:rPr>
  </w:style>
  <w:style w:type="character" w:customStyle="1" w:styleId="27">
    <w:name w:val="正文文本 Char"/>
    <w:link w:val="6"/>
    <w:qFormat/>
    <w:locked/>
    <w:uiPriority w:val="0"/>
    <w:rPr>
      <w:sz w:val="18"/>
    </w:rPr>
  </w:style>
  <w:style w:type="character" w:customStyle="1" w:styleId="28">
    <w:name w:val="普通(网站) Char1"/>
    <w:link w:val="14"/>
    <w:qFormat/>
    <w:locked/>
    <w:uiPriority w:val="99"/>
    <w:rPr>
      <w:rFonts w:ascii="宋体" w:hAnsi="宋体" w:eastAsia="宋体"/>
      <w:sz w:val="24"/>
    </w:rPr>
  </w:style>
  <w:style w:type="character" w:customStyle="1" w:styleId="29">
    <w:name w:val="日期 Char"/>
    <w:link w:val="9"/>
    <w:qFormat/>
    <w:locked/>
    <w:uiPriority w:val="0"/>
    <w:rPr>
      <w:rFonts w:ascii="Times New Roman" w:hAnsi="Times New Roman" w:eastAsia="宋体"/>
      <w:sz w:val="24"/>
    </w:rPr>
  </w:style>
  <w:style w:type="character" w:customStyle="1" w:styleId="30">
    <w:name w:val="日期 字符"/>
    <w:basedOn w:val="19"/>
    <w:semiHidden/>
    <w:qFormat/>
    <w:uiPriority w:val="0"/>
    <w:rPr>
      <w:rFonts w:ascii="Times New Roman" w:hAnsi="Times New Roman" w:eastAsia="宋体" w:cs="Times New Roman"/>
      <w:sz w:val="24"/>
      <w:szCs w:val="24"/>
    </w:rPr>
  </w:style>
  <w:style w:type="character" w:customStyle="1" w:styleId="31">
    <w:name w:val="正文文本 字符1"/>
    <w:basedOn w:val="19"/>
    <w:semiHidden/>
    <w:qFormat/>
    <w:uiPriority w:val="0"/>
    <w:rPr>
      <w:rFonts w:ascii="Times New Roman" w:hAnsi="Times New Roman" w:eastAsia="宋体" w:cs="Times New Roman"/>
      <w:sz w:val="24"/>
      <w:szCs w:val="24"/>
    </w:rPr>
  </w:style>
  <w:style w:type="paragraph" w:customStyle="1" w:styleId="32">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33">
    <w:name w:val="表格 Char"/>
    <w:link w:val="34"/>
    <w:qFormat/>
    <w:locked/>
    <w:uiPriority w:val="0"/>
    <w:rPr>
      <w:rFonts w:ascii="宋体"/>
      <w:sz w:val="21"/>
    </w:rPr>
  </w:style>
  <w:style w:type="paragraph" w:customStyle="1" w:styleId="34">
    <w:name w:val="表格"/>
    <w:basedOn w:val="1"/>
    <w:next w:val="1"/>
    <w:link w:val="33"/>
    <w:qFormat/>
    <w:uiPriority w:val="0"/>
    <w:pPr>
      <w:adjustRightInd w:val="0"/>
      <w:snapToGrid w:val="0"/>
      <w:spacing w:beforeLines="10" w:afterLines="10" w:line="259" w:lineRule="auto"/>
      <w:jc w:val="center"/>
    </w:pPr>
    <w:rPr>
      <w:rFonts w:ascii="宋体"/>
      <w:kern w:val="0"/>
      <w:sz w:val="20"/>
      <w:szCs w:val="21"/>
    </w:rPr>
  </w:style>
  <w:style w:type="character" w:customStyle="1" w:styleId="35">
    <w:name w:val="批注框文本 Char"/>
    <w:basedOn w:val="19"/>
    <w:link w:val="10"/>
    <w:semiHidden/>
    <w:qFormat/>
    <w:locked/>
    <w:uiPriority w:val="0"/>
    <w:rPr>
      <w:rFonts w:ascii="Times New Roman" w:hAnsi="Times New Roman" w:eastAsia="宋体" w:cs="Times New Roman"/>
      <w:sz w:val="18"/>
      <w:szCs w:val="18"/>
    </w:rPr>
  </w:style>
  <w:style w:type="character" w:customStyle="1" w:styleId="36">
    <w:name w:val="批注文字 Char"/>
    <w:link w:val="5"/>
    <w:qFormat/>
    <w:locked/>
    <w:uiPriority w:val="0"/>
    <w:rPr>
      <w:rFonts w:ascii="Times New Roman" w:hAnsi="Times New Roman" w:eastAsia="宋体"/>
      <w:sz w:val="24"/>
    </w:rPr>
  </w:style>
  <w:style w:type="character" w:customStyle="1" w:styleId="37">
    <w:name w:val="批注文字 字符1"/>
    <w:basedOn w:val="19"/>
    <w:semiHidden/>
    <w:qFormat/>
    <w:uiPriority w:val="0"/>
    <w:rPr>
      <w:rFonts w:ascii="Times New Roman" w:hAnsi="Times New Roman" w:eastAsia="宋体" w:cs="Times New Roman"/>
      <w:sz w:val="24"/>
      <w:szCs w:val="24"/>
    </w:rPr>
  </w:style>
  <w:style w:type="character" w:customStyle="1" w:styleId="38">
    <w:name w:val="正文文本缩进 Char"/>
    <w:basedOn w:val="19"/>
    <w:link w:val="7"/>
    <w:semiHidden/>
    <w:qFormat/>
    <w:locked/>
    <w:uiPriority w:val="0"/>
    <w:rPr>
      <w:rFonts w:ascii="Times New Roman" w:hAnsi="Times New Roman" w:eastAsia="宋体" w:cs="Times New Roman"/>
      <w:sz w:val="24"/>
      <w:szCs w:val="24"/>
    </w:rPr>
  </w:style>
  <w:style w:type="character" w:customStyle="1" w:styleId="39">
    <w:name w:val="批注主题 Char"/>
    <w:basedOn w:val="36"/>
    <w:link w:val="15"/>
    <w:semiHidden/>
    <w:qFormat/>
    <w:locked/>
    <w:uiPriority w:val="0"/>
    <w:rPr>
      <w:rFonts w:ascii="Times New Roman" w:hAnsi="Times New Roman" w:eastAsia="宋体" w:cs="Times New Roman"/>
      <w:b/>
      <w:bCs/>
      <w:kern w:val="2"/>
      <w:sz w:val="24"/>
      <w:szCs w:val="24"/>
    </w:rPr>
  </w:style>
  <w:style w:type="character" w:customStyle="1" w:styleId="40">
    <w:name w:val="普通(网站) Char"/>
    <w:qFormat/>
    <w:locked/>
    <w:uiPriority w:val="99"/>
    <w:rPr>
      <w:rFonts w:ascii="宋体" w:hAnsi="宋体" w:eastAsia="宋体"/>
      <w:sz w:val="24"/>
    </w:rPr>
  </w:style>
  <w:style w:type="character" w:styleId="41">
    <w:name w:val="Placeholder Text"/>
    <w:basedOn w:val="19"/>
    <w:semiHidden/>
    <w:qFormat/>
    <w:uiPriority w:val="99"/>
    <w:rPr>
      <w:color w:val="808080"/>
    </w:rPr>
  </w:style>
  <w:style w:type="character" w:customStyle="1" w:styleId="42">
    <w:name w:val="正文文本缩进 2 Char"/>
    <w:basedOn w:val="19"/>
    <w:link w:val="2"/>
    <w:qFormat/>
    <w:uiPriority w:val="99"/>
    <w:rPr>
      <w:kern w:val="2"/>
      <w:sz w:val="21"/>
      <w:szCs w:val="24"/>
    </w:rPr>
  </w:style>
  <w:style w:type="paragraph" w:customStyle="1" w:styleId="43">
    <w:name w:val="a首行缩进:  2 字符"/>
    <w:basedOn w:val="1"/>
    <w:link w:val="44"/>
    <w:qFormat/>
    <w:uiPriority w:val="0"/>
    <w:pPr>
      <w:adjustRightInd w:val="0"/>
      <w:spacing w:line="360" w:lineRule="auto"/>
      <w:ind w:firstLine="200" w:firstLineChars="200"/>
    </w:pPr>
    <w:rPr>
      <w:kern w:val="0"/>
      <w:sz w:val="24"/>
      <w:lang w:val="vi-VN"/>
    </w:rPr>
  </w:style>
  <w:style w:type="character" w:customStyle="1" w:styleId="44">
    <w:name w:val="a首行缩进:  2 字符 Char"/>
    <w:link w:val="43"/>
    <w:qFormat/>
    <w:uiPriority w:val="0"/>
    <w:rPr>
      <w:sz w:val="24"/>
      <w:szCs w:val="24"/>
      <w:lang w:val="vi-VN"/>
    </w:rPr>
  </w:style>
  <w:style w:type="character" w:customStyle="1" w:styleId="45">
    <w:name w:val="表格文字 Char"/>
    <w:link w:val="46"/>
    <w:qFormat/>
    <w:uiPriority w:val="0"/>
    <w:rPr>
      <w:rFonts w:ascii="仿宋_GB2312" w:hAnsi="Arial Black" w:eastAsia="仿宋_GB2312"/>
      <w:kern w:val="44"/>
      <w:sz w:val="24"/>
    </w:rPr>
  </w:style>
  <w:style w:type="paragraph" w:customStyle="1" w:styleId="46">
    <w:name w:val="表格文字"/>
    <w:basedOn w:val="6"/>
    <w:next w:val="1"/>
    <w:link w:val="45"/>
    <w:qFormat/>
    <w:uiPriority w:val="0"/>
    <w:pPr>
      <w:widowControl w:val="0"/>
      <w:snapToGrid/>
      <w:spacing w:before="0" w:after="120" w:line="240" w:lineRule="auto"/>
      <w:ind w:right="0"/>
      <w:jc w:val="center"/>
    </w:pPr>
    <w:rPr>
      <w:rFonts w:ascii="仿宋_GB2312" w:hAnsi="Arial Black" w:eastAsia="仿宋_GB2312"/>
      <w:kern w:val="44"/>
      <w:sz w:val="24"/>
      <w:szCs w:val="20"/>
    </w:rPr>
  </w:style>
  <w:style w:type="paragraph" w:customStyle="1" w:styleId="47">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48">
    <w:name w:val="样式9"/>
    <w:basedOn w:val="1"/>
    <w:qFormat/>
    <w:uiPriority w:val="0"/>
    <w:pPr>
      <w:adjustRightInd w:val="0"/>
      <w:snapToGrid w:val="0"/>
      <w:spacing w:line="360" w:lineRule="exact"/>
      <w:jc w:val="center"/>
    </w:pPr>
    <w:rPr>
      <w:rFonts w:hAnsi="宋体"/>
      <w:kern w:val="0"/>
      <w:szCs w:val="21"/>
    </w:rPr>
  </w:style>
  <w:style w:type="paragraph" w:customStyle="1" w:styleId="49">
    <w:name w:val="报告"/>
    <w:basedOn w:val="1"/>
    <w:qFormat/>
    <w:uiPriority w:val="0"/>
    <w:pPr>
      <w:adjustRightInd w:val="0"/>
      <w:spacing w:line="360" w:lineRule="auto"/>
      <w:ind w:firstLine="505"/>
    </w:pPr>
    <w:rPr>
      <w:rFonts w:ascii="TimesNewRoman" w:hAnsi="TimesNewRoman"/>
      <w:kern w:val="0"/>
      <w:sz w:val="24"/>
    </w:rPr>
  </w:style>
  <w:style w:type="paragraph" w:customStyle="1" w:styleId="50">
    <w:name w:val="Normal_0"/>
    <w:basedOn w:val="1"/>
    <w:qFormat/>
    <w:uiPriority w:val="0"/>
    <w:pPr>
      <w:spacing w:line="360" w:lineRule="auto"/>
      <w:ind w:firstLine="200" w:firstLineChars="200"/>
    </w:pPr>
    <w:rPr>
      <w:rFonts w:eastAsia="仿宋"/>
      <w:sz w:val="28"/>
      <w:szCs w:val="28"/>
    </w:rPr>
  </w:style>
  <w:style w:type="paragraph" w:customStyle="1" w:styleId="51">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52">
    <w:name w:val="表格内容"/>
    <w:basedOn w:val="1"/>
    <w:qFormat/>
    <w:uiPriority w:val="0"/>
    <w:pPr>
      <w:spacing w:before="60" w:after="60" w:line="240" w:lineRule="exact"/>
      <w:ind w:firstLine="20" w:firstLineChars="20"/>
      <w:jc w:val="center"/>
    </w:pPr>
    <w:rPr>
      <w:rFonts w:ascii="Calibri" w:hAnsi="Calibri" w:eastAsia="Times New Roman" w:cs="Calibri"/>
      <w:sz w:val="18"/>
      <w:szCs w:val="18"/>
    </w:rPr>
  </w:style>
  <w:style w:type="character" w:customStyle="1" w:styleId="53">
    <w:name w:val="10"/>
    <w:basedOn w:val="19"/>
    <w:qFormat/>
    <w:uiPriority w:val="0"/>
    <w:rPr>
      <w:rFonts w:hint="default" w:ascii="Calibri" w:hAnsi="Calibri" w:cs="Calibri"/>
    </w:rPr>
  </w:style>
  <w:style w:type="paragraph" w:customStyle="1" w:styleId="54">
    <w:name w:val="Table Paragraph"/>
    <w:basedOn w:val="1"/>
    <w:qFormat/>
    <w:uiPriority w:val="0"/>
    <w:pPr>
      <w:spacing w:before="100" w:beforeAutospacing="1"/>
      <w:jc w:val="left"/>
    </w:pPr>
    <w:rPr>
      <w:rFonts w:ascii="Calibri" w:hAnsi="Calibri"/>
      <w:kern w:val="0"/>
      <w:sz w:val="22"/>
      <w:szCs w:val="22"/>
    </w:rPr>
  </w:style>
  <w:style w:type="paragraph" w:customStyle="1" w:styleId="55">
    <w:name w:val="正文2"/>
    <w:qFormat/>
    <w:uiPriority w:val="0"/>
    <w:pPr>
      <w:jc w:val="both"/>
    </w:pPr>
    <w:rPr>
      <w:rFonts w:ascii="Times New Roman" w:hAnsi="Times New Roman" w:eastAsia="宋体" w:cs="Times New Roman"/>
      <w:kern w:val="2"/>
      <w:sz w:val="21"/>
      <w:szCs w:val="21"/>
      <w:lang w:val="en-US" w:eastAsia="zh-CN" w:bidi="ar-SA"/>
    </w:rPr>
  </w:style>
  <w:style w:type="character" w:customStyle="1" w:styleId="56">
    <w:name w:val="正文首行缩进 2 Char"/>
    <w:basedOn w:val="38"/>
    <w:link w:val="16"/>
    <w:qFormat/>
    <w:uiPriority w:val="0"/>
    <w:rPr>
      <w:rFonts w:ascii="Times New Roman" w:hAnsi="Times New Roman" w:eastAsia="宋体" w:cs="Times New Roman"/>
      <w:kern w:val="2"/>
      <w:sz w:val="21"/>
      <w:szCs w:val="24"/>
    </w:rPr>
  </w:style>
  <w:style w:type="paragraph" w:customStyle="1" w:styleId="57">
    <w:name w:val="表标题"/>
    <w:basedOn w:val="1"/>
    <w:next w:val="1"/>
    <w:qFormat/>
    <w:uiPriority w:val="0"/>
    <w:pPr>
      <w:spacing w:line="500" w:lineRule="exact"/>
      <w:jc w:val="center"/>
      <w:outlineLvl w:val="4"/>
    </w:pPr>
    <w:rPr>
      <w:rFonts w:ascii="黑体" w:hAnsi="黑体" w:eastAsia="黑体"/>
      <w:bCs/>
      <w:kern w:val="0"/>
      <w:sz w:val="24"/>
    </w:rPr>
  </w:style>
  <w:style w:type="table" w:customStyle="1" w:styleId="58">
    <w:name w:val="Table Normal"/>
    <w:basedOn w:val="17"/>
    <w:qFormat/>
    <w:uiPriority w:val="0"/>
    <w:rPr>
      <w:rFonts w:eastAsia="Times New Roman"/>
    </w:rPr>
    <w:tblPr>
      <w:tblCellMar>
        <w:top w:w="0" w:type="dxa"/>
        <w:left w:w="0" w:type="dxa"/>
        <w:bottom w:w="0" w:type="dxa"/>
        <w:right w:w="0" w:type="dxa"/>
      </w:tblCellMar>
    </w:tblPr>
  </w:style>
  <w:style w:type="character" w:customStyle="1" w:styleId="59">
    <w:name w:val="标题 2 Char"/>
    <w:basedOn w:val="19"/>
    <w:link w:val="4"/>
    <w:semiHidden/>
    <w:qFormat/>
    <w:uiPriority w:val="0"/>
    <w:rPr>
      <w:rFonts w:asciiTheme="majorHAnsi" w:hAnsiTheme="majorHAnsi" w:eastAsiaTheme="majorEastAsia" w:cstheme="majorBidi"/>
      <w:b/>
      <w:bCs/>
      <w:kern w:val="2"/>
      <w:sz w:val="32"/>
      <w:szCs w:val="32"/>
    </w:rPr>
  </w:style>
  <w:style w:type="paragraph" w:customStyle="1" w:styleId="60">
    <w:name w:val="ll表格文字-居中"/>
    <w:basedOn w:val="1"/>
    <w:qFormat/>
    <w:uiPriority w:val="0"/>
    <w:pPr>
      <w:widowControl/>
      <w:adjustRightInd w:val="0"/>
      <w:spacing w:line="320" w:lineRule="exact"/>
      <w:jc w:val="center"/>
      <w:textAlignment w:val="center"/>
    </w:pPr>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69F33B-08C2-4F97-B655-7F89A60380E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9504</Words>
  <Characters>54178</Characters>
  <Lines>451</Lines>
  <Paragraphs>127</Paragraphs>
  <TotalTime>340</TotalTime>
  <ScaleCrop>false</ScaleCrop>
  <LinksUpToDate>false</LinksUpToDate>
  <CharactersWithSpaces>63555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2023-06-26T03:27:00Z</dcterms:created>
  <dc:creator>China</dc:creator>
  <cp:lastModifiedBy>Administrator</cp:lastModifiedBy>
  <cp:lastPrinted>2023-07-07T01:10:00Z</cp:lastPrinted>
  <dcterms:modified xsi:type="dcterms:W3CDTF">2023-09-06T09:15:57Z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E6BE85E0BA3E4987A77009739465AFD8_13</vt:lpwstr>
  </property>
</Properties>
</file>