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方正小标宋_GBK" w:eastAsia="方正小标宋_GBK"/>
          <w:bCs/>
          <w:sz w:val="72"/>
          <w:szCs w:val="72"/>
        </w:rPr>
      </w:pPr>
      <w:bookmarkStart w:id="0" w:name="_Toc4349"/>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pPr>
        <w:adjustRightInd w:val="0"/>
        <w:snapToGrid w:val="0"/>
        <w:spacing w:before="192" w:beforeLines="80"/>
        <w:jc w:val="center"/>
        <w:rPr>
          <w:rFonts w:hint="eastAsia" w:ascii="楷体_GB2312" w:eastAsia="楷体_GB2312"/>
          <w:bCs/>
          <w:sz w:val="48"/>
          <w:szCs w:val="48"/>
          <w:lang w:eastAsia="zh-CN"/>
        </w:rPr>
      </w:pPr>
      <w:r>
        <w:rPr>
          <w:rFonts w:hint="eastAsia" w:ascii="楷体_GB2312" w:eastAsia="楷体_GB2312"/>
          <w:bCs/>
          <w:sz w:val="48"/>
          <w:szCs w:val="48"/>
          <w:lang w:eastAsia="zh-CN"/>
        </w:rPr>
        <w:t>（</w:t>
      </w:r>
      <w:r>
        <w:rPr>
          <w:rFonts w:hint="eastAsia" w:ascii="楷体_GB2312" w:eastAsia="楷体_GB2312"/>
          <w:bCs/>
          <w:sz w:val="48"/>
          <w:szCs w:val="48"/>
          <w:lang w:val="en-US" w:eastAsia="zh-CN"/>
        </w:rPr>
        <w:t>公示本</w:t>
      </w:r>
      <w:r>
        <w:rPr>
          <w:rFonts w:hint="eastAsia" w:ascii="楷体_GB2312" w:eastAsia="楷体_GB2312"/>
          <w:bCs/>
          <w:sz w:val="48"/>
          <w:szCs w:val="48"/>
          <w:lang w:eastAsia="zh-CN"/>
        </w:rPr>
        <w:t>）</w:t>
      </w: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万达开天然气锂钾综合利用集聚区产城</w:t>
      </w:r>
    </w:p>
    <w:p>
      <w:pPr>
        <w:adjustRightInd w:val="0"/>
        <w:snapToGrid w:val="0"/>
        <w:spacing w:line="288" w:lineRule="auto"/>
        <w:ind w:firstLine="2520" w:firstLineChars="700"/>
        <w:rPr>
          <w:rFonts w:hint="eastAsia" w:ascii="仿宋_GB2312" w:eastAsia="仿宋_GB2312"/>
          <w:sz w:val="36"/>
          <w:szCs w:val="36"/>
          <w:u w:val="single"/>
        </w:rPr>
      </w:pPr>
      <w:r>
        <w:rPr>
          <w:rFonts w:hint="eastAsia" w:ascii="仿宋_GB2312" w:eastAsia="仿宋_GB2312"/>
          <w:sz w:val="36"/>
          <w:szCs w:val="36"/>
          <w:u w:val="single"/>
          <w:lang w:val="en-US" w:eastAsia="zh-CN"/>
        </w:rPr>
        <w:t xml:space="preserve">       融合基础设施建设项目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6"/>
          <w:szCs w:val="36"/>
          <w:u w:val="single"/>
        </w:rPr>
        <w:t>达州普光建设开发有限公司</w:t>
      </w:r>
      <w:r>
        <w:rPr>
          <w:rFonts w:hint="eastAsia" w:ascii="仿宋_GB2312" w:eastAsia="仿宋_GB2312"/>
          <w:sz w:val="36"/>
          <w:szCs w:val="36"/>
          <w:u w:val="single"/>
          <w:lang w:val="en-US" w:eastAsia="zh-CN"/>
        </w:rPr>
        <w:t xml:space="preserve">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2024年8月             </w:t>
      </w:r>
      <w:r>
        <w:rPr>
          <w:rFonts w:ascii="仿宋_GB2312" w:eastAsia="仿宋_GB2312"/>
          <w:sz w:val="36"/>
          <w:szCs w:val="36"/>
          <w:u w:val="single"/>
        </w:rPr>
        <w:t xml:space="preserve"> </w:t>
      </w:r>
      <w:bookmarkStart w:id="1"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p>
      <w:pPr>
        <w:adjustRightInd w:val="0"/>
        <w:snapToGrid w:val="0"/>
        <w:spacing w:line="288" w:lineRule="auto"/>
        <w:ind w:firstLine="1040"/>
        <w:rPr>
          <w:rFonts w:hint="eastAsia" w:ascii="仿宋_GB2312" w:eastAsia="仿宋_GB2312"/>
          <w:sz w:val="36"/>
          <w:szCs w:val="36"/>
        </w:rPr>
      </w:pPr>
    </w:p>
    <w:bookmarkEnd w:id="1"/>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_GB2312" w:eastAsia="楷体_GB2312"/>
          <w:sz w:val="36"/>
          <w:szCs w:val="36"/>
        </w:rPr>
        <w:sectPr>
          <w:headerReference r:id="rId5" w:type="default"/>
          <w:footerReference r:id="rId6" w:type="default"/>
          <w:pgSz w:w="11906" w:h="16838"/>
          <w:pgMar w:top="1134" w:right="1134" w:bottom="1134" w:left="1134" w:header="851" w:footer="992" w:gutter="0"/>
          <w:cols w:space="425" w:num="1"/>
          <w:docGrid w:type="lines" w:linePitch="312" w:charSpace="0"/>
        </w:sectPr>
      </w:pPr>
      <w:r>
        <w:rPr>
          <w:rFonts w:hint="eastAsia" w:ascii="楷体_GB2312" w:eastAsia="楷体_GB2312"/>
          <w:sz w:val="36"/>
          <w:szCs w:val="36"/>
        </w:rPr>
        <w:t>中华人民共和国生态环境部制</w:t>
      </w:r>
    </w:p>
    <w:sdt>
      <w:sdtPr>
        <w:rPr>
          <w:rFonts w:ascii="宋体" w:hAnsi="宋体" w:eastAsia="宋体" w:cs="Times New Roman"/>
          <w:kern w:val="2"/>
          <w:sz w:val="32"/>
          <w:szCs w:val="32"/>
          <w:lang w:val="en-US" w:eastAsia="zh-CN" w:bidi="ar-SA"/>
        </w:rPr>
        <w:id w:val="147459898"/>
        <w15:color w:val="DBDBDB"/>
        <w:docPartObj>
          <w:docPartGallery w:val="Table of Contents"/>
          <w:docPartUnique/>
        </w:docPartObj>
      </w:sdtPr>
      <w:sdtEndPr>
        <w:rPr>
          <w:rFonts w:ascii="Times New Roman" w:hAnsi="Times New Roman" w:eastAsia="宋体" w:cs="Times New Roman"/>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sz w:val="32"/>
              <w:szCs w:val="32"/>
            </w:rPr>
          </w:pPr>
          <w:r>
            <w:rPr>
              <w:rFonts w:ascii="宋体" w:hAnsi="宋体" w:eastAsia="宋体"/>
              <w:sz w:val="32"/>
              <w:szCs w:val="32"/>
            </w:rPr>
            <w:t>目</w:t>
          </w:r>
          <w:r>
            <w:rPr>
              <w:rFonts w:hint="eastAsia" w:ascii="宋体" w:hAnsi="宋体" w:eastAsia="宋体"/>
              <w:sz w:val="32"/>
              <w:szCs w:val="32"/>
              <w:lang w:val="en-US" w:eastAsia="zh-CN"/>
            </w:rPr>
            <w:t xml:space="preserve"> </w:t>
          </w:r>
          <w:r>
            <w:rPr>
              <w:rFonts w:ascii="宋体" w:hAnsi="宋体" w:eastAsia="宋体"/>
              <w:sz w:val="32"/>
              <w:szCs w:val="32"/>
            </w:rPr>
            <w:t>录</w:t>
          </w:r>
        </w:p>
        <w:p>
          <w:pPr>
            <w:pStyle w:val="11"/>
            <w:tabs>
              <w:tab w:val="right" w:leader="dot" w:pos="9638"/>
            </w:tabs>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TOC \o "1-1" \h \u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_Toc23609 </w:instrText>
          </w:r>
          <w:r>
            <w:rPr>
              <w:rFonts w:hint="default" w:ascii="Times New Roman" w:hAnsi="Times New Roman" w:eastAsia="宋体" w:cs="Times New Roman"/>
              <w:szCs w:val="24"/>
            </w:rPr>
            <w:fldChar w:fldCharType="separate"/>
          </w:r>
          <w:r>
            <w:rPr>
              <w:rFonts w:hint="eastAsia"/>
              <w:bCs/>
            </w:rPr>
            <w:t>一、建设项目基本情况</w:t>
          </w:r>
          <w:r>
            <w:tab/>
          </w:r>
          <w:r>
            <w:fldChar w:fldCharType="begin"/>
          </w:r>
          <w:r>
            <w:instrText xml:space="preserve"> PAGEREF _Toc23609 \h </w:instrText>
          </w:r>
          <w:r>
            <w:fldChar w:fldCharType="separate"/>
          </w:r>
          <w:r>
            <w:t>1</w:t>
          </w:r>
          <w:r>
            <w:fldChar w:fldCharType="end"/>
          </w:r>
          <w:r>
            <w:rPr>
              <w:rFonts w:hint="default" w:ascii="Times New Roman" w:hAnsi="Times New Roman" w:eastAsia="宋体" w:cs="Times New Roman"/>
              <w:szCs w:val="24"/>
            </w:rPr>
            <w:fldChar w:fldCharType="end"/>
          </w:r>
        </w:p>
        <w:p>
          <w:pPr>
            <w:pStyle w:val="11"/>
            <w:tabs>
              <w:tab w:val="right" w:leader="dot" w:pos="9638"/>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_Toc9290 </w:instrText>
          </w:r>
          <w:r>
            <w:rPr>
              <w:rFonts w:hint="default" w:ascii="Times New Roman" w:hAnsi="Times New Roman" w:eastAsia="宋体" w:cs="Times New Roman"/>
              <w:szCs w:val="24"/>
            </w:rPr>
            <w:fldChar w:fldCharType="separate"/>
          </w:r>
          <w:r>
            <w:rPr>
              <w:rFonts w:hint="eastAsia"/>
            </w:rPr>
            <w:t>二、建设项目工程分析</w:t>
          </w:r>
          <w:r>
            <w:tab/>
          </w:r>
          <w:r>
            <w:fldChar w:fldCharType="begin"/>
          </w:r>
          <w:r>
            <w:instrText xml:space="preserve"> PAGEREF _Toc9290 \h </w:instrText>
          </w:r>
          <w:r>
            <w:fldChar w:fldCharType="separate"/>
          </w:r>
          <w:r>
            <w:t>31</w:t>
          </w:r>
          <w:r>
            <w:fldChar w:fldCharType="end"/>
          </w:r>
          <w:r>
            <w:rPr>
              <w:rFonts w:hint="default" w:ascii="Times New Roman" w:hAnsi="Times New Roman" w:eastAsia="宋体" w:cs="Times New Roman"/>
              <w:szCs w:val="24"/>
            </w:rPr>
            <w:fldChar w:fldCharType="end"/>
          </w:r>
        </w:p>
        <w:p>
          <w:pPr>
            <w:pStyle w:val="11"/>
            <w:tabs>
              <w:tab w:val="right" w:leader="dot" w:pos="9638"/>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_Toc6904 </w:instrText>
          </w:r>
          <w:r>
            <w:rPr>
              <w:rFonts w:hint="default" w:ascii="Times New Roman" w:hAnsi="Times New Roman" w:eastAsia="宋体" w:cs="Times New Roman"/>
              <w:szCs w:val="24"/>
            </w:rPr>
            <w:fldChar w:fldCharType="separate"/>
          </w:r>
          <w:r>
            <w:rPr>
              <w:rFonts w:hint="eastAsia"/>
            </w:rPr>
            <w:t>三、区域环境质量现状、环境保护目标及评价标准</w:t>
          </w:r>
          <w:r>
            <w:tab/>
          </w:r>
          <w:r>
            <w:fldChar w:fldCharType="begin"/>
          </w:r>
          <w:r>
            <w:instrText xml:space="preserve"> PAGEREF _Toc6904 \h </w:instrText>
          </w:r>
          <w:r>
            <w:fldChar w:fldCharType="separate"/>
          </w:r>
          <w:r>
            <w:t>44</w:t>
          </w:r>
          <w:r>
            <w:fldChar w:fldCharType="end"/>
          </w:r>
          <w:r>
            <w:rPr>
              <w:rFonts w:hint="default" w:ascii="Times New Roman" w:hAnsi="Times New Roman" w:eastAsia="宋体" w:cs="Times New Roman"/>
              <w:szCs w:val="24"/>
            </w:rPr>
            <w:fldChar w:fldCharType="end"/>
          </w:r>
        </w:p>
        <w:p>
          <w:pPr>
            <w:pStyle w:val="11"/>
            <w:tabs>
              <w:tab w:val="right" w:leader="dot" w:pos="9638"/>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_Toc9661 </w:instrText>
          </w:r>
          <w:r>
            <w:rPr>
              <w:rFonts w:hint="default" w:ascii="Times New Roman" w:hAnsi="Times New Roman" w:eastAsia="宋体" w:cs="Times New Roman"/>
              <w:szCs w:val="24"/>
            </w:rPr>
            <w:fldChar w:fldCharType="separate"/>
          </w:r>
          <w:r>
            <w:rPr>
              <w:rFonts w:hint="eastAsia"/>
            </w:rPr>
            <w:t>四、主要环境影响和保护措施</w:t>
          </w:r>
          <w:r>
            <w:tab/>
          </w:r>
          <w:r>
            <w:fldChar w:fldCharType="begin"/>
          </w:r>
          <w:r>
            <w:instrText xml:space="preserve"> PAGEREF _Toc9661 \h </w:instrText>
          </w:r>
          <w:r>
            <w:fldChar w:fldCharType="separate"/>
          </w:r>
          <w:r>
            <w:t>49</w:t>
          </w:r>
          <w:r>
            <w:fldChar w:fldCharType="end"/>
          </w:r>
          <w:r>
            <w:rPr>
              <w:rFonts w:hint="default" w:ascii="Times New Roman" w:hAnsi="Times New Roman" w:eastAsia="宋体" w:cs="Times New Roman"/>
              <w:szCs w:val="24"/>
            </w:rPr>
            <w:fldChar w:fldCharType="end"/>
          </w:r>
        </w:p>
        <w:p>
          <w:pPr>
            <w:pStyle w:val="11"/>
            <w:tabs>
              <w:tab w:val="right" w:leader="dot" w:pos="9638"/>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_Toc26287 </w:instrText>
          </w:r>
          <w:r>
            <w:rPr>
              <w:rFonts w:hint="default" w:ascii="Times New Roman" w:hAnsi="Times New Roman" w:eastAsia="宋体" w:cs="Times New Roman"/>
              <w:szCs w:val="24"/>
            </w:rPr>
            <w:fldChar w:fldCharType="separate"/>
          </w:r>
          <w:r>
            <w:rPr>
              <w:rFonts w:hint="eastAsia"/>
            </w:rPr>
            <w:t>五、环境保护措施监督检查清单</w:t>
          </w:r>
          <w:r>
            <w:tab/>
          </w:r>
          <w:r>
            <w:fldChar w:fldCharType="begin"/>
          </w:r>
          <w:r>
            <w:instrText xml:space="preserve"> PAGEREF _Toc26287 \h </w:instrText>
          </w:r>
          <w:r>
            <w:fldChar w:fldCharType="separate"/>
          </w:r>
          <w:r>
            <w:t>91</w:t>
          </w:r>
          <w:r>
            <w:fldChar w:fldCharType="end"/>
          </w:r>
          <w:r>
            <w:rPr>
              <w:rFonts w:hint="default" w:ascii="Times New Roman" w:hAnsi="Times New Roman" w:eastAsia="宋体" w:cs="Times New Roman"/>
              <w:szCs w:val="24"/>
            </w:rPr>
            <w:fldChar w:fldCharType="end"/>
          </w:r>
        </w:p>
        <w:p>
          <w:pPr>
            <w:pStyle w:val="11"/>
            <w:tabs>
              <w:tab w:val="right" w:leader="dot" w:pos="9638"/>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_Toc14086 </w:instrText>
          </w:r>
          <w:r>
            <w:rPr>
              <w:rFonts w:hint="default" w:ascii="Times New Roman" w:hAnsi="Times New Roman" w:eastAsia="宋体" w:cs="Times New Roman"/>
              <w:szCs w:val="24"/>
            </w:rPr>
            <w:fldChar w:fldCharType="separate"/>
          </w:r>
          <w:r>
            <w:rPr>
              <w:rFonts w:hint="eastAsia"/>
            </w:rPr>
            <w:t>六、结论</w:t>
          </w:r>
          <w:r>
            <w:tab/>
          </w:r>
          <w:r>
            <w:fldChar w:fldCharType="begin"/>
          </w:r>
          <w:r>
            <w:instrText xml:space="preserve"> PAGEREF _Toc14086 \h </w:instrText>
          </w:r>
          <w:r>
            <w:fldChar w:fldCharType="separate"/>
          </w:r>
          <w:r>
            <w:t>93</w:t>
          </w:r>
          <w:r>
            <w:fldChar w:fldCharType="end"/>
          </w:r>
          <w:r>
            <w:rPr>
              <w:rFonts w:hint="default" w:ascii="Times New Roman" w:hAnsi="Times New Roman" w:eastAsia="宋体" w:cs="Times New Roman"/>
              <w:szCs w:val="24"/>
            </w:rPr>
            <w:fldChar w:fldCharType="end"/>
          </w:r>
        </w:p>
        <w:p>
          <w:pPr>
            <w:pStyle w:val="11"/>
            <w:tabs>
              <w:tab w:val="right" w:leader="dot" w:pos="9638"/>
            </w:tabs>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HYPERLINK \l _Toc7989 </w:instrText>
          </w:r>
          <w:r>
            <w:rPr>
              <w:rFonts w:hint="default" w:ascii="Times New Roman" w:hAnsi="Times New Roman" w:eastAsia="宋体" w:cs="Times New Roman"/>
              <w:szCs w:val="24"/>
            </w:rPr>
            <w:fldChar w:fldCharType="separate"/>
          </w:r>
          <w:r>
            <w:rPr>
              <w:rFonts w:hint="eastAsia"/>
              <w:szCs w:val="38"/>
            </w:rPr>
            <w:t>建设项目污染物排放量汇总表</w:t>
          </w:r>
          <w:r>
            <w:tab/>
          </w:r>
          <w:r>
            <w:fldChar w:fldCharType="begin"/>
          </w:r>
          <w:r>
            <w:instrText xml:space="preserve"> PAGEREF _Toc7989 \h </w:instrText>
          </w:r>
          <w:r>
            <w:fldChar w:fldCharType="separate"/>
          </w:r>
          <w:r>
            <w:t>94</w:t>
          </w:r>
          <w:r>
            <w:fldChar w:fldCharType="end"/>
          </w:r>
          <w:r>
            <w:rPr>
              <w:rFonts w:hint="default" w:ascii="Times New Roman" w:hAnsi="Times New Roman" w:eastAsia="宋体" w:cs="Times New Roman"/>
              <w:szCs w:val="24"/>
            </w:rPr>
            <w:fldChar w:fldCharType="end"/>
          </w:r>
        </w:p>
        <w:p>
          <w:pPr>
            <w:pStyle w:val="7"/>
            <w:keepNext w:val="0"/>
            <w:keepLines w:val="0"/>
            <w:pageBreakBefore w:val="0"/>
            <w:kinsoku/>
            <w:wordWrap/>
            <w:overflowPunct/>
            <w:topLinePunct w:val="0"/>
            <w:autoSpaceDE/>
            <w:autoSpaceDN/>
            <w:bidi w:val="0"/>
            <w:adjustRightInd/>
            <w:snapToGrid/>
            <w:spacing w:after="0" w:afterLines="0" w:line="360" w:lineRule="auto"/>
            <w:ind w:firstLine="0" w:firstLineChars="0"/>
            <w:jc w:val="both"/>
            <w:textAlignment w:val="auto"/>
            <w:rPr>
              <w:rFonts w:ascii="Times New Roman" w:hAnsi="Times New Roman" w:eastAsia="宋体" w:cs="Times New Roman"/>
              <w:kern w:val="2"/>
              <w:sz w:val="24"/>
              <w:szCs w:val="24"/>
              <w:lang w:val="en-US" w:eastAsia="zh-CN" w:bidi="ar-SA"/>
            </w:rPr>
          </w:pPr>
          <w:r>
            <w:rPr>
              <w:rFonts w:hint="default" w:ascii="Times New Roman" w:hAnsi="Times New Roman" w:eastAsia="宋体" w:cs="Times New Roman"/>
              <w:szCs w:val="24"/>
            </w:rPr>
            <w:fldChar w:fldCharType="end"/>
          </w:r>
        </w:p>
      </w:sdtContent>
    </w:sdt>
    <w:p/>
    <w:tbl>
      <w:tblPr>
        <w:tblStyle w:val="17"/>
        <w:tblpPr w:leftFromText="180" w:rightFromText="180" w:vertAnchor="text" w:horzAnchor="page" w:tblpX="1441" w:tblpY="272"/>
        <w:tblOverlap w:val="never"/>
        <w:tblW w:w="5198" w:type="pct"/>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926"/>
        <w:gridCol w:w="5318"/>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90" w:hRule="atLeast"/>
        </w:trPr>
        <w:tc>
          <w:tcPr>
            <w:tcW w:w="2404"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cs="Times New Roman"/>
                <w:sz w:val="24"/>
                <w:szCs w:val="24"/>
              </w:rPr>
            </w:pPr>
            <w:r>
              <w:rPr>
                <w:rFonts w:hint="eastAsia" w:cs="Times New Roman"/>
                <w:sz w:val="24"/>
                <w:szCs w:val="24"/>
              </w:rPr>
              <w:t>附图：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cs="Times New Roman"/>
                <w:sz w:val="24"/>
                <w:szCs w:val="24"/>
              </w:rPr>
            </w:pPr>
            <w:r>
              <w:rPr>
                <w:rFonts w:hint="eastAsia" w:cs="Times New Roman"/>
                <w:sz w:val="24"/>
                <w:szCs w:val="24"/>
              </w:rPr>
              <w:t>附图1 项目地理位置图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cs="Times New Roman"/>
                <w:sz w:val="24"/>
                <w:szCs w:val="24"/>
                <w:lang w:val="en-US" w:eastAsia="zh-CN"/>
              </w:rPr>
            </w:pPr>
            <w:r>
              <w:rPr>
                <w:rFonts w:hint="eastAsia" w:cs="Times New Roman"/>
                <w:sz w:val="24"/>
                <w:szCs w:val="24"/>
              </w:rPr>
              <w:t xml:space="preserve">附图2 </w:t>
            </w:r>
            <w:r>
              <w:rPr>
                <w:rFonts w:hint="eastAsia" w:cs="Times New Roman"/>
                <w:sz w:val="24"/>
                <w:szCs w:val="24"/>
                <w:lang w:val="en-US" w:eastAsia="zh-CN"/>
              </w:rPr>
              <w:t>项目与普光化工园区详细规划区位关系图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s="Times New Roman"/>
                <w:sz w:val="24"/>
                <w:szCs w:val="24"/>
                <w:lang w:val="en-US" w:eastAsia="zh-CN"/>
              </w:rPr>
            </w:pPr>
            <w:r>
              <w:rPr>
                <w:rFonts w:hint="eastAsia" w:cs="Times New Roman"/>
                <w:sz w:val="24"/>
                <w:szCs w:val="24"/>
              </w:rPr>
              <w:t>附图3</w:t>
            </w:r>
            <w:r>
              <w:rPr>
                <w:rFonts w:hint="eastAsia" w:cs="Times New Roman"/>
                <w:sz w:val="24"/>
                <w:szCs w:val="24"/>
                <w:lang w:val="en-US" w:eastAsia="zh-CN"/>
              </w:rPr>
              <w:t xml:space="preserve"> 停车场外环境关系图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cs="Times New Roman"/>
                <w:sz w:val="24"/>
                <w:szCs w:val="24"/>
                <w:lang w:val="en-US" w:eastAsia="zh-CN"/>
              </w:rPr>
            </w:pPr>
            <w:r>
              <w:rPr>
                <w:rFonts w:hint="eastAsia" w:cs="Times New Roman"/>
                <w:sz w:val="24"/>
                <w:szCs w:val="24"/>
                <w:lang w:val="en-US" w:eastAsia="zh-CN"/>
              </w:rPr>
              <w:t>附图4 消防站平面布置图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s="Times New Roman"/>
                <w:sz w:val="24"/>
                <w:szCs w:val="24"/>
                <w:lang w:val="en-US" w:eastAsia="zh-CN"/>
              </w:rPr>
            </w:pPr>
            <w:r>
              <w:rPr>
                <w:rFonts w:hint="eastAsia" w:cs="Times New Roman"/>
                <w:sz w:val="24"/>
                <w:szCs w:val="24"/>
              </w:rPr>
              <w:t>附图</w:t>
            </w:r>
            <w:r>
              <w:rPr>
                <w:rFonts w:hint="eastAsia" w:cs="Times New Roman"/>
                <w:sz w:val="24"/>
                <w:szCs w:val="24"/>
                <w:lang w:val="en-US" w:eastAsia="zh-CN"/>
              </w:rPr>
              <w:t>5</w:t>
            </w:r>
            <w:r>
              <w:rPr>
                <w:rFonts w:hint="eastAsia" w:cs="Times New Roman"/>
                <w:sz w:val="24"/>
                <w:szCs w:val="24"/>
              </w:rPr>
              <w:t xml:space="preserve"> </w:t>
            </w:r>
            <w:r>
              <w:rPr>
                <w:rFonts w:hint="eastAsia" w:cs="Times New Roman"/>
                <w:sz w:val="24"/>
                <w:szCs w:val="24"/>
                <w:lang w:val="en-US" w:eastAsia="zh-CN"/>
              </w:rPr>
              <w:t>停车场平面布置及分区防渗图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cs="Times New Roman"/>
                <w:sz w:val="24"/>
                <w:szCs w:val="24"/>
                <w:lang w:val="en-US" w:eastAsia="zh-CN"/>
              </w:rPr>
            </w:pPr>
            <w:r>
              <w:rPr>
                <w:rFonts w:hint="eastAsia" w:cs="Times New Roman"/>
                <w:sz w:val="24"/>
                <w:szCs w:val="24"/>
                <w:lang w:val="en-US" w:eastAsia="zh-CN"/>
              </w:rPr>
              <w:t>附图6 项目停车场雨污管网图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cs="Times New Roman"/>
                <w:sz w:val="24"/>
                <w:szCs w:val="24"/>
                <w:lang w:val="en-US" w:eastAsia="zh-CN"/>
              </w:rPr>
            </w:pPr>
            <w:r>
              <w:rPr>
                <w:rFonts w:hint="eastAsia" w:cs="Times New Roman"/>
                <w:sz w:val="24"/>
                <w:szCs w:val="24"/>
              </w:rPr>
              <w:t>附图</w:t>
            </w:r>
            <w:r>
              <w:rPr>
                <w:rFonts w:hint="eastAsia" w:cs="Times New Roman"/>
                <w:sz w:val="24"/>
                <w:szCs w:val="24"/>
                <w:lang w:val="en-US" w:eastAsia="zh-CN"/>
              </w:rPr>
              <w:t>7</w:t>
            </w:r>
            <w:r>
              <w:rPr>
                <w:rFonts w:hint="eastAsia" w:cs="Times New Roman"/>
                <w:sz w:val="24"/>
                <w:szCs w:val="24"/>
              </w:rPr>
              <w:t xml:space="preserve"> </w:t>
            </w:r>
            <w:r>
              <w:rPr>
                <w:rFonts w:hint="eastAsia" w:cs="Times New Roman"/>
                <w:sz w:val="24"/>
                <w:szCs w:val="24"/>
                <w:lang w:val="en-US" w:eastAsia="zh-CN"/>
              </w:rPr>
              <w:t>消防站平面布置图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cs="Times New Roman"/>
                <w:sz w:val="24"/>
                <w:szCs w:val="24"/>
                <w:lang w:val="en-US" w:eastAsia="zh-CN"/>
              </w:rPr>
            </w:pPr>
            <w:r>
              <w:rPr>
                <w:rFonts w:hint="eastAsia" w:cs="Times New Roman"/>
                <w:sz w:val="24"/>
                <w:szCs w:val="24"/>
              </w:rPr>
              <w:t>附图</w:t>
            </w:r>
            <w:r>
              <w:rPr>
                <w:rFonts w:hint="eastAsia" w:cs="Times New Roman"/>
                <w:sz w:val="24"/>
                <w:szCs w:val="24"/>
                <w:lang w:val="en-US" w:eastAsia="zh-CN"/>
              </w:rPr>
              <w:t>8</w:t>
            </w:r>
            <w:r>
              <w:rPr>
                <w:rFonts w:hint="eastAsia" w:cs="Times New Roman"/>
                <w:sz w:val="24"/>
                <w:szCs w:val="24"/>
              </w:rPr>
              <w:t xml:space="preserve"> </w:t>
            </w:r>
            <w:r>
              <w:rPr>
                <w:rFonts w:hint="eastAsia" w:cs="Times New Roman"/>
                <w:sz w:val="24"/>
                <w:szCs w:val="24"/>
                <w:lang w:val="en-US" w:eastAsia="zh-CN"/>
              </w:rPr>
              <w:t>项目现场照片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cs="Times New Roman"/>
                <w:sz w:val="24"/>
                <w:szCs w:val="24"/>
              </w:rPr>
            </w:pPr>
          </w:p>
        </w:tc>
        <w:tc>
          <w:tcPr>
            <w:tcW w:w="2595"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cs="Times New Roman"/>
                <w:sz w:val="24"/>
                <w:szCs w:val="24"/>
              </w:rPr>
            </w:pPr>
            <w:r>
              <w:rPr>
                <w:rFonts w:hint="eastAsia" w:cs="Times New Roman"/>
                <w:sz w:val="24"/>
                <w:szCs w:val="24"/>
              </w:rPr>
              <w:t>附件：</w:t>
            </w:r>
          </w:p>
          <w:p>
            <w:pPr>
              <w:keepNext w:val="0"/>
              <w:keepLines w:val="0"/>
              <w:pageBreakBefore w:val="0"/>
              <w:widowControl w:val="0"/>
              <w:tabs>
                <w:tab w:val="left" w:pos="3150"/>
                <w:tab w:val="left" w:pos="3585"/>
              </w:tabs>
              <w:kinsoku/>
              <w:wordWrap/>
              <w:overflowPunct/>
              <w:topLinePunct w:val="0"/>
              <w:autoSpaceDE/>
              <w:autoSpaceDN/>
              <w:bidi w:val="0"/>
              <w:adjustRightInd/>
              <w:snapToGrid/>
              <w:spacing w:line="360" w:lineRule="auto"/>
              <w:ind w:firstLine="0" w:firstLineChars="0"/>
              <w:textAlignment w:val="auto"/>
              <w:rPr>
                <w:rFonts w:cs="Times New Roman"/>
                <w:sz w:val="24"/>
                <w:szCs w:val="24"/>
              </w:rPr>
            </w:pPr>
            <w:r>
              <w:rPr>
                <w:rFonts w:hint="eastAsia" w:cs="Times New Roman"/>
                <w:sz w:val="24"/>
                <w:szCs w:val="24"/>
              </w:rPr>
              <w:t>附件1 环评委托书</w:t>
            </w:r>
            <w:r>
              <w:rPr>
                <w:rFonts w:cs="Times New Roman"/>
                <w:sz w:val="24"/>
                <w:szCs w:val="24"/>
              </w:rPr>
              <w:tab/>
            </w:r>
            <w:r>
              <w:rPr>
                <w:rFonts w:cs="Times New Roman"/>
                <w:sz w:val="24"/>
                <w:szCs w:val="24"/>
              </w:rPr>
              <w:tab/>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cs="Times New Roman"/>
                <w:sz w:val="24"/>
                <w:szCs w:val="24"/>
                <w:lang w:val="en-US" w:eastAsia="zh-CN"/>
              </w:rPr>
            </w:pPr>
            <w:r>
              <w:rPr>
                <w:rFonts w:hint="eastAsia" w:cs="Times New Roman"/>
                <w:sz w:val="24"/>
                <w:szCs w:val="24"/>
              </w:rPr>
              <w:t xml:space="preserve">附件2 </w:t>
            </w:r>
            <w:r>
              <w:rPr>
                <w:rFonts w:hint="eastAsia" w:cs="Times New Roman"/>
                <w:sz w:val="24"/>
                <w:szCs w:val="24"/>
                <w:lang w:val="en-US" w:eastAsia="zh-CN"/>
              </w:rPr>
              <w:t>项目可研批复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cs="Times New Roman"/>
                <w:sz w:val="24"/>
                <w:szCs w:val="24"/>
                <w:lang w:val="en-US" w:eastAsia="zh-CN"/>
              </w:rPr>
            </w:pPr>
            <w:r>
              <w:rPr>
                <w:rFonts w:hint="eastAsia" w:cs="Times New Roman"/>
                <w:sz w:val="24"/>
                <w:szCs w:val="24"/>
              </w:rPr>
              <w:t xml:space="preserve">附件3 </w:t>
            </w:r>
            <w:r>
              <w:rPr>
                <w:rFonts w:hint="eastAsia" w:cs="Times New Roman"/>
                <w:sz w:val="24"/>
                <w:szCs w:val="24"/>
                <w:lang w:val="en-US" w:eastAsia="zh-CN"/>
              </w:rPr>
              <w:t>关于立项的情况说明</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eastAsia="宋体" w:cs="Times New Roman"/>
                <w:sz w:val="24"/>
                <w:szCs w:val="24"/>
                <w:lang w:val="en-US" w:eastAsia="zh-CN"/>
              </w:rPr>
            </w:pPr>
            <w:r>
              <w:rPr>
                <w:rFonts w:hint="eastAsia" w:cs="Times New Roman"/>
                <w:sz w:val="24"/>
                <w:szCs w:val="24"/>
              </w:rPr>
              <w:t>附件</w:t>
            </w:r>
            <w:r>
              <w:rPr>
                <w:rFonts w:cs="Times New Roman"/>
                <w:sz w:val="24"/>
                <w:szCs w:val="24"/>
              </w:rPr>
              <w:t>4</w:t>
            </w:r>
            <w:r>
              <w:rPr>
                <w:rFonts w:hint="eastAsia" w:cs="Times New Roman"/>
                <w:sz w:val="24"/>
                <w:szCs w:val="24"/>
              </w:rPr>
              <w:t xml:space="preserve"> </w:t>
            </w:r>
            <w:r>
              <w:rPr>
                <w:rFonts w:hint="eastAsia" w:cs="Times New Roman"/>
                <w:sz w:val="24"/>
                <w:szCs w:val="24"/>
                <w:lang w:val="en-US" w:eastAsia="zh-CN"/>
              </w:rPr>
              <w:t>园区规划环评批复</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cs="Times New Roman"/>
                <w:sz w:val="24"/>
                <w:szCs w:val="24"/>
                <w:lang w:val="en-US" w:eastAsia="zh-CN"/>
              </w:rPr>
            </w:pPr>
            <w:r>
              <w:rPr>
                <w:rFonts w:hint="eastAsia" w:cs="Times New Roman"/>
                <w:sz w:val="24"/>
                <w:szCs w:val="24"/>
                <w:lang w:val="en-US" w:eastAsia="zh-CN"/>
              </w:rPr>
              <w:t>附件5 危化品停车场用地出让合同</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s="Times New Roman"/>
                <w:sz w:val="24"/>
                <w:szCs w:val="24"/>
                <w:lang w:val="en-US" w:eastAsia="zh-CN"/>
              </w:rPr>
            </w:pPr>
            <w:r>
              <w:rPr>
                <w:rFonts w:hint="eastAsia" w:cs="Times New Roman"/>
                <w:sz w:val="24"/>
                <w:szCs w:val="24"/>
                <w:lang w:val="en-US" w:eastAsia="zh-CN"/>
              </w:rPr>
              <w:t>附件6 消防站用地出让合同</w:t>
            </w:r>
          </w:p>
          <w:p>
            <w:pPr>
              <w:pStyle w:val="7"/>
              <w:keepNext w:val="0"/>
              <w:keepLines w:val="0"/>
              <w:pageBreakBefore w:val="0"/>
              <w:widowControl w:val="0"/>
              <w:kinsoku/>
              <w:wordWrap/>
              <w:overflowPunct/>
              <w:topLinePunct w:val="0"/>
              <w:autoSpaceDE/>
              <w:autoSpaceDN/>
              <w:bidi w:val="0"/>
              <w:adjustRightInd/>
              <w:snapToGrid/>
              <w:spacing w:after="0" w:afterLines="0"/>
              <w:ind w:firstLine="0" w:firstLineChars="0"/>
              <w:textAlignment w:val="auto"/>
              <w:rPr>
                <w:rFonts w:hint="default" w:cs="Times New Roman"/>
                <w:sz w:val="24"/>
                <w:szCs w:val="24"/>
                <w:lang w:val="en-US" w:eastAsia="zh-CN"/>
              </w:rPr>
            </w:pPr>
            <w:r>
              <w:rPr>
                <w:rFonts w:hint="eastAsia" w:cs="Times New Roman"/>
                <w:sz w:val="24"/>
                <w:szCs w:val="24"/>
                <w:lang w:val="en-US" w:eastAsia="zh-CN"/>
              </w:rPr>
              <w:t>附件7停车场工程用地规划许可证</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cs="Times New Roman"/>
                <w:sz w:val="24"/>
                <w:szCs w:val="24"/>
              </w:rPr>
            </w:pP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_GB2312" w:eastAsia="楷体_GB2312"/>
          <w:sz w:val="36"/>
          <w:szCs w:val="36"/>
        </w:rPr>
        <w:sectPr>
          <w:pgSz w:w="11906" w:h="16838"/>
          <w:pgMar w:top="1134" w:right="1134" w:bottom="1134" w:left="1134" w:header="851" w:footer="992" w:gutter="0"/>
          <w:cols w:space="425" w:num="1"/>
          <w:docGrid w:type="lines" w:linePitch="312" w:charSpace="0"/>
        </w:sectPr>
      </w:pPr>
    </w:p>
    <w:p>
      <w:pPr>
        <w:pStyle w:val="2"/>
        <w:bidi w:val="0"/>
        <w:rPr>
          <w:rFonts w:hint="eastAsia"/>
          <w:b w:val="0"/>
          <w:bCs/>
        </w:rPr>
      </w:pPr>
      <w:bookmarkStart w:id="2" w:name="_Toc23609"/>
      <w:r>
        <w:rPr>
          <w:rFonts w:hint="eastAsia"/>
          <w:b w:val="0"/>
          <w:bCs/>
        </w:rPr>
        <w:t>一、建设项目基本情况</w:t>
      </w:r>
      <w:bookmarkEnd w:id="2"/>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7"/>
        <w:gridCol w:w="2106"/>
        <w:gridCol w:w="2369"/>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rPr>
            </w:pPr>
            <w:r>
              <w:rPr>
                <w:rFonts w:hint="default"/>
              </w:rPr>
              <w:t>建设项目名称</w:t>
            </w:r>
          </w:p>
        </w:tc>
        <w:tc>
          <w:tcPr>
            <w:tcW w:w="3798" w:type="pct"/>
            <w:gridSpan w:val="3"/>
            <w:vAlign w:val="center"/>
          </w:tcPr>
          <w:p>
            <w:pPr>
              <w:pStyle w:val="30"/>
              <w:bidi w:val="0"/>
              <w:rPr>
                <w:rFonts w:hint="default"/>
              </w:rPr>
            </w:pPr>
            <w:r>
              <w:rPr>
                <w:rFonts w:hint="default"/>
              </w:rPr>
              <w:t>万达开天然气锂钾综合利用集聚区产城融合基础设施建设项目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项目代码</w:t>
            </w:r>
          </w:p>
        </w:tc>
        <w:tc>
          <w:tcPr>
            <w:tcW w:w="3798" w:type="pct"/>
            <w:gridSpan w:val="3"/>
            <w:vAlign w:val="center"/>
          </w:tcPr>
          <w:p>
            <w:pPr>
              <w:pStyle w:val="30"/>
              <w:bidi w:val="0"/>
              <w:rPr>
                <w:rFonts w:hint="default"/>
              </w:rPr>
            </w:pPr>
            <w:r>
              <w:rPr>
                <w:rFonts w:hint="default"/>
              </w:rPr>
              <w:t>2208-511722-04-01-306132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建设单位联系人</w:t>
            </w:r>
          </w:p>
        </w:tc>
        <w:tc>
          <w:tcPr>
            <w:tcW w:w="1068" w:type="pct"/>
            <w:vAlign w:val="center"/>
          </w:tcPr>
          <w:p>
            <w:pPr>
              <w:pStyle w:val="30"/>
              <w:bidi w:val="0"/>
              <w:rPr>
                <w:rFonts w:hint="default"/>
                <w:lang w:val="en-US"/>
              </w:rPr>
            </w:pPr>
            <w:r>
              <w:rPr>
                <w:rFonts w:hint="eastAsia" w:cs="Times New Roman"/>
                <w:sz w:val="24"/>
                <w:szCs w:val="24"/>
                <w:lang w:val="en-US" w:eastAsia="zh-CN"/>
              </w:rPr>
              <w:t>**</w:t>
            </w:r>
          </w:p>
        </w:tc>
        <w:tc>
          <w:tcPr>
            <w:tcW w:w="1202" w:type="pct"/>
            <w:vAlign w:val="center"/>
          </w:tcPr>
          <w:p>
            <w:pPr>
              <w:pStyle w:val="30"/>
              <w:bidi w:val="0"/>
              <w:rPr>
                <w:rFonts w:hint="default"/>
                <w:lang w:val="en-US" w:eastAsia="zh-CN"/>
              </w:rPr>
            </w:pPr>
            <w:r>
              <w:rPr>
                <w:rFonts w:hint="eastAsia"/>
                <w:lang w:val="en-US" w:eastAsia="zh-CN"/>
              </w:rPr>
              <w:t>联系方式</w:t>
            </w:r>
          </w:p>
        </w:tc>
        <w:tc>
          <w:tcPr>
            <w:tcW w:w="1528" w:type="pct"/>
            <w:vAlign w:val="center"/>
          </w:tcPr>
          <w:p>
            <w:pPr>
              <w:pStyle w:val="30"/>
              <w:bidi w:val="0"/>
              <w:rPr>
                <w:rFonts w:hint="default"/>
                <w:lang w:val="en-US"/>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建设地点</w:t>
            </w:r>
          </w:p>
        </w:tc>
        <w:tc>
          <w:tcPr>
            <w:tcW w:w="3798" w:type="pct"/>
            <w:gridSpan w:val="3"/>
            <w:vAlign w:val="center"/>
          </w:tcPr>
          <w:p>
            <w:pPr>
              <w:pStyle w:val="30"/>
              <w:bidi w:val="0"/>
              <w:rPr>
                <w:rFonts w:hint="default"/>
              </w:rPr>
            </w:pPr>
            <w:r>
              <w:rPr>
                <w:rFonts w:hint="default"/>
              </w:rPr>
              <w:t>宣汉县普光经开区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地理坐标</w:t>
            </w:r>
          </w:p>
        </w:tc>
        <w:tc>
          <w:tcPr>
            <w:tcW w:w="3798" w:type="pct"/>
            <w:gridSpan w:val="3"/>
            <w:vAlign w:val="center"/>
          </w:tcPr>
          <w:p>
            <w:pPr>
              <w:pStyle w:val="30"/>
              <w:bidi w:val="0"/>
              <w:rPr>
                <w:rFonts w:hint="default"/>
                <w:lang w:eastAsia="zh-CN"/>
              </w:rPr>
            </w:pPr>
            <w:r>
              <w:rPr>
                <w:rFonts w:hint="default"/>
                <w:lang w:val="en-US" w:eastAsia="zh-CN"/>
              </w:rPr>
              <w:t>停车场坐标：经度：</w:t>
            </w:r>
            <w:r>
              <w:rPr>
                <w:rFonts w:hint="default"/>
              </w:rPr>
              <w:t>107.695168790,</w:t>
            </w:r>
            <w:r>
              <w:rPr>
                <w:rFonts w:hint="default"/>
                <w:lang w:val="en-US" w:eastAsia="zh-CN"/>
              </w:rPr>
              <w:t>纬度：</w:t>
            </w:r>
            <w:r>
              <w:rPr>
                <w:rFonts w:hint="default"/>
              </w:rPr>
              <w:t>31.512432884</w:t>
            </w:r>
            <w:r>
              <w:rPr>
                <w:rFonts w:hint="default"/>
                <w:lang w:eastAsia="zh-CN"/>
              </w:rPr>
              <w:t>；</w:t>
            </w:r>
          </w:p>
          <w:p>
            <w:pPr>
              <w:pStyle w:val="30"/>
              <w:bidi w:val="0"/>
              <w:rPr>
                <w:rFonts w:hint="default"/>
              </w:rPr>
            </w:pPr>
            <w:r>
              <w:rPr>
                <w:rFonts w:hint="default"/>
                <w:lang w:val="en-US" w:eastAsia="zh-CN"/>
              </w:rPr>
              <w:t>消防站坐标：经度：</w:t>
            </w:r>
            <w:r>
              <w:rPr>
                <w:rFonts w:hint="default"/>
              </w:rPr>
              <w:t>107.655447774,</w:t>
            </w:r>
            <w:r>
              <w:rPr>
                <w:rFonts w:hint="default"/>
                <w:lang w:val="en-US" w:eastAsia="zh-CN"/>
              </w:rPr>
              <w:t>纬度：</w:t>
            </w:r>
            <w:r>
              <w:rPr>
                <w:rFonts w:hint="default"/>
              </w:rPr>
              <w:t>31.510217724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eastAsia"/>
                <w:lang w:val="en-US" w:eastAsia="zh-CN"/>
              </w:rPr>
            </w:pPr>
            <w:r>
              <w:rPr>
                <w:rFonts w:hint="eastAsia"/>
                <w:lang w:val="en-US" w:eastAsia="zh-CN"/>
              </w:rPr>
              <w:t>国民经济</w:t>
            </w:r>
          </w:p>
          <w:p>
            <w:pPr>
              <w:pStyle w:val="30"/>
              <w:bidi w:val="0"/>
              <w:rPr>
                <w:rFonts w:hint="default"/>
                <w:lang w:val="en-US" w:eastAsia="zh-CN"/>
              </w:rPr>
            </w:pPr>
            <w:r>
              <w:rPr>
                <w:rFonts w:hint="eastAsia"/>
                <w:lang w:val="en-US" w:eastAsia="zh-CN"/>
              </w:rPr>
              <w:t>行业类别</w:t>
            </w:r>
          </w:p>
        </w:tc>
        <w:tc>
          <w:tcPr>
            <w:tcW w:w="1068" w:type="pct"/>
            <w:vAlign w:val="center"/>
          </w:tcPr>
          <w:p>
            <w:pPr>
              <w:pStyle w:val="30"/>
              <w:bidi w:val="0"/>
              <w:rPr>
                <w:rFonts w:hint="default"/>
              </w:rPr>
            </w:pPr>
            <w:r>
              <w:rPr>
                <w:rFonts w:hint="default"/>
              </w:rPr>
              <w:t>O8219其他清洁服务</w:t>
            </w:r>
          </w:p>
        </w:tc>
        <w:tc>
          <w:tcPr>
            <w:tcW w:w="1202" w:type="pct"/>
            <w:vAlign w:val="center"/>
          </w:tcPr>
          <w:p>
            <w:pPr>
              <w:pStyle w:val="30"/>
              <w:bidi w:val="0"/>
              <w:rPr>
                <w:rFonts w:hint="eastAsia"/>
                <w:lang w:val="en-US" w:eastAsia="zh-CN"/>
              </w:rPr>
            </w:pPr>
            <w:r>
              <w:rPr>
                <w:rFonts w:hint="eastAsia"/>
                <w:lang w:val="en-US" w:eastAsia="zh-CN"/>
              </w:rPr>
              <w:t>建设项目</w:t>
            </w:r>
          </w:p>
          <w:p>
            <w:pPr>
              <w:pStyle w:val="30"/>
              <w:bidi w:val="0"/>
              <w:rPr>
                <w:rFonts w:hint="default"/>
                <w:lang w:val="en-US" w:eastAsia="zh-CN"/>
              </w:rPr>
            </w:pPr>
            <w:r>
              <w:rPr>
                <w:rFonts w:hint="eastAsia"/>
                <w:lang w:val="en-US" w:eastAsia="zh-CN"/>
              </w:rPr>
              <w:t>行业类别</w:t>
            </w:r>
          </w:p>
        </w:tc>
        <w:tc>
          <w:tcPr>
            <w:tcW w:w="1528" w:type="pct"/>
            <w:vAlign w:val="center"/>
          </w:tcPr>
          <w:p>
            <w:pPr>
              <w:pStyle w:val="30"/>
              <w:bidi w:val="0"/>
              <w:rPr>
                <w:rFonts w:hint="default"/>
              </w:rPr>
            </w:pPr>
            <w:r>
              <w:rPr>
                <w:rFonts w:hint="default"/>
                <w:lang w:val="en-US" w:eastAsia="zh-CN"/>
              </w:rPr>
              <w:t>五十、社会事业与服务业-120、洗车场-危险化学品运输车辆清洗场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建设性质</w:t>
            </w:r>
          </w:p>
        </w:tc>
        <w:tc>
          <w:tcPr>
            <w:tcW w:w="1068" w:type="pct"/>
            <w:vAlign w:val="center"/>
          </w:tcPr>
          <w:p>
            <w:pPr>
              <w:pStyle w:val="30"/>
              <w:bidi w:val="0"/>
              <w:jc w:val="left"/>
              <w:rPr>
                <w:rFonts w:hint="default"/>
              </w:rPr>
            </w:pPr>
            <w:r>
              <w:rPr>
                <w:rFonts w:hint="default"/>
              </w:rPr>
              <w:sym w:font="Wingdings 2" w:char="0052"/>
            </w:r>
            <w:r>
              <w:rPr>
                <w:rFonts w:hint="default"/>
              </w:rPr>
              <w:t>新建（迁建）</w:t>
            </w:r>
          </w:p>
          <w:p>
            <w:pPr>
              <w:pStyle w:val="30"/>
              <w:bidi w:val="0"/>
              <w:jc w:val="left"/>
              <w:rPr>
                <w:rFonts w:hint="default"/>
              </w:rPr>
            </w:pPr>
            <w:r>
              <w:rPr>
                <w:rFonts w:hint="default"/>
              </w:rPr>
              <w:sym w:font="Wingdings 2" w:char="00A3"/>
            </w:r>
            <w:r>
              <w:rPr>
                <w:rFonts w:hint="default"/>
              </w:rPr>
              <w:t>改建</w:t>
            </w:r>
          </w:p>
          <w:p>
            <w:pPr>
              <w:pStyle w:val="30"/>
              <w:bidi w:val="0"/>
              <w:jc w:val="left"/>
              <w:rPr>
                <w:rFonts w:hint="default"/>
              </w:rPr>
            </w:pPr>
            <w:r>
              <w:rPr>
                <w:rFonts w:hint="eastAsia"/>
                <w:lang w:eastAsia="zh-CN"/>
              </w:rPr>
              <w:t>□</w:t>
            </w:r>
            <w:r>
              <w:rPr>
                <w:rFonts w:hint="default"/>
              </w:rPr>
              <w:t>扩建</w:t>
            </w:r>
          </w:p>
          <w:p>
            <w:pPr>
              <w:pStyle w:val="30"/>
              <w:bidi w:val="0"/>
              <w:jc w:val="left"/>
              <w:rPr>
                <w:rFonts w:hint="default"/>
              </w:rPr>
            </w:pPr>
            <w:r>
              <w:rPr>
                <w:rFonts w:hint="default"/>
              </w:rPr>
              <w:sym w:font="Wingdings 2" w:char="00A3"/>
            </w:r>
            <w:r>
              <w:rPr>
                <w:rFonts w:hint="default"/>
              </w:rPr>
              <w:t>技术改造</w:t>
            </w:r>
          </w:p>
        </w:tc>
        <w:tc>
          <w:tcPr>
            <w:tcW w:w="1202" w:type="pct"/>
            <w:vAlign w:val="center"/>
          </w:tcPr>
          <w:p>
            <w:pPr>
              <w:pStyle w:val="30"/>
              <w:bidi w:val="0"/>
              <w:rPr>
                <w:rFonts w:hint="eastAsia"/>
                <w:lang w:val="en-US" w:eastAsia="zh-CN"/>
              </w:rPr>
            </w:pPr>
            <w:r>
              <w:rPr>
                <w:rFonts w:hint="eastAsia"/>
                <w:lang w:val="en-US" w:eastAsia="zh-CN"/>
              </w:rPr>
              <w:t>建设项目</w:t>
            </w:r>
          </w:p>
          <w:p>
            <w:pPr>
              <w:pStyle w:val="30"/>
              <w:bidi w:val="0"/>
              <w:rPr>
                <w:rFonts w:hint="default"/>
                <w:lang w:val="en-US" w:eastAsia="zh-CN"/>
              </w:rPr>
            </w:pPr>
            <w:r>
              <w:rPr>
                <w:rFonts w:hint="eastAsia"/>
                <w:lang w:val="en-US" w:eastAsia="zh-CN"/>
              </w:rPr>
              <w:t>申报情形</w:t>
            </w:r>
          </w:p>
        </w:tc>
        <w:tc>
          <w:tcPr>
            <w:tcW w:w="1528" w:type="pct"/>
            <w:vAlign w:val="center"/>
          </w:tcPr>
          <w:p>
            <w:pPr>
              <w:pStyle w:val="30"/>
              <w:bidi w:val="0"/>
              <w:jc w:val="left"/>
              <w:rPr>
                <w:rFonts w:hint="default"/>
              </w:rPr>
            </w:pPr>
            <w:r>
              <w:rPr>
                <w:rFonts w:hint="eastAsia"/>
                <w:lang w:eastAsia="zh-CN"/>
              </w:rPr>
              <w:t>☑</w:t>
            </w:r>
            <w:r>
              <w:rPr>
                <w:rFonts w:hint="default"/>
              </w:rPr>
              <w:t xml:space="preserve">首次申报项目             </w:t>
            </w:r>
          </w:p>
          <w:p>
            <w:pPr>
              <w:pStyle w:val="30"/>
              <w:bidi w:val="0"/>
              <w:jc w:val="left"/>
              <w:rPr>
                <w:rFonts w:hint="default"/>
              </w:rPr>
            </w:pPr>
            <w:r>
              <w:rPr>
                <w:rFonts w:hint="default"/>
              </w:rPr>
              <w:sym w:font="Wingdings 2" w:char="00A3"/>
            </w:r>
            <w:r>
              <w:rPr>
                <w:rFonts w:hint="default"/>
              </w:rPr>
              <w:t>不予批准后再次申报项目</w:t>
            </w:r>
          </w:p>
          <w:p>
            <w:pPr>
              <w:pStyle w:val="30"/>
              <w:bidi w:val="0"/>
              <w:jc w:val="left"/>
              <w:rPr>
                <w:rFonts w:hint="default"/>
              </w:rPr>
            </w:pPr>
            <w:r>
              <w:rPr>
                <w:rFonts w:hint="default"/>
              </w:rPr>
              <w:sym w:font="Wingdings 2" w:char="00A3"/>
            </w:r>
            <w:r>
              <w:rPr>
                <w:rFonts w:hint="default"/>
              </w:rPr>
              <w:t xml:space="preserve">超五年重新审核项目     </w:t>
            </w:r>
          </w:p>
          <w:p>
            <w:pPr>
              <w:pStyle w:val="30"/>
              <w:bidi w:val="0"/>
              <w:jc w:val="left"/>
              <w:rPr>
                <w:rFonts w:hint="default"/>
              </w:rPr>
            </w:pPr>
            <w:r>
              <w:rPr>
                <w:rFonts w:hint="default"/>
              </w:rPr>
              <w:sym w:font="Wingdings 2" w:char="00A3"/>
            </w:r>
            <w:r>
              <w:rPr>
                <w:rFonts w:hint="default"/>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eastAsia"/>
                <w:lang w:val="en-US" w:eastAsia="zh-CN"/>
              </w:rPr>
            </w:pPr>
            <w:r>
              <w:rPr>
                <w:rFonts w:hint="eastAsia"/>
                <w:lang w:val="en-US" w:eastAsia="zh-CN"/>
              </w:rPr>
              <w:t>项目审批（核准/</w:t>
            </w:r>
          </w:p>
          <w:p>
            <w:pPr>
              <w:pStyle w:val="30"/>
              <w:bidi w:val="0"/>
              <w:rPr>
                <w:rFonts w:hint="eastAsia"/>
                <w:lang w:val="en-US" w:eastAsia="zh-CN"/>
              </w:rPr>
            </w:pPr>
            <w:r>
              <w:rPr>
                <w:rFonts w:hint="eastAsia"/>
                <w:lang w:val="en-US" w:eastAsia="zh-CN"/>
              </w:rPr>
              <w:t>备案）部门（选填）</w:t>
            </w:r>
          </w:p>
        </w:tc>
        <w:tc>
          <w:tcPr>
            <w:tcW w:w="1068" w:type="pct"/>
            <w:vAlign w:val="center"/>
          </w:tcPr>
          <w:p>
            <w:pPr>
              <w:pStyle w:val="30"/>
              <w:bidi w:val="0"/>
              <w:rPr>
                <w:rFonts w:hint="default"/>
              </w:rPr>
            </w:pPr>
            <w:r>
              <w:rPr>
                <w:rFonts w:hint="default"/>
                <w:lang w:val="en-US" w:eastAsia="zh-CN"/>
              </w:rPr>
              <w:t>宣汉县发展和改革局</w:t>
            </w:r>
          </w:p>
        </w:tc>
        <w:tc>
          <w:tcPr>
            <w:tcW w:w="1202" w:type="pct"/>
            <w:vAlign w:val="center"/>
          </w:tcPr>
          <w:p>
            <w:pPr>
              <w:pStyle w:val="30"/>
              <w:bidi w:val="0"/>
              <w:rPr>
                <w:rFonts w:hint="eastAsia"/>
                <w:lang w:val="en-US" w:eastAsia="zh-CN"/>
              </w:rPr>
            </w:pPr>
            <w:r>
              <w:rPr>
                <w:rFonts w:hint="eastAsia"/>
                <w:lang w:val="en-US" w:eastAsia="zh-CN"/>
              </w:rPr>
              <w:t>项目审批（核准/</w:t>
            </w:r>
          </w:p>
          <w:p>
            <w:pPr>
              <w:pStyle w:val="30"/>
              <w:bidi w:val="0"/>
              <w:rPr>
                <w:rFonts w:hint="eastAsia"/>
                <w:lang w:val="en-US" w:eastAsia="zh-CN"/>
              </w:rPr>
            </w:pPr>
            <w:r>
              <w:rPr>
                <w:rFonts w:hint="eastAsia"/>
                <w:lang w:val="en-US" w:eastAsia="zh-CN"/>
              </w:rPr>
              <w:t>备案）文号（选填）</w:t>
            </w:r>
          </w:p>
        </w:tc>
        <w:tc>
          <w:tcPr>
            <w:tcW w:w="1528" w:type="pct"/>
            <w:vAlign w:val="center"/>
          </w:tcPr>
          <w:p>
            <w:pPr>
              <w:pStyle w:val="30"/>
              <w:bidi w:val="0"/>
              <w:rPr>
                <w:rFonts w:hint="default"/>
              </w:rPr>
            </w:pPr>
            <w:r>
              <w:rPr>
                <w:rFonts w:hint="default"/>
                <w:lang w:val="en-US" w:eastAsia="zh-CN"/>
              </w:rPr>
              <w:t>宣发改审〔2022〕254号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总投资（万元）</w:t>
            </w:r>
          </w:p>
        </w:tc>
        <w:tc>
          <w:tcPr>
            <w:tcW w:w="1068" w:type="pct"/>
            <w:vAlign w:val="center"/>
          </w:tcPr>
          <w:p>
            <w:pPr>
              <w:pStyle w:val="30"/>
              <w:bidi w:val="0"/>
              <w:rPr>
                <w:rFonts w:hint="default" w:eastAsia="宋体"/>
                <w:lang w:val="en-US" w:eastAsia="zh-CN"/>
              </w:rPr>
            </w:pPr>
            <w:r>
              <w:rPr>
                <w:rFonts w:hint="eastAsia"/>
                <w:lang w:val="en-US" w:eastAsia="zh-CN"/>
              </w:rPr>
              <w:t>9960.95</w:t>
            </w:r>
          </w:p>
        </w:tc>
        <w:tc>
          <w:tcPr>
            <w:tcW w:w="1202" w:type="pct"/>
            <w:vAlign w:val="center"/>
          </w:tcPr>
          <w:p>
            <w:pPr>
              <w:pStyle w:val="30"/>
              <w:bidi w:val="0"/>
              <w:rPr>
                <w:rFonts w:hint="default"/>
                <w:lang w:val="en-US" w:eastAsia="zh-CN"/>
              </w:rPr>
            </w:pPr>
            <w:r>
              <w:rPr>
                <w:rFonts w:hint="eastAsia"/>
                <w:lang w:val="en-US" w:eastAsia="zh-CN"/>
              </w:rPr>
              <w:t>环保投资（万元）</w:t>
            </w:r>
          </w:p>
        </w:tc>
        <w:tc>
          <w:tcPr>
            <w:tcW w:w="1528" w:type="pct"/>
            <w:vAlign w:val="center"/>
          </w:tcPr>
          <w:p>
            <w:pPr>
              <w:pStyle w:val="30"/>
              <w:bidi w:val="0"/>
              <w:rPr>
                <w:rFonts w:hint="default" w:eastAsia="宋体"/>
                <w:lang w:val="en-US" w:eastAsia="zh-CN"/>
              </w:rPr>
            </w:pPr>
            <w:r>
              <w:rPr>
                <w:rFonts w:hint="eastAsia"/>
                <w:lang w:val="en-US" w:eastAsia="zh-C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环保投资占比（%）</w:t>
            </w:r>
          </w:p>
        </w:tc>
        <w:tc>
          <w:tcPr>
            <w:tcW w:w="1068" w:type="pct"/>
            <w:vAlign w:val="center"/>
          </w:tcPr>
          <w:p>
            <w:pPr>
              <w:pStyle w:val="30"/>
              <w:bidi w:val="0"/>
              <w:rPr>
                <w:rFonts w:hint="default" w:eastAsia="宋体"/>
                <w:lang w:val="en-US" w:eastAsia="zh-CN"/>
              </w:rPr>
            </w:pPr>
            <w:r>
              <w:rPr>
                <w:rFonts w:hint="eastAsia"/>
                <w:lang w:val="en-US" w:eastAsia="zh-CN"/>
              </w:rPr>
              <w:t>0.85</w:t>
            </w:r>
          </w:p>
        </w:tc>
        <w:tc>
          <w:tcPr>
            <w:tcW w:w="1202" w:type="pct"/>
            <w:vAlign w:val="center"/>
          </w:tcPr>
          <w:p>
            <w:pPr>
              <w:pStyle w:val="30"/>
              <w:bidi w:val="0"/>
              <w:rPr>
                <w:rFonts w:hint="default"/>
                <w:lang w:val="en-US" w:eastAsia="zh-CN"/>
              </w:rPr>
            </w:pPr>
            <w:r>
              <w:rPr>
                <w:rFonts w:hint="eastAsia"/>
                <w:lang w:val="en-US" w:eastAsia="zh-CN"/>
              </w:rPr>
              <w:t>施工工期</w:t>
            </w:r>
          </w:p>
        </w:tc>
        <w:tc>
          <w:tcPr>
            <w:tcW w:w="1528" w:type="pct"/>
            <w:vAlign w:val="center"/>
          </w:tcPr>
          <w:p>
            <w:pPr>
              <w:pStyle w:val="30"/>
              <w:bidi w:val="0"/>
              <w:rPr>
                <w:rFonts w:hint="default" w:eastAsia="宋体"/>
                <w:lang w:val="en-US" w:eastAsia="zh-CN"/>
              </w:rPr>
            </w:pPr>
            <w:r>
              <w:rPr>
                <w:rFonts w:hint="eastAsia"/>
                <w:lang w:val="en-US" w:eastAsia="zh-CN"/>
              </w:rPr>
              <w:t>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是否开工建设</w:t>
            </w:r>
          </w:p>
        </w:tc>
        <w:tc>
          <w:tcPr>
            <w:tcW w:w="1068" w:type="pct"/>
            <w:vAlign w:val="center"/>
          </w:tcPr>
          <w:p>
            <w:pPr>
              <w:pStyle w:val="30"/>
              <w:bidi w:val="0"/>
              <w:jc w:val="left"/>
              <w:rPr>
                <w:rFonts w:hint="default"/>
              </w:rPr>
            </w:pPr>
            <w:r>
              <w:rPr>
                <w:rFonts w:hint="eastAsia"/>
                <w:lang w:eastAsia="zh-CN"/>
              </w:rPr>
              <w:t>☑</w:t>
            </w:r>
            <w:r>
              <w:rPr>
                <w:rFonts w:hint="default"/>
              </w:rPr>
              <w:t>否</w:t>
            </w:r>
          </w:p>
          <w:p>
            <w:pPr>
              <w:pStyle w:val="30"/>
              <w:bidi w:val="0"/>
              <w:jc w:val="left"/>
              <w:rPr>
                <w:rFonts w:hint="default"/>
              </w:rPr>
            </w:pPr>
            <w:r>
              <w:rPr>
                <w:rFonts w:hint="default"/>
              </w:rPr>
              <w:t>□是：</w:t>
            </w:r>
            <w:r>
              <w:rPr>
                <w:rFonts w:hint="default"/>
                <w:u w:val="single"/>
              </w:rPr>
              <w:t xml:space="preserve">          </w:t>
            </w:r>
            <w:r>
              <w:rPr>
                <w:rFonts w:hint="default"/>
              </w:rPr>
              <w:t xml:space="preserve">   </w:t>
            </w:r>
          </w:p>
        </w:tc>
        <w:tc>
          <w:tcPr>
            <w:tcW w:w="1202" w:type="pct"/>
            <w:vAlign w:val="center"/>
          </w:tcPr>
          <w:p>
            <w:pPr>
              <w:pStyle w:val="30"/>
              <w:bidi w:val="0"/>
              <w:rPr>
                <w:rFonts w:hint="eastAsia"/>
                <w:lang w:val="en-US" w:eastAsia="zh-CN"/>
              </w:rPr>
            </w:pPr>
            <w:r>
              <w:rPr>
                <w:rFonts w:hint="eastAsia"/>
                <w:lang w:val="en-US" w:eastAsia="zh-CN"/>
              </w:rPr>
              <w:t>用地（用海）</w:t>
            </w:r>
          </w:p>
          <w:p>
            <w:pPr>
              <w:pStyle w:val="30"/>
              <w:bidi w:val="0"/>
              <w:rPr>
                <w:rFonts w:hint="eastAsia"/>
                <w:lang w:val="en-US" w:eastAsia="zh-CN"/>
              </w:rPr>
            </w:pPr>
            <w:r>
              <w:rPr>
                <w:rFonts w:hint="eastAsia"/>
                <w:lang w:val="en-US" w:eastAsia="zh-CN"/>
              </w:rPr>
              <w:t>面积（m</w:t>
            </w:r>
            <w:r>
              <w:rPr>
                <w:rFonts w:hint="eastAsia"/>
                <w:vertAlign w:val="superscript"/>
                <w:lang w:val="en-US" w:eastAsia="zh-CN"/>
              </w:rPr>
              <w:t>2</w:t>
            </w:r>
            <w:r>
              <w:rPr>
                <w:rFonts w:hint="eastAsia"/>
                <w:lang w:val="en-US" w:eastAsia="zh-CN"/>
              </w:rPr>
              <w:t>）</w:t>
            </w:r>
          </w:p>
        </w:tc>
        <w:tc>
          <w:tcPr>
            <w:tcW w:w="1528" w:type="pct"/>
            <w:vAlign w:val="center"/>
          </w:tcPr>
          <w:p>
            <w:pPr>
              <w:pStyle w:val="30"/>
              <w:bidi w:val="0"/>
              <w:rPr>
                <w:rFonts w:hint="default" w:eastAsia="宋体"/>
                <w:lang w:val="en-US" w:eastAsia="zh-CN"/>
              </w:rPr>
            </w:pPr>
            <w:r>
              <w:rPr>
                <w:rFonts w:hint="eastAsia"/>
                <w:lang w:val="en-US" w:eastAsia="zh-CN"/>
              </w:rPr>
              <w:t>54889.54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专项评价设置情况</w:t>
            </w:r>
          </w:p>
        </w:tc>
        <w:tc>
          <w:tcPr>
            <w:tcW w:w="3798" w:type="pct"/>
            <w:gridSpan w:val="3"/>
            <w:vAlign w:val="center"/>
          </w:tcPr>
          <w:p>
            <w:pPr>
              <w:bidi w:val="0"/>
              <w:rPr>
                <w:rFonts w:hint="eastAsia"/>
              </w:rPr>
            </w:pPr>
            <w:r>
              <w:rPr>
                <w:rFonts w:hint="eastAsia"/>
              </w:rPr>
              <w:t>根据《建设项目环境影响报告表编制技术指南（污染影响类）（试行）》，建设项目产生的环境影响需要深入论证的，应按照环境影响评价相关技术导则开展专项评价工作。根据建设项目排污情况及所涉环境敏感程度，确定专项评价的类别。本项目大气、地表水、环境风险、生态和海洋专项评价具体设置情况见表1-1。</w:t>
            </w:r>
          </w:p>
          <w:p>
            <w:pPr>
              <w:pStyle w:val="26"/>
              <w:bidi w:val="0"/>
              <w:rPr>
                <w:rFonts w:hint="eastAsia"/>
                <w:lang w:val="en-US" w:eastAsia="zh-CN"/>
              </w:rPr>
            </w:pPr>
            <w:r>
              <w:rPr>
                <w:rFonts w:hint="eastAsia"/>
                <w:lang w:val="en-US" w:eastAsia="zh-CN"/>
              </w:rPr>
              <w:t>表1-1 本项目专项评价设置一览表</w:t>
            </w:r>
          </w:p>
          <w:tbl>
            <w:tblPr>
              <w:tblStyle w:val="1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3014"/>
              <w:gridCol w:w="2124"/>
              <w:gridCol w:w="9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83" w:type="pct"/>
                  <w:tcBorders>
                    <w:tl2br w:val="nil"/>
                    <w:tr2bl w:val="nil"/>
                  </w:tcBorders>
                  <w:noWrap w:val="0"/>
                  <w:vAlign w:val="center"/>
                </w:tcPr>
                <w:p>
                  <w:pPr>
                    <w:pStyle w:val="22"/>
                    <w:bidi w:val="0"/>
                    <w:rPr>
                      <w:rFonts w:hint="default"/>
                      <w:lang w:val="en-US" w:eastAsia="zh-CN"/>
                    </w:rPr>
                  </w:pPr>
                  <w:r>
                    <w:rPr>
                      <w:rFonts w:hint="eastAsia"/>
                      <w:lang w:val="en-US" w:eastAsia="zh-CN"/>
                    </w:rPr>
                    <w:t>专项评价设置情况</w:t>
                  </w:r>
                </w:p>
              </w:tc>
              <w:tc>
                <w:tcPr>
                  <w:tcW w:w="2073" w:type="pct"/>
                  <w:tcBorders>
                    <w:tl2br w:val="nil"/>
                    <w:tr2bl w:val="nil"/>
                  </w:tcBorders>
                  <w:noWrap w:val="0"/>
                  <w:vAlign w:val="center"/>
                </w:tcPr>
                <w:p>
                  <w:pPr>
                    <w:pStyle w:val="22"/>
                    <w:bidi w:val="0"/>
                    <w:rPr>
                      <w:rFonts w:hint="default"/>
                      <w:lang w:val="en-US" w:eastAsia="zh-CN"/>
                    </w:rPr>
                  </w:pPr>
                  <w:r>
                    <w:rPr>
                      <w:rFonts w:hint="eastAsia"/>
                      <w:lang w:val="en-US" w:eastAsia="zh-CN"/>
                    </w:rPr>
                    <w:t>设置原则</w:t>
                  </w:r>
                </w:p>
              </w:tc>
              <w:tc>
                <w:tcPr>
                  <w:tcW w:w="1460" w:type="pct"/>
                  <w:tcBorders>
                    <w:tl2br w:val="nil"/>
                    <w:tr2bl w:val="nil"/>
                  </w:tcBorders>
                  <w:noWrap w:val="0"/>
                  <w:vAlign w:val="center"/>
                </w:tcPr>
                <w:p>
                  <w:pPr>
                    <w:pStyle w:val="22"/>
                    <w:bidi w:val="0"/>
                    <w:rPr>
                      <w:rFonts w:hint="default"/>
                      <w:lang w:val="en-US" w:eastAsia="zh-CN"/>
                    </w:rPr>
                  </w:pPr>
                  <w:r>
                    <w:rPr>
                      <w:rFonts w:hint="eastAsia"/>
                      <w:lang w:val="en-US" w:eastAsia="zh-CN"/>
                    </w:rPr>
                    <w:t>本项目</w:t>
                  </w:r>
                </w:p>
              </w:tc>
              <w:tc>
                <w:tcPr>
                  <w:tcW w:w="681" w:type="pct"/>
                  <w:tcBorders>
                    <w:tl2br w:val="nil"/>
                    <w:tr2bl w:val="nil"/>
                  </w:tcBorders>
                  <w:noWrap w:val="0"/>
                  <w:vAlign w:val="center"/>
                </w:tcPr>
                <w:p>
                  <w:pPr>
                    <w:pStyle w:val="22"/>
                    <w:bidi w:val="0"/>
                    <w:rPr>
                      <w:rFonts w:hint="default"/>
                      <w:lang w:val="en-US" w:eastAsia="zh-CN"/>
                    </w:rPr>
                  </w:pPr>
                  <w:r>
                    <w:rPr>
                      <w:rFonts w:hint="eastAsia"/>
                      <w:lang w:val="en-US" w:eastAsia="zh-CN"/>
                    </w:rPr>
                    <w:t>是否设置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3" w:type="pct"/>
                  <w:tcBorders>
                    <w:tl2br w:val="nil"/>
                    <w:tr2bl w:val="nil"/>
                  </w:tcBorders>
                  <w:noWrap w:val="0"/>
                  <w:vAlign w:val="center"/>
                </w:tcPr>
                <w:p>
                  <w:pPr>
                    <w:pStyle w:val="22"/>
                    <w:bidi w:val="0"/>
                    <w:rPr>
                      <w:rFonts w:hint="default"/>
                      <w:lang w:val="en-US" w:eastAsia="zh-CN"/>
                    </w:rPr>
                  </w:pPr>
                  <w:r>
                    <w:rPr>
                      <w:rFonts w:hint="eastAsia"/>
                      <w:lang w:val="en-US" w:eastAsia="zh-CN"/>
                    </w:rPr>
                    <w:t>大气</w:t>
                  </w:r>
                </w:p>
              </w:tc>
              <w:tc>
                <w:tcPr>
                  <w:tcW w:w="2073" w:type="pct"/>
                  <w:tcBorders>
                    <w:tl2br w:val="nil"/>
                    <w:tr2bl w:val="nil"/>
                  </w:tcBorders>
                  <w:noWrap w:val="0"/>
                  <w:vAlign w:val="center"/>
                </w:tcPr>
                <w:p>
                  <w:pPr>
                    <w:pStyle w:val="22"/>
                    <w:bidi w:val="0"/>
                    <w:rPr>
                      <w:rFonts w:hint="eastAsia"/>
                      <w:lang w:val="en-US" w:eastAsia="zh-CN"/>
                    </w:rPr>
                  </w:pPr>
                  <w:r>
                    <w:rPr>
                      <w:rFonts w:hint="eastAsia"/>
                      <w:lang w:val="en-US" w:eastAsia="zh-CN"/>
                    </w:rPr>
                    <w:t>排放废气含有毒有害污染物1、二噁英、苯并[a]芘、氰化物、氯气且厂界外500 米范围内有环境空气保护目标2的建设项目</w:t>
                  </w:r>
                </w:p>
              </w:tc>
              <w:tc>
                <w:tcPr>
                  <w:tcW w:w="1803" w:type="dxa"/>
                  <w:tcBorders>
                    <w:tl2br w:val="nil"/>
                    <w:tr2bl w:val="nil"/>
                  </w:tcBorders>
                  <w:noWrap w:val="0"/>
                  <w:vAlign w:val="center"/>
                </w:tcPr>
                <w:p>
                  <w:pPr>
                    <w:pStyle w:val="22"/>
                    <w:bidi w:val="0"/>
                    <w:rPr>
                      <w:rFonts w:hint="eastAsia"/>
                      <w:lang w:val="en-US" w:eastAsia="zh-CN"/>
                    </w:rPr>
                  </w:pPr>
                  <w:r>
                    <w:rPr>
                      <w:rFonts w:hint="eastAsia"/>
                      <w:lang w:val="en-US" w:eastAsia="zh-CN"/>
                    </w:rPr>
                    <w:t>本项目废气不涉及有毒有害污染物、二噁英、苯并芘、氰化物、氯气</w:t>
                  </w:r>
                </w:p>
              </w:tc>
              <w:tc>
                <w:tcPr>
                  <w:tcW w:w="681" w:type="pct"/>
                  <w:tcBorders>
                    <w:tl2br w:val="nil"/>
                    <w:tr2bl w:val="nil"/>
                  </w:tcBorders>
                  <w:noWrap w:val="0"/>
                  <w:vAlign w:val="center"/>
                </w:tcPr>
                <w:p>
                  <w:pPr>
                    <w:pStyle w:val="22"/>
                    <w:bidi w:val="0"/>
                    <w:rPr>
                      <w:rFonts w:hint="default"/>
                      <w:lang w:val="en-US" w:eastAsia="zh-CN"/>
                    </w:rPr>
                  </w:pPr>
                  <w:r>
                    <w:rPr>
                      <w:rFonts w:hint="eastAsia"/>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3" w:type="pct"/>
                  <w:tcBorders>
                    <w:tl2br w:val="nil"/>
                    <w:tr2bl w:val="nil"/>
                  </w:tcBorders>
                  <w:noWrap w:val="0"/>
                  <w:vAlign w:val="center"/>
                </w:tcPr>
                <w:p>
                  <w:pPr>
                    <w:pStyle w:val="22"/>
                    <w:bidi w:val="0"/>
                    <w:rPr>
                      <w:rFonts w:hint="default"/>
                      <w:lang w:val="en-US" w:eastAsia="zh-CN"/>
                    </w:rPr>
                  </w:pPr>
                  <w:r>
                    <w:rPr>
                      <w:rFonts w:hint="eastAsia"/>
                      <w:lang w:val="en-US" w:eastAsia="zh-CN"/>
                    </w:rPr>
                    <w:t>地表水</w:t>
                  </w:r>
                </w:p>
              </w:tc>
              <w:tc>
                <w:tcPr>
                  <w:tcW w:w="2073" w:type="pct"/>
                  <w:tcBorders>
                    <w:tl2br w:val="nil"/>
                    <w:tr2bl w:val="nil"/>
                  </w:tcBorders>
                  <w:noWrap w:val="0"/>
                  <w:vAlign w:val="center"/>
                </w:tcPr>
                <w:p>
                  <w:pPr>
                    <w:pStyle w:val="22"/>
                    <w:bidi w:val="0"/>
                    <w:rPr>
                      <w:rFonts w:hint="eastAsia"/>
                      <w:lang w:val="en-US" w:eastAsia="zh-CN"/>
                    </w:rPr>
                  </w:pPr>
                  <w:r>
                    <w:rPr>
                      <w:rFonts w:hint="eastAsia"/>
                      <w:lang w:val="en-US" w:eastAsia="zh-CN"/>
                    </w:rPr>
                    <w:t>新增工业废水直排建设项目（槽罐车外送污水处理厂的除外）；</w:t>
                  </w:r>
                </w:p>
                <w:p>
                  <w:pPr>
                    <w:pStyle w:val="22"/>
                    <w:bidi w:val="0"/>
                    <w:rPr>
                      <w:rFonts w:hint="eastAsia"/>
                      <w:lang w:val="en-US" w:eastAsia="zh-CN"/>
                    </w:rPr>
                  </w:pPr>
                  <w:r>
                    <w:rPr>
                      <w:rFonts w:hint="eastAsia"/>
                      <w:lang w:val="en-US" w:eastAsia="zh-CN"/>
                    </w:rPr>
                    <w:t>新增废水直排的污水集中处理厂</w:t>
                  </w:r>
                </w:p>
              </w:tc>
              <w:tc>
                <w:tcPr>
                  <w:tcW w:w="1803" w:type="dxa"/>
                  <w:tcBorders>
                    <w:tl2br w:val="nil"/>
                    <w:tr2bl w:val="nil"/>
                  </w:tcBorders>
                  <w:noWrap w:val="0"/>
                  <w:vAlign w:val="center"/>
                </w:tcPr>
                <w:p>
                  <w:pPr>
                    <w:pStyle w:val="22"/>
                    <w:bidi w:val="0"/>
                    <w:rPr>
                      <w:rFonts w:hint="default"/>
                      <w:lang w:val="en-US" w:eastAsia="zh-CN"/>
                    </w:rPr>
                  </w:pPr>
                  <w:r>
                    <w:rPr>
                      <w:rFonts w:hint="default"/>
                      <w:lang w:val="en-US" w:eastAsia="zh-CN"/>
                    </w:rPr>
                    <w:t>本项目无新增工业废水直排建设项目；无新增废水直排的污水集中处理厂</w:t>
                  </w:r>
                </w:p>
              </w:tc>
              <w:tc>
                <w:tcPr>
                  <w:tcW w:w="681" w:type="pct"/>
                  <w:tcBorders>
                    <w:tl2br w:val="nil"/>
                    <w:tr2bl w:val="nil"/>
                  </w:tcBorders>
                  <w:noWrap w:val="0"/>
                  <w:vAlign w:val="center"/>
                </w:tcPr>
                <w:p>
                  <w:pPr>
                    <w:pStyle w:val="22"/>
                    <w:bidi w:val="0"/>
                    <w:rPr>
                      <w:rFonts w:hint="default"/>
                      <w:lang w:val="en-US" w:eastAsia="zh-CN"/>
                    </w:rPr>
                  </w:pPr>
                  <w:r>
                    <w:rPr>
                      <w:rFonts w:hint="eastAsia"/>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3" w:type="pct"/>
                  <w:tcBorders>
                    <w:tl2br w:val="nil"/>
                    <w:tr2bl w:val="nil"/>
                  </w:tcBorders>
                  <w:noWrap w:val="0"/>
                  <w:vAlign w:val="center"/>
                </w:tcPr>
                <w:p>
                  <w:pPr>
                    <w:pStyle w:val="22"/>
                    <w:bidi w:val="0"/>
                    <w:rPr>
                      <w:rFonts w:hint="default"/>
                      <w:lang w:val="en-US" w:eastAsia="zh-CN"/>
                    </w:rPr>
                  </w:pPr>
                  <w:r>
                    <w:rPr>
                      <w:rFonts w:hint="eastAsia"/>
                      <w:lang w:val="en-US" w:eastAsia="zh-CN"/>
                    </w:rPr>
                    <w:t>环境风险</w:t>
                  </w:r>
                </w:p>
              </w:tc>
              <w:tc>
                <w:tcPr>
                  <w:tcW w:w="2073" w:type="pct"/>
                  <w:tcBorders>
                    <w:tl2br w:val="nil"/>
                    <w:tr2bl w:val="nil"/>
                  </w:tcBorders>
                  <w:noWrap w:val="0"/>
                  <w:vAlign w:val="center"/>
                </w:tcPr>
                <w:p>
                  <w:pPr>
                    <w:pStyle w:val="22"/>
                    <w:bidi w:val="0"/>
                    <w:rPr>
                      <w:rFonts w:hint="eastAsia"/>
                      <w:lang w:val="en-US" w:eastAsia="zh-CN"/>
                    </w:rPr>
                  </w:pPr>
                  <w:r>
                    <w:rPr>
                      <w:rFonts w:hint="eastAsia"/>
                      <w:lang w:val="en-US" w:eastAsia="zh-CN"/>
                    </w:rPr>
                    <w:t>有毒有害和易燃易爆危险物质存储量超过临界量3的建设项目</w:t>
                  </w:r>
                </w:p>
              </w:tc>
              <w:tc>
                <w:tcPr>
                  <w:tcW w:w="1803" w:type="dxa"/>
                  <w:tcBorders>
                    <w:tl2br w:val="nil"/>
                    <w:tr2bl w:val="nil"/>
                  </w:tcBorders>
                  <w:noWrap w:val="0"/>
                  <w:vAlign w:val="center"/>
                </w:tcPr>
                <w:p>
                  <w:pPr>
                    <w:pStyle w:val="22"/>
                    <w:bidi w:val="0"/>
                    <w:rPr>
                      <w:rFonts w:hint="eastAsia"/>
                      <w:lang w:val="en-US" w:eastAsia="zh-CN"/>
                    </w:rPr>
                  </w:pPr>
                  <w:r>
                    <w:rPr>
                      <w:rFonts w:hint="eastAsia"/>
                      <w:lang w:val="en-US" w:eastAsia="zh-CN"/>
                    </w:rPr>
                    <w:t>本项目风险物质存储量均未超过临界量</w:t>
                  </w:r>
                </w:p>
              </w:tc>
              <w:tc>
                <w:tcPr>
                  <w:tcW w:w="681" w:type="pct"/>
                  <w:tcBorders>
                    <w:tl2br w:val="nil"/>
                    <w:tr2bl w:val="nil"/>
                  </w:tcBorders>
                  <w:noWrap w:val="0"/>
                  <w:vAlign w:val="center"/>
                </w:tcPr>
                <w:p>
                  <w:pPr>
                    <w:pStyle w:val="22"/>
                    <w:bidi w:val="0"/>
                    <w:rPr>
                      <w:rFonts w:hint="default"/>
                      <w:lang w:val="en-US" w:eastAsia="zh-CN"/>
                    </w:rPr>
                  </w:pPr>
                  <w:r>
                    <w:rPr>
                      <w:rFonts w:hint="eastAsia"/>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3" w:type="pct"/>
                  <w:tcBorders>
                    <w:tl2br w:val="nil"/>
                    <w:tr2bl w:val="nil"/>
                  </w:tcBorders>
                  <w:noWrap w:val="0"/>
                  <w:vAlign w:val="center"/>
                </w:tcPr>
                <w:p>
                  <w:pPr>
                    <w:pStyle w:val="22"/>
                    <w:bidi w:val="0"/>
                    <w:rPr>
                      <w:rFonts w:hint="default"/>
                      <w:lang w:val="en-US" w:eastAsia="zh-CN"/>
                    </w:rPr>
                  </w:pPr>
                  <w:r>
                    <w:rPr>
                      <w:rFonts w:hint="eastAsia"/>
                      <w:lang w:val="en-US" w:eastAsia="zh-CN"/>
                    </w:rPr>
                    <w:t>生态</w:t>
                  </w:r>
                </w:p>
              </w:tc>
              <w:tc>
                <w:tcPr>
                  <w:tcW w:w="2073" w:type="pct"/>
                  <w:tcBorders>
                    <w:tl2br w:val="nil"/>
                    <w:tr2bl w:val="nil"/>
                  </w:tcBorders>
                  <w:noWrap w:val="0"/>
                  <w:vAlign w:val="center"/>
                </w:tcPr>
                <w:p>
                  <w:pPr>
                    <w:pStyle w:val="22"/>
                    <w:bidi w:val="0"/>
                    <w:rPr>
                      <w:rFonts w:hint="eastAsia"/>
                      <w:lang w:val="en-US" w:eastAsia="zh-CN"/>
                    </w:rPr>
                  </w:pPr>
                  <w:r>
                    <w:rPr>
                      <w:rFonts w:hint="eastAsia"/>
                      <w:lang w:val="en-US" w:eastAsia="zh-CN"/>
                    </w:rPr>
                    <w:t>取水口下游500米范围内有重要水生生物的自然产卵场、索饵场、越冬场和洄游通道的新增河道取水的污染类建设项目</w:t>
                  </w:r>
                </w:p>
              </w:tc>
              <w:tc>
                <w:tcPr>
                  <w:tcW w:w="1803" w:type="dxa"/>
                  <w:tcBorders>
                    <w:tl2br w:val="nil"/>
                    <w:tr2bl w:val="nil"/>
                  </w:tcBorders>
                  <w:noWrap w:val="0"/>
                  <w:vAlign w:val="center"/>
                </w:tcPr>
                <w:p>
                  <w:pPr>
                    <w:pStyle w:val="22"/>
                    <w:bidi w:val="0"/>
                    <w:rPr>
                      <w:rFonts w:hint="default"/>
                      <w:lang w:val="en-US" w:eastAsia="zh-CN"/>
                    </w:rPr>
                  </w:pPr>
                  <w:r>
                    <w:rPr>
                      <w:rFonts w:hint="default"/>
                      <w:lang w:val="en-US" w:eastAsia="zh-CN"/>
                    </w:rPr>
                    <w:t>本项目不涉及河道取水</w:t>
                  </w:r>
                </w:p>
              </w:tc>
              <w:tc>
                <w:tcPr>
                  <w:tcW w:w="681" w:type="pct"/>
                  <w:tcBorders>
                    <w:tl2br w:val="nil"/>
                    <w:tr2bl w:val="nil"/>
                  </w:tcBorders>
                  <w:noWrap w:val="0"/>
                  <w:vAlign w:val="center"/>
                </w:tcPr>
                <w:p>
                  <w:pPr>
                    <w:pStyle w:val="22"/>
                    <w:bidi w:val="0"/>
                    <w:rPr>
                      <w:rFonts w:hint="default"/>
                      <w:lang w:val="en-US" w:eastAsia="zh-CN"/>
                    </w:rPr>
                  </w:pPr>
                  <w:r>
                    <w:rPr>
                      <w:rFonts w:hint="eastAsia"/>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3" w:type="pct"/>
                  <w:tcBorders>
                    <w:tl2br w:val="nil"/>
                    <w:tr2bl w:val="nil"/>
                  </w:tcBorders>
                  <w:noWrap w:val="0"/>
                  <w:vAlign w:val="center"/>
                </w:tcPr>
                <w:p>
                  <w:pPr>
                    <w:pStyle w:val="22"/>
                    <w:bidi w:val="0"/>
                    <w:rPr>
                      <w:rFonts w:hint="default"/>
                      <w:lang w:val="en-US" w:eastAsia="zh-CN"/>
                    </w:rPr>
                  </w:pPr>
                  <w:r>
                    <w:rPr>
                      <w:rFonts w:hint="eastAsia"/>
                      <w:lang w:val="en-US" w:eastAsia="zh-CN"/>
                    </w:rPr>
                    <w:t>海洋</w:t>
                  </w:r>
                </w:p>
              </w:tc>
              <w:tc>
                <w:tcPr>
                  <w:tcW w:w="2073" w:type="pct"/>
                  <w:tcBorders>
                    <w:tl2br w:val="nil"/>
                    <w:tr2bl w:val="nil"/>
                  </w:tcBorders>
                  <w:noWrap w:val="0"/>
                  <w:vAlign w:val="center"/>
                </w:tcPr>
                <w:p>
                  <w:pPr>
                    <w:pStyle w:val="22"/>
                    <w:bidi w:val="0"/>
                    <w:rPr>
                      <w:rFonts w:hint="eastAsia"/>
                      <w:lang w:val="en-US" w:eastAsia="zh-CN"/>
                    </w:rPr>
                  </w:pPr>
                  <w:r>
                    <w:rPr>
                      <w:rFonts w:hint="eastAsia"/>
                      <w:lang w:val="en-US" w:eastAsia="zh-CN"/>
                    </w:rPr>
                    <w:t>直接向海排放污染物的海洋工程建设项目</w:t>
                  </w:r>
                </w:p>
              </w:tc>
              <w:tc>
                <w:tcPr>
                  <w:tcW w:w="1803" w:type="dxa"/>
                  <w:tcBorders>
                    <w:tl2br w:val="nil"/>
                    <w:tr2bl w:val="nil"/>
                  </w:tcBorders>
                  <w:noWrap w:val="0"/>
                  <w:vAlign w:val="center"/>
                </w:tcPr>
                <w:p>
                  <w:pPr>
                    <w:pStyle w:val="22"/>
                    <w:bidi w:val="0"/>
                    <w:rPr>
                      <w:rFonts w:hint="eastAsia"/>
                      <w:lang w:val="en-US" w:eastAsia="zh-CN"/>
                    </w:rPr>
                  </w:pPr>
                  <w:r>
                    <w:rPr>
                      <w:rFonts w:hint="eastAsia"/>
                      <w:lang w:val="en-US" w:eastAsia="zh-CN"/>
                    </w:rPr>
                    <w:t>本项目不属于海域工程建设项目</w:t>
                  </w:r>
                </w:p>
              </w:tc>
              <w:tc>
                <w:tcPr>
                  <w:tcW w:w="681" w:type="pct"/>
                  <w:tcBorders>
                    <w:tl2br w:val="nil"/>
                    <w:tr2bl w:val="nil"/>
                  </w:tcBorders>
                  <w:noWrap w:val="0"/>
                  <w:vAlign w:val="center"/>
                </w:tcPr>
                <w:p>
                  <w:pPr>
                    <w:pStyle w:val="22"/>
                    <w:bidi w:val="0"/>
                    <w:rPr>
                      <w:rFonts w:hint="default"/>
                      <w:lang w:val="en-US" w:eastAsia="zh-CN"/>
                    </w:rPr>
                  </w:pPr>
                  <w:r>
                    <w:rPr>
                      <w:rFonts w:hint="eastAsia"/>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tcBorders>
                    <w:tl2br w:val="nil"/>
                    <w:tr2bl w:val="nil"/>
                  </w:tcBorders>
                  <w:noWrap w:val="0"/>
                  <w:vAlign w:val="center"/>
                </w:tcPr>
                <w:p>
                  <w:pPr>
                    <w:pStyle w:val="22"/>
                    <w:bidi w:val="0"/>
                    <w:rPr>
                      <w:rFonts w:hint="eastAsia"/>
                      <w:lang w:val="en-US" w:eastAsia="zh-CN"/>
                    </w:rPr>
                  </w:pPr>
                  <w:r>
                    <w:rPr>
                      <w:rFonts w:hint="eastAsia"/>
                      <w:lang w:val="en-US" w:eastAsia="zh-CN"/>
                    </w:rPr>
                    <w:t xml:space="preserve">注：1.废气中有毒有害污染物指纳入《有毒有害大气污染物名录》的污染物（不包括无排放标准的污染物）。 </w:t>
                  </w:r>
                </w:p>
                <w:p>
                  <w:pPr>
                    <w:pStyle w:val="22"/>
                    <w:bidi w:val="0"/>
                    <w:rPr>
                      <w:rFonts w:hint="eastAsia"/>
                      <w:lang w:val="en-US" w:eastAsia="zh-CN"/>
                    </w:rPr>
                  </w:pPr>
                  <w:r>
                    <w:rPr>
                      <w:rFonts w:hint="eastAsia"/>
                      <w:lang w:val="en-US" w:eastAsia="zh-CN"/>
                    </w:rPr>
                    <w:t>2.环境空气保护目标指自然保护区、风景名胜区、居住区、文化区和农村地区中人群较集中的区域。</w:t>
                  </w:r>
                </w:p>
                <w:p>
                  <w:pPr>
                    <w:pStyle w:val="22"/>
                    <w:bidi w:val="0"/>
                    <w:rPr>
                      <w:rFonts w:hint="eastAsia"/>
                      <w:lang w:val="en-US" w:eastAsia="zh-CN"/>
                    </w:rPr>
                  </w:pPr>
                  <w:r>
                    <w:rPr>
                      <w:rFonts w:hint="eastAsia"/>
                      <w:lang w:val="en-US" w:eastAsia="zh-CN"/>
                    </w:rPr>
                    <w:t>3.临界量及其计算方法可参考《建设项目环境风险评价技术导则》（HJ 169）附录 B、附录C。</w:t>
                  </w:r>
                </w:p>
              </w:tc>
            </w:tr>
          </w:tbl>
          <w:p>
            <w:pPr>
              <w:bidi w:val="0"/>
              <w:rPr>
                <w:rFonts w:hint="default"/>
                <w:lang w:val="en-US" w:eastAsia="zh-CN"/>
              </w:rPr>
            </w:pPr>
            <w:r>
              <w:rPr>
                <w:rFonts w:hint="default"/>
                <w:lang w:val="en-US" w:eastAsia="zh-CN"/>
              </w:rPr>
              <w:t>本项目土壤、声环境不开展专项评价，项目不涉及集中式饮用水水源和热水、矿泉水、温泉等特殊地下水资源保护区，因此不开展地下水专项评价。</w:t>
            </w:r>
          </w:p>
          <w:p>
            <w:pPr>
              <w:bidi w:val="0"/>
              <w:rPr>
                <w:rFonts w:hint="default"/>
              </w:rPr>
            </w:pPr>
            <w:r>
              <w:rPr>
                <w:rFonts w:hint="eastAsia"/>
                <w:b/>
                <w:bCs/>
                <w:lang w:val="en-US" w:eastAsia="zh-CN"/>
              </w:rPr>
              <w:t>综上，本项目不设置专项评价。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default"/>
                <w:lang w:val="en-US" w:eastAsia="zh-CN"/>
              </w:rPr>
            </w:pPr>
            <w:r>
              <w:rPr>
                <w:rFonts w:hint="eastAsia"/>
                <w:lang w:val="en-US" w:eastAsia="zh-CN"/>
              </w:rPr>
              <w:t>规划情况</w:t>
            </w:r>
          </w:p>
        </w:tc>
        <w:tc>
          <w:tcPr>
            <w:tcW w:w="3798" w:type="pct"/>
            <w:gridSpan w:val="3"/>
            <w:vAlign w:val="center"/>
          </w:tcPr>
          <w:p>
            <w:pPr>
              <w:bidi w:val="0"/>
              <w:rPr>
                <w:rFonts w:hint="default"/>
                <w:lang w:eastAsia="zh-CN"/>
              </w:rPr>
            </w:pPr>
            <w:r>
              <w:rPr>
                <w:rFonts w:hint="default"/>
              </w:rPr>
              <w:t>规划名称：</w:t>
            </w:r>
            <w:r>
              <w:rPr>
                <w:rFonts w:hint="default"/>
                <w:lang w:eastAsia="zh-CN"/>
              </w:rPr>
              <w:t>《</w:t>
            </w:r>
            <w:r>
              <w:rPr>
                <w:rFonts w:hint="default"/>
                <w:lang w:val="en-US" w:eastAsia="zh-CN"/>
              </w:rPr>
              <w:t>四川达州普光经济开发区总体规划（2019-2035）</w:t>
            </w:r>
            <w:r>
              <w:rPr>
                <w:rFonts w:hint="default"/>
                <w:lang w:eastAsia="zh-CN"/>
              </w:rPr>
              <w:t>》</w:t>
            </w:r>
          </w:p>
          <w:p>
            <w:pPr>
              <w:bidi w:val="0"/>
              <w:rPr>
                <w:rFonts w:hint="default"/>
                <w:lang w:val="en-US" w:eastAsia="zh-CN"/>
              </w:rPr>
            </w:pPr>
            <w:r>
              <w:rPr>
                <w:rFonts w:hint="default"/>
              </w:rPr>
              <w:t>审批机关</w:t>
            </w:r>
            <w:r>
              <w:rPr>
                <w:rFonts w:hint="default"/>
                <w:lang w:eastAsia="zh-CN"/>
              </w:rPr>
              <w:t>：</w:t>
            </w:r>
            <w:r>
              <w:rPr>
                <w:rFonts w:hint="default"/>
                <w:lang w:val="en-US" w:eastAsia="zh-CN"/>
              </w:rPr>
              <w:t>四川省人民政府</w:t>
            </w:r>
          </w:p>
          <w:p>
            <w:pPr>
              <w:bidi w:val="0"/>
              <w:rPr>
                <w:rFonts w:hint="default"/>
              </w:rPr>
            </w:pPr>
            <w:r>
              <w:rPr>
                <w:rFonts w:hint="default"/>
                <w:lang w:val="en-US" w:eastAsia="zh-CN"/>
              </w:rPr>
              <w:t>文件名称及</w:t>
            </w:r>
            <w:r>
              <w:rPr>
                <w:rFonts w:hint="default"/>
              </w:rPr>
              <w:t>文号：</w:t>
            </w:r>
            <w:r>
              <w:rPr>
                <w:rFonts w:hint="default"/>
                <w:lang w:eastAsia="zh-CN"/>
              </w:rPr>
              <w:t>《</w:t>
            </w:r>
            <w:r>
              <w:rPr>
                <w:rFonts w:hint="default"/>
              </w:rPr>
              <w:t>关于设立四川蒲江经济开发区等64家省级开发区的批复</w:t>
            </w:r>
            <w:r>
              <w:rPr>
                <w:rFonts w:hint="default"/>
                <w:lang w:eastAsia="zh-CN"/>
              </w:rPr>
              <w:t>》（</w:t>
            </w:r>
            <w:r>
              <w:rPr>
                <w:rFonts w:hint="default"/>
                <w:lang w:val="en-US" w:eastAsia="zh-CN"/>
              </w:rPr>
              <w:t>川府函〔2019〕20号</w:t>
            </w: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eastAsia"/>
                <w:lang w:val="en-US" w:eastAsia="zh-CN"/>
              </w:rPr>
            </w:pPr>
            <w:r>
              <w:rPr>
                <w:rFonts w:hint="default"/>
              </w:rPr>
              <w:t>规划环境影响评价情况</w:t>
            </w:r>
          </w:p>
        </w:tc>
        <w:tc>
          <w:tcPr>
            <w:tcW w:w="3798" w:type="pct"/>
            <w:gridSpan w:val="3"/>
            <w:vAlign w:val="center"/>
          </w:tcPr>
          <w:p>
            <w:pPr>
              <w:bidi w:val="0"/>
            </w:pPr>
            <w:r>
              <w:t>规划</w:t>
            </w:r>
            <w:r>
              <w:rPr>
                <w:rFonts w:hint="eastAsia"/>
                <w:lang w:val="en-US" w:eastAsia="zh-CN"/>
              </w:rPr>
              <w:t>环境影响评价</w:t>
            </w:r>
            <w:r>
              <w:t>文件名称：</w:t>
            </w:r>
            <w:r>
              <w:rPr>
                <w:rFonts w:hint="eastAsia"/>
              </w:rPr>
              <w:t>《四川达州普光经济开发区总体规划（</w:t>
            </w:r>
            <w:r>
              <w:t>2019-2035</w:t>
            </w:r>
            <w:r>
              <w:rPr>
                <w:rFonts w:hint="eastAsia"/>
              </w:rPr>
              <w:t>）环境影响报告书</w:t>
            </w:r>
            <w:r>
              <w:t>》</w:t>
            </w:r>
          </w:p>
          <w:p>
            <w:pPr>
              <w:bidi w:val="0"/>
              <w:rPr>
                <w:rFonts w:hint="eastAsia"/>
                <w:lang w:eastAsia="zh-CN"/>
              </w:rPr>
            </w:pPr>
            <w:r>
              <w:t>审批机关：</w:t>
            </w:r>
            <w:r>
              <w:rPr>
                <w:rFonts w:hint="eastAsia"/>
                <w:lang w:val="en-US" w:eastAsia="zh-CN"/>
              </w:rPr>
              <w:t>四川省</w:t>
            </w:r>
            <w:r>
              <w:t>生态环境</w:t>
            </w:r>
            <w:r>
              <w:rPr>
                <w:rFonts w:hint="eastAsia"/>
                <w:lang w:val="en-US" w:eastAsia="zh-CN"/>
              </w:rPr>
              <w:t>厅</w:t>
            </w:r>
          </w:p>
          <w:p>
            <w:pPr>
              <w:bidi w:val="0"/>
              <w:rPr>
                <w:rFonts w:hint="default"/>
              </w:rPr>
            </w:pPr>
            <w:r>
              <w:rPr>
                <w:rFonts w:hint="eastAsia"/>
                <w:lang w:val="en-US" w:eastAsia="zh-CN"/>
              </w:rPr>
              <w:t>审查</w:t>
            </w:r>
            <w:r>
              <w:t>文件名称及文号：</w:t>
            </w:r>
            <w:r>
              <w:rPr>
                <w:rFonts w:hint="eastAsia"/>
              </w:rPr>
              <w:t>关于印发《四川达州普光经济开发区总体规划</w:t>
            </w:r>
            <w:r>
              <w:rPr>
                <w:rFonts w:hint="eastAsia"/>
                <w:lang w:eastAsia="zh-CN"/>
              </w:rPr>
              <w:t>（</w:t>
            </w:r>
            <w:r>
              <w:rPr>
                <w:rFonts w:hint="eastAsia"/>
              </w:rPr>
              <w:t>2019—2035</w:t>
            </w:r>
            <w:r>
              <w:rPr>
                <w:rFonts w:hint="eastAsia"/>
                <w:lang w:eastAsia="zh-CN"/>
              </w:rPr>
              <w:t>）</w:t>
            </w:r>
            <w:r>
              <w:rPr>
                <w:rFonts w:hint="eastAsia"/>
              </w:rPr>
              <w:t>环境影响报告书》审查意见的函</w:t>
            </w:r>
            <w:r>
              <w:t>（</w:t>
            </w:r>
            <w:r>
              <w:rPr>
                <w:rFonts w:hint="eastAsia"/>
              </w:rPr>
              <w:t>川环建函〔2021〕9号</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eastAsia"/>
                <w:lang w:val="en-US" w:eastAsia="zh-CN"/>
              </w:rPr>
            </w:pPr>
            <w:r>
              <w:rPr>
                <w:rFonts w:hint="default"/>
              </w:rPr>
              <w:t>规划及规划环境影响评价符合性分析</w:t>
            </w:r>
          </w:p>
        </w:tc>
        <w:tc>
          <w:tcPr>
            <w:tcW w:w="3798" w:type="pct"/>
            <w:gridSpan w:val="3"/>
            <w:vAlign w:val="center"/>
          </w:tcPr>
          <w:p>
            <w:pPr>
              <w:keepNext w:val="0"/>
              <w:keepLines w:val="0"/>
              <w:pageBreakBefore w:val="0"/>
              <w:widowControl w:val="0"/>
              <w:kinsoku/>
              <w:wordWrap/>
              <w:overflowPunct/>
              <w:topLinePunct w:val="0"/>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1、与《四川达州普光经济开发区总体规划（2019-2035）》符合性分析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根据《四川达州普光经济开发区总体规划（2019-2035），四川达州普光经济开发区</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以下简称“普光经开区”</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规划范围总计29.95km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eastAsia="宋体" w:cs="Times New Roman"/>
                <w:color w:val="auto"/>
                <w:kern w:val="0"/>
                <w:sz w:val="24"/>
                <w:szCs w:val="24"/>
                <w:highlight w:val="none"/>
              </w:rPr>
              <w:t>，分为东区、西区两个片区，其中西区25.93km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东区4.02km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eastAsia="宋体" w:cs="Times New Roman"/>
                <w:color w:val="auto"/>
                <w:kern w:val="0"/>
                <w:sz w:val="24"/>
                <w:szCs w:val="24"/>
                <w:highlight w:val="none"/>
              </w:rPr>
              <w:t>。西区包括普光功能区、柳池功能区、方斗功能区，东区包括南坝功能区、独树梁功能区、五宝功能区。</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2"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发展定位与目标</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rPr>
              <w:t>规划将普光经济开发区定位为“一区四基地”，即：创新型“气卤”资源综合利用示范区；国家新能源与新材料产业示范基地；国家天然气能源化工基地；西南冶金建材生产基地；川东北特色农产品加工基地。规划至2035年，普光经济开发区将形成2个“千亿产业”、1个“五百亿产业”、1个“两百亿产业”、2个“百亿产业”的产业发展目标，整体实现3000亿产值目标。</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2"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rPr>
              <w:t>产业布局</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①</w:t>
            </w:r>
            <w:r>
              <w:rPr>
                <w:rFonts w:hint="default" w:ascii="Times New Roman" w:hAnsi="Times New Roman" w:eastAsia="宋体" w:cs="Times New Roman"/>
                <w:color w:val="auto"/>
                <w:kern w:val="0"/>
                <w:sz w:val="24"/>
                <w:szCs w:val="24"/>
                <w:highlight w:val="none"/>
              </w:rPr>
              <w:t>西区产业布局</w:t>
            </w:r>
            <w:bookmarkStart w:id="3" w:name="_Hlk16085680"/>
            <w:r>
              <w:rPr>
                <w:rFonts w:hint="default" w:ascii="Times New Roman" w:hAnsi="Times New Roman" w:eastAsia="宋体" w:cs="Times New Roman"/>
                <w:color w:val="auto"/>
                <w:kern w:val="0"/>
                <w:sz w:val="24"/>
                <w:szCs w:val="24"/>
                <w:highlight w:val="none"/>
                <w:lang w:eastAsia="zh-CN"/>
              </w:rPr>
              <w:t>：</w:t>
            </w:r>
            <w:bookmarkEnd w:id="3"/>
            <w:r>
              <w:rPr>
                <w:rFonts w:hint="default" w:ascii="Times New Roman" w:hAnsi="Times New Roman" w:eastAsia="宋体" w:cs="Times New Roman"/>
                <w:color w:val="auto"/>
                <w:kern w:val="0"/>
                <w:sz w:val="24"/>
                <w:szCs w:val="24"/>
                <w:highlight w:val="none"/>
              </w:rPr>
              <w:t>西区规划形成天然气开采及其综合利用组团、锂钾开采及其综合利用组团、农副产品加工组团、机械建材制造组团、冶金制造组团。</w:t>
            </w:r>
            <w:r>
              <w:rPr>
                <w:rFonts w:hint="default" w:ascii="Times New Roman" w:hAnsi="Times New Roman" w:eastAsia="宋体" w:cs="Times New Roman"/>
                <w:color w:val="auto"/>
                <w:kern w:val="0"/>
                <w:sz w:val="24"/>
                <w:szCs w:val="24"/>
                <w:highlight w:val="none"/>
                <w:lang w:val="en-US" w:eastAsia="zh-CN"/>
              </w:rPr>
              <w:t>②</w:t>
            </w:r>
            <w:r>
              <w:rPr>
                <w:rFonts w:hint="default" w:ascii="Times New Roman" w:hAnsi="Times New Roman" w:eastAsia="宋体" w:cs="Times New Roman"/>
                <w:color w:val="auto"/>
                <w:kern w:val="0"/>
                <w:sz w:val="24"/>
                <w:szCs w:val="24"/>
                <w:highlight w:val="none"/>
              </w:rPr>
              <w:t>东区产业布局结构</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东区规划形成三大功能组团，包括天然气净化组团，独树梁、五宝功能区的农副产品加工组团。</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其中</w:t>
            </w:r>
            <w:r>
              <w:rPr>
                <w:rFonts w:hint="eastAsia" w:ascii="Times New Roman" w:hAnsi="Times New Roman" w:eastAsia="宋体" w:cs="Times New Roman"/>
                <w:color w:val="auto"/>
                <w:kern w:val="0"/>
                <w:sz w:val="24"/>
                <w:szCs w:val="24"/>
                <w:highlight w:val="none"/>
                <w:lang w:val="en-US" w:eastAsia="zh-CN"/>
              </w:rPr>
              <w:t>普光</w:t>
            </w:r>
            <w:r>
              <w:rPr>
                <w:rFonts w:hint="default" w:ascii="Times New Roman" w:hAnsi="Times New Roman" w:eastAsia="宋体" w:cs="Times New Roman"/>
                <w:color w:val="auto"/>
                <w:kern w:val="0"/>
                <w:sz w:val="24"/>
                <w:szCs w:val="24"/>
                <w:highlight w:val="none"/>
              </w:rPr>
              <w:t>功能区规划如下：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2"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
                <w:bCs/>
                <w:color w:val="auto"/>
                <w:kern w:val="0"/>
                <w:sz w:val="24"/>
                <w:szCs w:val="24"/>
                <w:highlight w:val="none"/>
                <w:lang w:val="en-US" w:eastAsia="zh-CN"/>
              </w:rPr>
              <w:t>规划范围</w:t>
            </w:r>
            <w:r>
              <w:rPr>
                <w:rFonts w:hint="default" w:ascii="Times New Roman" w:hAnsi="Times New Roman" w:eastAsia="宋体" w:cs="Times New Roman"/>
                <w:color w:val="auto"/>
                <w:kern w:val="0"/>
                <w:sz w:val="24"/>
                <w:szCs w:val="24"/>
                <w:highlight w:val="none"/>
              </w:rPr>
              <w:t>：本次</w:t>
            </w:r>
            <w:r>
              <w:rPr>
                <w:rFonts w:hint="eastAsia" w:ascii="Times New Roman" w:hAnsi="Times New Roman" w:eastAsia="宋体" w:cs="Times New Roman"/>
                <w:color w:val="auto"/>
                <w:kern w:val="0"/>
                <w:sz w:val="24"/>
                <w:szCs w:val="24"/>
                <w:highlight w:val="none"/>
                <w:lang w:val="en-US" w:eastAsia="zh-CN"/>
              </w:rPr>
              <w:t>规划面积15.1227</w:t>
            </w:r>
            <w:r>
              <w:rPr>
                <w:rFonts w:hint="default" w:ascii="Times New Roman" w:hAnsi="Times New Roman" w:eastAsia="宋体" w:cs="Times New Roman"/>
                <w:color w:val="auto"/>
                <w:kern w:val="0"/>
                <w:sz w:val="24"/>
                <w:szCs w:val="24"/>
                <w:highlight w:val="none"/>
              </w:rPr>
              <w:t>km</w:t>
            </w:r>
            <w:r>
              <w:rPr>
                <w:rFonts w:hint="default" w:ascii="Times New Roman" w:hAnsi="Times New Roman" w:eastAsia="宋体" w:cs="Times New Roman"/>
                <w:color w:val="auto"/>
                <w:kern w:val="0"/>
                <w:sz w:val="24"/>
                <w:szCs w:val="24"/>
                <w:highlight w:val="none"/>
                <w:vertAlign w:val="superscript"/>
              </w:rPr>
              <w:t>2</w:t>
            </w:r>
            <w:r>
              <w:rPr>
                <w:rFonts w:hint="default" w:ascii="Times New Roman" w:hAnsi="Times New Roman" w:eastAsia="宋体" w:cs="Times New Roman"/>
                <w:color w:val="auto"/>
                <w:kern w:val="0"/>
                <w:sz w:val="24"/>
                <w:szCs w:val="24"/>
                <w:highlight w:val="none"/>
              </w:rPr>
              <w:t>。具体范围为:东北至普光天然气净化厂，西北至万家湾、大坟林，西南至襄渝铁路，东南面靠近土主场镇。</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2" w:firstLineChars="200"/>
              <w:jc w:val="both"/>
              <w:textAlignment w:val="auto"/>
              <w:rPr>
                <w:rFonts w:hint="eastAsia"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b/>
                <w:bCs/>
                <w:color w:val="auto"/>
                <w:kern w:val="0"/>
                <w:sz w:val="24"/>
                <w:szCs w:val="24"/>
                <w:highlight w:val="none"/>
                <w:lang w:val="en-US" w:eastAsia="zh-CN"/>
              </w:rPr>
              <w:t>主导产业</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val="en-US" w:eastAsia="zh-CN"/>
              </w:rPr>
              <w:t>天然气相关产业(天然气化工、硫化工)、锂钾综合开发产业(含卤水资源提取、锂离子电池产业)</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w:t>
            </w:r>
            <w:r>
              <w:rPr>
                <w:rFonts w:hint="eastAsia" w:ascii="Times New Roman" w:hAnsi="Times New Roman" w:eastAsia="宋体" w:cs="Times New Roman"/>
                <w:color w:val="auto"/>
                <w:kern w:val="0"/>
                <w:sz w:val="24"/>
                <w:szCs w:val="24"/>
                <w:highlight w:val="none"/>
                <w:lang w:val="en-US" w:eastAsia="zh-CN"/>
              </w:rPr>
              <w:t>备注：</w:t>
            </w:r>
            <w:r>
              <w:rPr>
                <w:rFonts w:hint="eastAsia" w:ascii="Times New Roman" w:hAnsi="Times New Roman" w:eastAsia="宋体" w:cs="Times New Roman"/>
                <w:color w:val="auto"/>
                <w:kern w:val="0"/>
                <w:sz w:val="24"/>
                <w:szCs w:val="24"/>
                <w:highlight w:val="none"/>
                <w:lang w:eastAsia="zh-CN"/>
              </w:rPr>
              <w:t>1、以天然气净化厂为产业核心，发展天然气化工、硫化工等产业。2、以锂资源开发为核心，兼顾钾、钠、溴、硼等资源综合利用，同时发展锂离子电池产业）。</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根据《四川达州普光经济开发区总体规划（2019-2035）》</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rPr>
              <w:t>本项目位于普光经开区西区的</w:t>
            </w:r>
            <w:r>
              <w:rPr>
                <w:rFonts w:hint="eastAsia" w:ascii="Times New Roman" w:hAnsi="Times New Roman" w:eastAsia="宋体" w:cs="Times New Roman"/>
                <w:color w:val="auto"/>
                <w:kern w:val="0"/>
                <w:sz w:val="24"/>
                <w:szCs w:val="24"/>
                <w:highlight w:val="none"/>
                <w:lang w:val="en-US" w:eastAsia="zh-CN"/>
              </w:rPr>
              <w:t>普光功能区内，</w:t>
            </w:r>
            <w:r>
              <w:rPr>
                <w:rFonts w:hint="default" w:ascii="Times New Roman" w:hAnsi="Times New Roman" w:eastAsia="宋体" w:cs="Times New Roman"/>
                <w:color w:val="auto"/>
                <w:kern w:val="0"/>
                <w:sz w:val="24"/>
                <w:szCs w:val="24"/>
                <w:highlight w:val="none"/>
                <w:lang w:val="en-US" w:eastAsia="zh-CN"/>
              </w:rPr>
              <w:t>为</w:t>
            </w:r>
            <w:r>
              <w:rPr>
                <w:rFonts w:hint="eastAsia" w:ascii="Times New Roman" w:hAnsi="Times New Roman" w:eastAsia="宋体" w:cs="Times New Roman"/>
                <w:color w:val="auto"/>
                <w:kern w:val="0"/>
                <w:sz w:val="24"/>
                <w:szCs w:val="24"/>
                <w:highlight w:val="none"/>
                <w:lang w:val="en-US" w:eastAsia="zh-CN"/>
              </w:rPr>
              <w:t>危化品停车场（含洗车）及消防站</w:t>
            </w:r>
            <w:r>
              <w:rPr>
                <w:rFonts w:hint="default" w:ascii="Times New Roman" w:hAnsi="Times New Roman" w:eastAsia="宋体" w:cs="Times New Roman"/>
                <w:color w:val="auto"/>
                <w:kern w:val="0"/>
                <w:sz w:val="24"/>
                <w:szCs w:val="24"/>
                <w:highlight w:val="none"/>
                <w:lang w:val="en-US" w:eastAsia="zh-CN"/>
              </w:rPr>
              <w:t>项目，属于园区</w:t>
            </w:r>
            <w:r>
              <w:rPr>
                <w:rFonts w:hint="eastAsia" w:ascii="Times New Roman" w:hAnsi="Times New Roman" w:eastAsia="宋体" w:cs="Times New Roman"/>
                <w:color w:val="auto"/>
                <w:kern w:val="0"/>
                <w:sz w:val="24"/>
                <w:szCs w:val="24"/>
                <w:highlight w:val="none"/>
                <w:lang w:val="en-US" w:eastAsia="zh-CN"/>
              </w:rPr>
              <w:t>配套的基础设施建设</w:t>
            </w:r>
            <w:r>
              <w:rPr>
                <w:rFonts w:hint="default" w:ascii="Times New Roman" w:hAnsi="Times New Roman" w:eastAsia="宋体" w:cs="Times New Roman"/>
                <w:color w:val="auto"/>
                <w:kern w:val="0"/>
                <w:sz w:val="24"/>
                <w:szCs w:val="24"/>
                <w:highlight w:val="none"/>
                <w:lang w:val="en-US" w:eastAsia="zh-CN"/>
              </w:rPr>
              <w:t>，有利于园区产业的协同发展。</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rPr>
              <w:t>因此，项目符合</w:t>
            </w:r>
            <w:r>
              <w:rPr>
                <w:rFonts w:hint="default" w:ascii="Times New Roman" w:hAnsi="Times New Roman" w:eastAsia="宋体" w:cs="Times New Roman"/>
                <w:color w:val="auto"/>
                <w:kern w:val="0"/>
                <w:sz w:val="24"/>
                <w:szCs w:val="24"/>
                <w:highlight w:val="none"/>
              </w:rPr>
              <w:t>《四川达州普光经济开发区总体规划（2019-2035）》。</w:t>
            </w:r>
          </w:p>
          <w:p>
            <w:pPr>
              <w:keepNext w:val="0"/>
              <w:keepLines w:val="0"/>
              <w:pageBreakBefore w:val="0"/>
              <w:widowControl w:val="0"/>
              <w:kinsoku/>
              <w:wordWrap/>
              <w:overflowPunct/>
              <w:topLinePunct w:val="0"/>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val="0"/>
                <w:color w:val="auto"/>
                <w:spacing w:val="-6"/>
                <w:sz w:val="24"/>
                <w:szCs w:val="24"/>
                <w:highlight w:val="none"/>
              </w:rPr>
            </w:pPr>
            <w:r>
              <w:rPr>
                <w:rFonts w:hint="default" w:ascii="Times New Roman" w:hAnsi="Times New Roman" w:eastAsia="宋体" w:cs="Times New Roman"/>
                <w:b/>
                <w:bCs w:val="0"/>
                <w:color w:val="auto"/>
                <w:sz w:val="24"/>
                <w:szCs w:val="24"/>
                <w:highlight w:val="none"/>
              </w:rPr>
              <w:t>2、</w:t>
            </w:r>
            <w:r>
              <w:rPr>
                <w:rFonts w:hint="default" w:ascii="Times New Roman" w:hAnsi="Times New Roman" w:eastAsia="宋体" w:cs="Times New Roman"/>
                <w:b/>
                <w:bCs w:val="0"/>
                <w:color w:val="auto"/>
                <w:spacing w:val="-6"/>
                <w:sz w:val="24"/>
                <w:szCs w:val="24"/>
                <w:highlight w:val="none"/>
              </w:rPr>
              <w:t>与《四川达州普光经济开发区总体规划（2019-2035）环境影响报告书》及审查意见的符合性分析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rPr>
              <w:t>《四川达州普光经济开发区总体规划（2019-2035）环境影响报告书》</w:t>
            </w:r>
            <w:r>
              <w:rPr>
                <w:rFonts w:hint="default" w:ascii="Times New Roman" w:hAnsi="Times New Roman" w:eastAsia="宋体" w:cs="Times New Roman"/>
                <w:color w:val="auto"/>
                <w:kern w:val="0"/>
                <w:sz w:val="24"/>
                <w:szCs w:val="24"/>
                <w:highlight w:val="none"/>
                <w:lang w:val="en-US" w:eastAsia="zh-CN"/>
              </w:rPr>
              <w:t>于2020年12月10日通过了技术审查会，四川省生态环境厅于2021年3月19日印发了《关于&lt;</w:t>
            </w:r>
            <w:r>
              <w:rPr>
                <w:rFonts w:hint="default" w:ascii="Times New Roman" w:hAnsi="Times New Roman" w:eastAsia="宋体" w:cs="Times New Roman"/>
                <w:color w:val="auto"/>
                <w:kern w:val="0"/>
                <w:sz w:val="24"/>
                <w:szCs w:val="24"/>
                <w:highlight w:val="none"/>
              </w:rPr>
              <w:t>四川达州普光经济开发区总体规划（2019-2035）环境影响报告书</w:t>
            </w:r>
            <w:r>
              <w:rPr>
                <w:rFonts w:hint="default" w:ascii="Times New Roman" w:hAnsi="Times New Roman" w:eastAsia="宋体" w:cs="Times New Roman"/>
                <w:color w:val="auto"/>
                <w:kern w:val="0"/>
                <w:sz w:val="24"/>
                <w:szCs w:val="24"/>
                <w:highlight w:val="none"/>
                <w:lang w:val="en-US" w:eastAsia="zh-CN"/>
              </w:rPr>
              <w:t>&gt;审查意见的函》（川环建函〔2021〕9号）。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rPr>
              <w:t>项目与</w:t>
            </w:r>
            <w:r>
              <w:rPr>
                <w:rFonts w:hint="default" w:ascii="Times New Roman" w:hAnsi="Times New Roman" w:eastAsia="宋体" w:cs="Times New Roman"/>
                <w:color w:val="auto"/>
                <w:kern w:val="0"/>
                <w:sz w:val="24"/>
                <w:szCs w:val="24"/>
                <w:highlight w:val="none"/>
              </w:rPr>
              <w:t>《四川达州普光经济开发区总体规划（2019-2035）环境影响报告书》及其</w:t>
            </w:r>
            <w:r>
              <w:rPr>
                <w:rFonts w:hint="default" w:ascii="Times New Roman" w:hAnsi="Times New Roman" w:eastAsia="宋体" w:cs="Times New Roman"/>
                <w:color w:val="auto"/>
                <w:kern w:val="0"/>
                <w:sz w:val="24"/>
                <w:szCs w:val="24"/>
                <w:highlight w:val="none"/>
                <w:lang w:val="en-US" w:eastAsia="zh-CN"/>
              </w:rPr>
              <w:t>审查</w:t>
            </w:r>
            <w:r>
              <w:rPr>
                <w:rFonts w:hint="default" w:ascii="Times New Roman" w:hAnsi="Times New Roman" w:eastAsia="宋体" w:cs="Times New Roman"/>
                <w:color w:val="auto"/>
                <w:kern w:val="0"/>
                <w:sz w:val="24"/>
                <w:szCs w:val="24"/>
                <w:highlight w:val="none"/>
              </w:rPr>
              <w:t>意见的符合性分析如下：</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eastAsia="zh-CN"/>
              </w:rPr>
              <w:t>（1）</w:t>
            </w:r>
            <w:r>
              <w:rPr>
                <w:rFonts w:hint="default" w:ascii="Times New Roman" w:hAnsi="Times New Roman" w:eastAsia="宋体" w:cs="Times New Roman"/>
                <w:color w:val="auto"/>
                <w:kern w:val="0"/>
                <w:sz w:val="24"/>
                <w:szCs w:val="24"/>
                <w:highlight w:val="none"/>
                <w:lang w:val="en-US" w:eastAsia="zh-CN"/>
              </w:rPr>
              <w:t>针对</w:t>
            </w:r>
            <w:r>
              <w:rPr>
                <w:rFonts w:hint="default" w:ascii="Times New Roman" w:hAnsi="Times New Roman" w:eastAsia="宋体" w:cs="Times New Roman"/>
                <w:color w:val="auto"/>
                <w:kern w:val="0"/>
                <w:sz w:val="24"/>
                <w:szCs w:val="24"/>
                <w:highlight w:val="none"/>
                <w:lang w:eastAsia="zh-CN"/>
              </w:rPr>
              <w:t>宣汉县PM</w:t>
            </w:r>
            <w:r>
              <w:rPr>
                <w:rFonts w:hint="default" w:ascii="Times New Roman" w:hAnsi="Times New Roman" w:eastAsia="宋体" w:cs="Times New Roman"/>
                <w:color w:val="auto"/>
                <w:kern w:val="0"/>
                <w:sz w:val="24"/>
                <w:szCs w:val="24"/>
                <w:highlight w:val="none"/>
                <w:vertAlign w:val="subscript"/>
                <w:lang w:eastAsia="zh-CN"/>
              </w:rPr>
              <w:t>2.5</w:t>
            </w:r>
            <w:r>
              <w:rPr>
                <w:rFonts w:hint="default" w:ascii="Times New Roman" w:hAnsi="Times New Roman" w:eastAsia="宋体" w:cs="Times New Roman"/>
                <w:color w:val="auto"/>
                <w:kern w:val="0"/>
                <w:sz w:val="24"/>
                <w:szCs w:val="24"/>
                <w:highlight w:val="none"/>
                <w:lang w:eastAsia="zh-CN"/>
              </w:rPr>
              <w:t>保证率日均值超标，</w:t>
            </w:r>
            <w:r>
              <w:rPr>
                <w:rFonts w:hint="default" w:ascii="Times New Roman" w:hAnsi="Times New Roman" w:eastAsia="宋体" w:cs="Times New Roman"/>
                <w:color w:val="auto"/>
                <w:kern w:val="0"/>
                <w:sz w:val="24"/>
                <w:szCs w:val="24"/>
                <w:highlight w:val="none"/>
                <w:lang w:val="en-US" w:eastAsia="zh-CN"/>
              </w:rPr>
              <w:t>①应</w:t>
            </w:r>
            <w:r>
              <w:rPr>
                <w:rFonts w:hint="default" w:ascii="Times New Roman" w:hAnsi="Times New Roman" w:eastAsia="宋体" w:cs="Times New Roman"/>
                <w:color w:val="auto"/>
                <w:kern w:val="0"/>
                <w:sz w:val="24"/>
                <w:szCs w:val="24"/>
                <w:highlight w:val="none"/>
                <w:lang w:eastAsia="zh-CN"/>
              </w:rPr>
              <w:t>严格落实《达州市大气环境质量限期达标规划（2018-2030年）》相关措施，完成达标任务。</w:t>
            </w:r>
            <w:r>
              <w:rPr>
                <w:rFonts w:hint="default" w:ascii="Times New Roman" w:hAnsi="Times New Roman" w:eastAsia="宋体" w:cs="Times New Roman"/>
                <w:color w:val="auto"/>
                <w:kern w:val="0"/>
                <w:sz w:val="24"/>
                <w:szCs w:val="24"/>
                <w:highlight w:val="none"/>
                <w:lang w:val="en-US" w:eastAsia="zh-CN"/>
              </w:rPr>
              <w:t>②</w:t>
            </w:r>
            <w:r>
              <w:rPr>
                <w:rFonts w:hint="default" w:ascii="Times New Roman" w:hAnsi="Times New Roman" w:eastAsia="宋体" w:cs="Times New Roman"/>
                <w:color w:val="auto"/>
                <w:kern w:val="0"/>
                <w:sz w:val="24"/>
                <w:szCs w:val="24"/>
                <w:highlight w:val="none"/>
                <w:lang w:eastAsia="zh-CN"/>
              </w:rPr>
              <w:t>新建企业以天然气或电为能源，不使用燃煤等高污染燃料；现有企业应采取严格的脱硫、除尘、脱硝等治理措施，现有燃煤锅炉适时实施煤改气。</w:t>
            </w:r>
            <w:r>
              <w:rPr>
                <w:rFonts w:hint="default" w:ascii="Times New Roman" w:hAnsi="Times New Roman" w:eastAsia="宋体" w:cs="Times New Roman"/>
                <w:color w:val="auto"/>
                <w:kern w:val="0"/>
                <w:sz w:val="24"/>
                <w:szCs w:val="24"/>
                <w:highlight w:val="none"/>
                <w:lang w:val="en-US" w:eastAsia="zh-CN"/>
              </w:rPr>
              <w:t>③</w:t>
            </w:r>
            <w:r>
              <w:rPr>
                <w:rFonts w:hint="default" w:ascii="Times New Roman" w:hAnsi="Times New Roman" w:eastAsia="宋体" w:cs="Times New Roman"/>
                <w:color w:val="auto"/>
                <w:kern w:val="0"/>
                <w:sz w:val="24"/>
                <w:szCs w:val="24"/>
                <w:highlight w:val="none"/>
                <w:lang w:eastAsia="zh-CN"/>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eastAsia="zh-CN"/>
              </w:rPr>
              <w:t>（2）</w:t>
            </w:r>
            <w:r>
              <w:rPr>
                <w:rFonts w:hint="eastAsia" w:ascii="Times New Roman" w:hAnsi="Times New Roman" w:eastAsia="宋体" w:cs="Times New Roman"/>
                <w:color w:val="auto"/>
                <w:kern w:val="0"/>
                <w:sz w:val="24"/>
                <w:szCs w:val="24"/>
                <w:highlight w:val="none"/>
                <w:lang w:val="en-US" w:eastAsia="zh-CN"/>
              </w:rPr>
              <w:t>普光</w:t>
            </w:r>
            <w:r>
              <w:rPr>
                <w:rFonts w:hint="default" w:ascii="Times New Roman" w:hAnsi="Times New Roman" w:eastAsia="宋体" w:cs="Times New Roman"/>
                <w:color w:val="auto"/>
                <w:kern w:val="0"/>
                <w:sz w:val="24"/>
                <w:szCs w:val="24"/>
                <w:highlight w:val="none"/>
                <w:lang w:val="en-US" w:eastAsia="zh-CN"/>
              </w:rPr>
              <w:t>功能区</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禁止引入涉及含铅(pb)、汞(Hg)、镉(Cd)、铬(Cr)、砷(As)五类重金属废水排放的项目;天然气化工中禁止发展合成氨、硝酸铵、有机硫化工、氢氰酸等高污染、高风险项目。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rPr>
              <w:t>根据</w:t>
            </w:r>
            <w:r>
              <w:rPr>
                <w:rFonts w:ascii="宋体" w:hAnsi="宋体" w:eastAsia="宋体" w:cs="宋体"/>
                <w:sz w:val="24"/>
                <w:szCs w:val="24"/>
              </w:rPr>
              <w:t>达州市生态环境局</w:t>
            </w:r>
            <w:r>
              <w:rPr>
                <w:rFonts w:hint="eastAsia" w:ascii="宋体" w:hAnsi="宋体" w:eastAsia="宋体" w:cs="宋体"/>
                <w:sz w:val="24"/>
                <w:szCs w:val="24"/>
                <w:lang w:val="en-US" w:eastAsia="zh-CN"/>
              </w:rPr>
              <w:t>2024年1月18日</w:t>
            </w:r>
            <w:r>
              <w:rPr>
                <w:rFonts w:ascii="宋体" w:hAnsi="宋体" w:eastAsia="宋体" w:cs="宋体"/>
                <w:sz w:val="24"/>
                <w:szCs w:val="24"/>
              </w:rPr>
              <w:t>发布的《达州市2023年环境空气质量状况》</w:t>
            </w:r>
            <w:r>
              <w:rPr>
                <w:rFonts w:hint="default"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rPr>
              <w:t>宣汉县SO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、NO</w:t>
            </w:r>
            <w:r>
              <w:rPr>
                <w:rFonts w:hint="default" w:ascii="Times New Roman" w:hAnsi="Times New Roman" w:eastAsia="宋体" w:cs="Times New Roman"/>
                <w:color w:val="auto"/>
                <w:kern w:val="0"/>
                <w:sz w:val="24"/>
                <w:szCs w:val="24"/>
                <w:vertAlign w:val="subscript"/>
              </w:rPr>
              <w:t>2</w:t>
            </w:r>
            <w:r>
              <w:rPr>
                <w:rFonts w:hint="default" w:ascii="Times New Roman" w:hAnsi="Times New Roman" w:eastAsia="宋体" w:cs="Times New Roman"/>
                <w:color w:val="auto"/>
                <w:kern w:val="0"/>
                <w:sz w:val="24"/>
                <w:szCs w:val="24"/>
              </w:rPr>
              <w:t>、PM</w:t>
            </w:r>
            <w:r>
              <w:rPr>
                <w:rFonts w:hint="default" w:ascii="Times New Roman" w:hAnsi="Times New Roman" w:eastAsia="宋体" w:cs="Times New Roman"/>
                <w:color w:val="auto"/>
                <w:kern w:val="0"/>
                <w:sz w:val="24"/>
                <w:szCs w:val="24"/>
                <w:vertAlign w:val="subscript"/>
              </w:rPr>
              <w:t>10</w:t>
            </w:r>
            <w:r>
              <w:rPr>
                <w:rFonts w:hint="default" w:ascii="Times New Roman" w:hAnsi="Times New Roman" w:eastAsia="宋体" w:cs="Times New Roman"/>
                <w:color w:val="auto"/>
                <w:kern w:val="0"/>
                <w:sz w:val="24"/>
                <w:szCs w:val="24"/>
              </w:rPr>
              <w:t>、CO、O</w:t>
            </w:r>
            <w:r>
              <w:rPr>
                <w:rFonts w:hint="default" w:ascii="Times New Roman" w:hAnsi="Times New Roman" w:eastAsia="宋体" w:cs="Times New Roman"/>
                <w:color w:val="auto"/>
                <w:kern w:val="0"/>
                <w:sz w:val="24"/>
                <w:szCs w:val="24"/>
                <w:vertAlign w:val="subscript"/>
              </w:rPr>
              <w:t>3</w:t>
            </w:r>
            <w:r>
              <w:rPr>
                <w:rFonts w:hint="default" w:ascii="Times New Roman" w:hAnsi="Times New Roman" w:eastAsia="宋体" w:cs="Times New Roman"/>
                <w:color w:val="auto"/>
                <w:kern w:val="0"/>
                <w:sz w:val="24"/>
                <w:szCs w:val="24"/>
              </w:rPr>
              <w:t>和PM</w:t>
            </w:r>
            <w:r>
              <w:rPr>
                <w:rFonts w:hint="default" w:ascii="Times New Roman" w:hAnsi="Times New Roman" w:eastAsia="宋体" w:cs="Times New Roman"/>
                <w:color w:val="auto"/>
                <w:kern w:val="0"/>
                <w:sz w:val="24"/>
                <w:szCs w:val="24"/>
                <w:vertAlign w:val="subscript"/>
              </w:rPr>
              <w:t>2.5</w:t>
            </w:r>
            <w:r>
              <w:rPr>
                <w:rFonts w:hint="default" w:ascii="Times New Roman" w:hAnsi="Times New Roman" w:eastAsia="宋体" w:cs="Times New Roman"/>
                <w:color w:val="auto"/>
                <w:kern w:val="0"/>
                <w:sz w:val="24"/>
                <w:szCs w:val="24"/>
              </w:rPr>
              <w:t>年评价结果均达标</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空气质量达标率为</w:t>
            </w:r>
            <w:r>
              <w:rPr>
                <w:rFonts w:hint="eastAsia" w:ascii="Times New Roman" w:hAnsi="Times New Roman" w:eastAsia="宋体" w:cs="Times New Roman"/>
                <w:color w:val="auto"/>
                <w:kern w:val="0"/>
                <w:sz w:val="24"/>
                <w:szCs w:val="24"/>
                <w:lang w:val="en-US" w:eastAsia="zh-CN"/>
              </w:rPr>
              <w:t>92.9</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highlight w:val="none"/>
                <w:lang w:val="en-US" w:eastAsia="zh-CN"/>
              </w:rPr>
              <w:t>区域大气环境质量已完成限期达标的任务，项目建设符合上述要求。</w:t>
            </w:r>
            <w:r>
              <w:rPr>
                <w:rFonts w:hint="default" w:ascii="Times New Roman" w:hAnsi="Times New Roman" w:eastAsia="宋体" w:cs="Times New Roman"/>
                <w:color w:val="auto"/>
                <w:kern w:val="0"/>
                <w:sz w:val="24"/>
                <w:szCs w:val="24"/>
                <w:lang w:val="en-US" w:eastAsia="zh-CN"/>
              </w:rPr>
              <w:t>本项目为</w:t>
            </w:r>
            <w:r>
              <w:rPr>
                <w:rFonts w:hint="eastAsia" w:ascii="Times New Roman" w:hAnsi="Times New Roman" w:eastAsia="宋体" w:cs="Times New Roman"/>
                <w:color w:val="auto"/>
                <w:kern w:val="0"/>
                <w:sz w:val="24"/>
                <w:szCs w:val="24"/>
                <w:lang w:val="en-US" w:eastAsia="zh-CN"/>
              </w:rPr>
              <w:t>停车场及消防站建设项目，属于园区配套基础设施建设</w:t>
            </w:r>
            <w:r>
              <w:rPr>
                <w:rFonts w:hint="default" w:ascii="Times New Roman" w:hAnsi="Times New Roman" w:eastAsia="宋体" w:cs="Times New Roman"/>
                <w:color w:val="auto"/>
                <w:kern w:val="0"/>
                <w:sz w:val="24"/>
                <w:szCs w:val="24"/>
                <w:lang w:val="en-US" w:eastAsia="zh-CN"/>
              </w:rPr>
              <w:t>，不属于禁止引入行业，同时</w:t>
            </w:r>
            <w:r>
              <w:rPr>
                <w:rFonts w:hint="default" w:ascii="Times New Roman" w:hAnsi="Times New Roman" w:eastAsia="宋体" w:cs="Times New Roman"/>
                <w:color w:val="auto"/>
                <w:kern w:val="0"/>
                <w:sz w:val="24"/>
                <w:szCs w:val="24"/>
                <w:highlight w:val="none"/>
                <w:lang w:eastAsia="zh-CN"/>
              </w:rPr>
              <w:t>不使用燃煤等高污染燃料。</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rPr>
                <w:rFonts w:hint="eastAsia" w:eastAsia="宋体"/>
                <w:color w:val="auto"/>
                <w:kern w:val="0"/>
                <w:szCs w:val="21"/>
                <w:highlight w:val="none"/>
                <w:lang w:val="en-US" w:eastAsia="zh-CN"/>
              </w:rPr>
            </w:pPr>
            <w:r>
              <w:rPr>
                <w:rFonts w:hint="default" w:ascii="Times New Roman" w:hAnsi="Times New Roman" w:eastAsia="宋体" w:cs="Times New Roman"/>
                <w:color w:val="auto"/>
                <w:kern w:val="0"/>
                <w:sz w:val="24"/>
                <w:szCs w:val="24"/>
                <w:highlight w:val="none"/>
                <w:lang w:val="en-US" w:eastAsia="zh-CN"/>
              </w:rPr>
              <w:t>项目与园区环境管控要求和生态环境准入清单的符合性见下表。</w:t>
            </w:r>
            <w:r>
              <w:rPr>
                <w:rFonts w:hint="eastAsia"/>
                <w:color w:val="auto"/>
                <w:kern w:val="0"/>
                <w:szCs w:val="21"/>
                <w:highlight w:val="none"/>
                <w:lang w:val="en-US" w:eastAsia="zh-CN"/>
              </w:rPr>
              <w:t xml:space="preserve"> </w:t>
            </w:r>
          </w:p>
          <w:p>
            <w:pPr>
              <w:keepNext w:val="0"/>
              <w:keepLines w:val="0"/>
              <w:pageBreakBefore w:val="0"/>
              <w:widowControl w:val="0"/>
              <w:kinsoku/>
              <w:wordWrap/>
              <w:overflowPunct/>
              <w:topLinePunct w:val="0"/>
              <w:autoSpaceDE w:val="0"/>
              <w:autoSpaceDN w:val="0"/>
              <w:bidi w:val="0"/>
              <w:adjustRightInd w:val="0"/>
              <w:snapToGrid w:val="0"/>
              <w:spacing w:line="320" w:lineRule="exact"/>
              <w:jc w:val="center"/>
              <w:textAlignment w:val="auto"/>
              <w:rPr>
                <w:rFonts w:hint="eastAsia" w:ascii="Times New Roman" w:hAnsi="Times New Roman" w:eastAsia="黑体" w:cs="Times New Roman"/>
                <w:color w:val="auto"/>
                <w:kern w:val="0"/>
                <w:sz w:val="20"/>
                <w:szCs w:val="20"/>
                <w:lang w:val="en-US" w:eastAsia="zh-CN"/>
              </w:rPr>
            </w:pPr>
            <w:r>
              <w:rPr>
                <w:rFonts w:hint="default" w:ascii="Times New Roman" w:hAnsi="Times New Roman" w:eastAsia="黑体" w:cs="Times New Roman"/>
                <w:color w:val="auto"/>
                <w:kern w:val="0"/>
                <w:sz w:val="20"/>
                <w:szCs w:val="20"/>
                <w:lang w:val="zh-CN" w:eastAsia="zh-CN"/>
              </w:rPr>
              <w:t>表1-</w:t>
            </w:r>
            <w:r>
              <w:rPr>
                <w:rFonts w:hint="eastAsia" w:ascii="Times New Roman" w:hAnsi="Times New Roman" w:eastAsia="黑体" w:cs="Times New Roman"/>
                <w:color w:val="auto"/>
                <w:kern w:val="0"/>
                <w:sz w:val="20"/>
                <w:szCs w:val="20"/>
                <w:lang w:val="en-US" w:eastAsia="zh-CN"/>
              </w:rPr>
              <w:t>2</w:t>
            </w:r>
            <w:r>
              <w:rPr>
                <w:rFonts w:hint="default" w:ascii="Times New Roman" w:hAnsi="Times New Roman" w:eastAsia="黑体" w:cs="Times New Roman"/>
                <w:color w:val="auto"/>
                <w:kern w:val="0"/>
                <w:sz w:val="20"/>
                <w:szCs w:val="20"/>
                <w:lang w:val="zh-CN" w:eastAsia="zh-CN"/>
              </w:rPr>
              <w:t xml:space="preserve"> 与园区</w:t>
            </w:r>
            <w:r>
              <w:rPr>
                <w:rFonts w:hint="eastAsia" w:ascii="Times New Roman" w:hAnsi="Times New Roman" w:eastAsia="黑体" w:cs="Times New Roman"/>
                <w:color w:val="auto"/>
                <w:kern w:val="0"/>
                <w:sz w:val="20"/>
                <w:szCs w:val="20"/>
                <w:lang w:val="zh-CN" w:eastAsia="zh-CN"/>
              </w:rPr>
              <w:t>环境管控要求和生态环境准入清单</w:t>
            </w:r>
            <w:r>
              <w:rPr>
                <w:rFonts w:hint="default" w:ascii="Times New Roman" w:hAnsi="Times New Roman" w:eastAsia="黑体" w:cs="Times New Roman"/>
                <w:color w:val="auto"/>
                <w:kern w:val="0"/>
                <w:sz w:val="20"/>
                <w:szCs w:val="20"/>
                <w:lang w:val="zh-CN" w:eastAsia="zh-CN"/>
              </w:rPr>
              <w:t>的符合性</w:t>
            </w:r>
            <w:r>
              <w:rPr>
                <w:rFonts w:hint="eastAsia" w:ascii="Times New Roman" w:hAnsi="Times New Roman" w:eastAsia="黑体" w:cs="Times New Roman"/>
                <w:color w:val="auto"/>
                <w:kern w:val="0"/>
                <w:sz w:val="20"/>
                <w:szCs w:val="20"/>
                <w:lang w:val="en-US" w:eastAsia="zh-CN"/>
              </w:rPr>
              <w:t>分析</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693"/>
              <w:gridCol w:w="3568"/>
              <w:gridCol w:w="1646"/>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blHeader/>
                <w:jc w:val="center"/>
              </w:trPr>
              <w:tc>
                <w:tcPr>
                  <w:tcW w:w="489" w:type="pct"/>
                  <w:noWrap w:val="0"/>
                  <w:vAlign w:val="center"/>
                </w:tcPr>
                <w:p>
                  <w:pPr>
                    <w:pStyle w:val="22"/>
                    <w:bidi w:val="0"/>
                  </w:pPr>
                  <w:r>
                    <w:rPr>
                      <w:rFonts w:hint="eastAsia"/>
                    </w:rPr>
                    <w:t>功能区</w:t>
                  </w:r>
                </w:p>
              </w:tc>
              <w:tc>
                <w:tcPr>
                  <w:tcW w:w="477" w:type="pct"/>
                  <w:noWrap w:val="0"/>
                  <w:vAlign w:val="top"/>
                </w:tcPr>
                <w:p>
                  <w:pPr>
                    <w:pStyle w:val="22"/>
                    <w:bidi w:val="0"/>
                  </w:pPr>
                  <w:r>
                    <w:rPr>
                      <w:rFonts w:hint="eastAsia"/>
                    </w:rPr>
                    <w:t>类别</w:t>
                  </w:r>
                </w:p>
              </w:tc>
              <w:tc>
                <w:tcPr>
                  <w:tcW w:w="2458" w:type="pct"/>
                  <w:noWrap w:val="0"/>
                  <w:vAlign w:val="center"/>
                </w:tcPr>
                <w:p>
                  <w:pPr>
                    <w:pStyle w:val="22"/>
                    <w:bidi w:val="0"/>
                  </w:pPr>
                  <w:r>
                    <w:t>禁止准入</w:t>
                  </w:r>
                </w:p>
              </w:tc>
              <w:tc>
                <w:tcPr>
                  <w:tcW w:w="1134" w:type="pct"/>
                  <w:noWrap w:val="0"/>
                  <w:vAlign w:val="center"/>
                </w:tcPr>
                <w:p>
                  <w:pPr>
                    <w:pStyle w:val="22"/>
                    <w:bidi w:val="0"/>
                    <w:rPr>
                      <w:rFonts w:hint="eastAsia"/>
                      <w:lang w:val="en-US" w:eastAsia="zh-CN"/>
                    </w:rPr>
                  </w:pPr>
                  <w:r>
                    <w:rPr>
                      <w:rFonts w:hint="eastAsia"/>
                      <w:lang w:val="en-US" w:eastAsia="zh-CN"/>
                    </w:rPr>
                    <w:t>本项目</w:t>
                  </w:r>
                </w:p>
              </w:tc>
              <w:tc>
                <w:tcPr>
                  <w:tcW w:w="440" w:type="pct"/>
                  <w:noWrap w:val="0"/>
                  <w:vAlign w:val="center"/>
                </w:tcPr>
                <w:p>
                  <w:pPr>
                    <w:pStyle w:val="22"/>
                    <w:bidi w:val="0"/>
                    <w:rPr>
                      <w:rFonts w:hint="default"/>
                      <w:lang w:val="en-US" w:eastAsia="zh-CN"/>
                    </w:rPr>
                  </w:pPr>
                  <w:r>
                    <w:rPr>
                      <w:rFonts w:hint="eastAsia"/>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89" w:type="pct"/>
                  <w:vMerge w:val="restart"/>
                  <w:noWrap w:val="0"/>
                  <w:vAlign w:val="center"/>
                </w:tcPr>
                <w:p>
                  <w:pPr>
                    <w:pStyle w:val="22"/>
                    <w:bidi w:val="0"/>
                    <w:rPr>
                      <w:rFonts w:hint="eastAsia"/>
                    </w:rPr>
                  </w:pPr>
                  <w:r>
                    <w:rPr>
                      <w:rFonts w:hint="eastAsia"/>
                    </w:rPr>
                    <w:t>总体管控要求及准入清单</w:t>
                  </w:r>
                </w:p>
              </w:tc>
              <w:tc>
                <w:tcPr>
                  <w:tcW w:w="477" w:type="pct"/>
                  <w:noWrap w:val="0"/>
                  <w:vAlign w:val="center"/>
                </w:tcPr>
                <w:p>
                  <w:pPr>
                    <w:pStyle w:val="22"/>
                    <w:bidi w:val="0"/>
                    <w:rPr>
                      <w:rFonts w:hint="eastAsia"/>
                    </w:rPr>
                  </w:pPr>
                  <w:r>
                    <w:rPr>
                      <w:rFonts w:hint="eastAsia"/>
                    </w:rPr>
                    <w:t>空间布局约束</w:t>
                  </w:r>
                </w:p>
              </w:tc>
              <w:tc>
                <w:tcPr>
                  <w:tcW w:w="2458" w:type="pct"/>
                  <w:noWrap w:val="0"/>
                  <w:vAlign w:val="center"/>
                </w:tcPr>
                <w:p>
                  <w:pPr>
                    <w:pStyle w:val="22"/>
                    <w:bidi w:val="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经开区生产生活、开发建设活动应当遵守长江保护相关法律法规的要求；</w:t>
                  </w:r>
                </w:p>
                <w:p>
                  <w:pPr>
                    <w:pStyle w:val="22"/>
                    <w:bidi w:val="0"/>
                    <w:rPr>
                      <w:rFonts w:hint="eastAsia"/>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禁止引入与功能区主导产业相禁忌、容易形成交叉影响的项目。</w:t>
                  </w:r>
                </w:p>
              </w:tc>
              <w:tc>
                <w:tcPr>
                  <w:tcW w:w="1134" w:type="pct"/>
                  <w:noWrap w:val="0"/>
                  <w:vAlign w:val="center"/>
                </w:tcPr>
                <w:p>
                  <w:pPr>
                    <w:pStyle w:val="22"/>
                    <w:bidi w:val="0"/>
                    <w:rPr>
                      <w:rFonts w:hint="default"/>
                      <w:lang w:val="en-US" w:eastAsia="zh-CN"/>
                    </w:rPr>
                  </w:pPr>
                  <w:r>
                    <w:rPr>
                      <w:rFonts w:hint="eastAsia"/>
                      <w:lang w:val="en-US" w:eastAsia="zh-CN"/>
                    </w:rPr>
                    <w:t>①符合长江保护相关法律法规的要求；②不与功能区主导产业相禁忌、不容易形成交叉影响</w:t>
                  </w:r>
                </w:p>
              </w:tc>
              <w:tc>
                <w:tcPr>
                  <w:tcW w:w="440" w:type="pct"/>
                  <w:noWrap w:val="0"/>
                  <w:vAlign w:val="center"/>
                </w:tcPr>
                <w:p>
                  <w:pPr>
                    <w:pStyle w:val="22"/>
                    <w:bidi w:val="0"/>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489" w:type="pct"/>
                  <w:vMerge w:val="continue"/>
                  <w:noWrap w:val="0"/>
                  <w:vAlign w:val="center"/>
                </w:tcPr>
                <w:p>
                  <w:pPr>
                    <w:pStyle w:val="22"/>
                    <w:bidi w:val="0"/>
                    <w:rPr>
                      <w:rFonts w:hint="eastAsia"/>
                    </w:rPr>
                  </w:pPr>
                </w:p>
              </w:tc>
              <w:tc>
                <w:tcPr>
                  <w:tcW w:w="477" w:type="pct"/>
                  <w:noWrap w:val="0"/>
                  <w:vAlign w:val="center"/>
                </w:tcPr>
                <w:p>
                  <w:pPr>
                    <w:pStyle w:val="22"/>
                    <w:bidi w:val="0"/>
                    <w:rPr>
                      <w:rFonts w:hint="eastAsia"/>
                    </w:rPr>
                  </w:pPr>
                  <w:r>
                    <w:rPr>
                      <w:rFonts w:hint="eastAsia"/>
                    </w:rPr>
                    <w:t>污染物排放管控</w:t>
                  </w:r>
                </w:p>
              </w:tc>
              <w:tc>
                <w:tcPr>
                  <w:tcW w:w="2458" w:type="pct"/>
                  <w:noWrap w:val="0"/>
                  <w:vAlign w:val="center"/>
                </w:tcPr>
                <w:p>
                  <w:pPr>
                    <w:pStyle w:val="22"/>
                    <w:bidi w:val="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禁止引入不符合国家、省、市重金属污染防治规划相关要求的项目；</w:t>
                  </w:r>
                </w:p>
                <w:p>
                  <w:pPr>
                    <w:pStyle w:val="22"/>
                    <w:bidi w:val="0"/>
                    <w:rPr>
                      <w:rFonts w:hint="eastAsia"/>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1134" w:type="pct"/>
                  <w:noWrap w:val="0"/>
                  <w:vAlign w:val="center"/>
                </w:tcPr>
                <w:p>
                  <w:pPr>
                    <w:pStyle w:val="22"/>
                    <w:bidi w:val="0"/>
                    <w:rPr>
                      <w:rFonts w:hint="default"/>
                      <w:lang w:val="en-US" w:eastAsia="zh-CN"/>
                    </w:rPr>
                  </w:pPr>
                  <w:r>
                    <w:rPr>
                      <w:rFonts w:hint="eastAsia"/>
                      <w:lang w:val="en-US" w:eastAsia="zh-CN"/>
                    </w:rPr>
                    <w:t>①不属于禁止引入项目；②执行大气污染物特别排放限值</w:t>
                  </w:r>
                </w:p>
              </w:tc>
              <w:tc>
                <w:tcPr>
                  <w:tcW w:w="440" w:type="pct"/>
                  <w:noWrap w:val="0"/>
                  <w:vAlign w:val="center"/>
                </w:tcPr>
                <w:p>
                  <w:pPr>
                    <w:pStyle w:val="22"/>
                    <w:bidi w:val="0"/>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89" w:type="pct"/>
                  <w:vMerge w:val="continue"/>
                  <w:noWrap w:val="0"/>
                  <w:vAlign w:val="center"/>
                </w:tcPr>
                <w:p>
                  <w:pPr>
                    <w:pStyle w:val="22"/>
                    <w:bidi w:val="0"/>
                    <w:rPr>
                      <w:rFonts w:hint="eastAsia"/>
                    </w:rPr>
                  </w:pPr>
                </w:p>
              </w:tc>
              <w:tc>
                <w:tcPr>
                  <w:tcW w:w="477" w:type="pct"/>
                  <w:noWrap w:val="0"/>
                  <w:vAlign w:val="center"/>
                </w:tcPr>
                <w:p>
                  <w:pPr>
                    <w:pStyle w:val="22"/>
                    <w:bidi w:val="0"/>
                    <w:rPr>
                      <w:rFonts w:hint="eastAsia"/>
                    </w:rPr>
                  </w:pPr>
                  <w:r>
                    <w:rPr>
                      <w:rFonts w:hint="eastAsia"/>
                    </w:rPr>
                    <w:t>环境风险防控</w:t>
                  </w:r>
                </w:p>
              </w:tc>
              <w:tc>
                <w:tcPr>
                  <w:tcW w:w="2458" w:type="pct"/>
                  <w:noWrap w:val="0"/>
                  <w:vAlign w:val="center"/>
                </w:tcPr>
                <w:p>
                  <w:pPr>
                    <w:pStyle w:val="22"/>
                    <w:bidi w:val="0"/>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风险源与环境敏感目标保持符合规范要求的安全距离，切实做好危险化学品贮运、使用过程中的安全防范措施，最大程度降低环境风险事故发生的几率；</w:t>
                  </w:r>
                </w:p>
                <w:p>
                  <w:pPr>
                    <w:pStyle w:val="22"/>
                    <w:bidi w:val="0"/>
                    <w:rPr>
                      <w:rFonts w:hint="eastAsia"/>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制定切实可行的环境风险应急预案，定期开展环境风险应急演练，建立与敏感目标的环境风险应急联动机制。</w:t>
                  </w:r>
                </w:p>
              </w:tc>
              <w:tc>
                <w:tcPr>
                  <w:tcW w:w="1134" w:type="pct"/>
                  <w:noWrap w:val="0"/>
                  <w:vAlign w:val="center"/>
                </w:tcPr>
                <w:p>
                  <w:pPr>
                    <w:pStyle w:val="22"/>
                    <w:bidi w:val="0"/>
                    <w:rPr>
                      <w:rFonts w:hint="default"/>
                      <w:lang w:val="en-US" w:eastAsia="zh-CN"/>
                    </w:rPr>
                  </w:pPr>
                  <w:r>
                    <w:rPr>
                      <w:rFonts w:hint="eastAsia"/>
                      <w:lang w:val="en-US" w:eastAsia="zh-CN"/>
                    </w:rPr>
                    <w:t>本项目将严格按照</w:t>
                  </w:r>
                  <w:r>
                    <w:rPr>
                      <w:rFonts w:hint="eastAsia"/>
                    </w:rPr>
                    <w:t>环境风险防控</w:t>
                  </w:r>
                  <w:r>
                    <w:rPr>
                      <w:rFonts w:hint="eastAsia"/>
                      <w:lang w:val="en-US" w:eastAsia="zh-CN"/>
                    </w:rPr>
                    <w:t>要求建设相关设施和制度</w:t>
                  </w:r>
                </w:p>
              </w:tc>
              <w:tc>
                <w:tcPr>
                  <w:tcW w:w="440" w:type="pct"/>
                  <w:noWrap w:val="0"/>
                  <w:vAlign w:val="center"/>
                </w:tcPr>
                <w:p>
                  <w:pPr>
                    <w:pStyle w:val="22"/>
                    <w:bidi w:val="0"/>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489" w:type="pct"/>
                  <w:vMerge w:val="continue"/>
                  <w:noWrap w:val="0"/>
                  <w:vAlign w:val="center"/>
                </w:tcPr>
                <w:p>
                  <w:pPr>
                    <w:pStyle w:val="22"/>
                    <w:bidi w:val="0"/>
                    <w:rPr>
                      <w:rFonts w:hint="eastAsia"/>
                    </w:rPr>
                  </w:pPr>
                </w:p>
              </w:tc>
              <w:tc>
                <w:tcPr>
                  <w:tcW w:w="477" w:type="pct"/>
                  <w:noWrap w:val="0"/>
                  <w:vAlign w:val="center"/>
                </w:tcPr>
                <w:p>
                  <w:pPr>
                    <w:pStyle w:val="22"/>
                    <w:bidi w:val="0"/>
                    <w:rPr>
                      <w:rFonts w:hint="eastAsia"/>
                    </w:rPr>
                  </w:pPr>
                  <w:r>
                    <w:rPr>
                      <w:rFonts w:hint="eastAsia"/>
                    </w:rPr>
                    <w:t>资源开发利用要求</w:t>
                  </w:r>
                </w:p>
              </w:tc>
              <w:tc>
                <w:tcPr>
                  <w:tcW w:w="2458" w:type="pct"/>
                  <w:noWrap w:val="0"/>
                  <w:vAlign w:val="center"/>
                </w:tcPr>
                <w:p>
                  <w:pPr>
                    <w:pStyle w:val="22"/>
                    <w:bidi w:val="0"/>
                    <w:rPr>
                      <w:rFonts w:hint="eastAsia"/>
                    </w:rPr>
                  </w:pPr>
                  <w:r>
                    <w:fldChar w:fldCharType="begin"/>
                  </w:r>
                  <w:r>
                    <w:instrText xml:space="preserve"> </w:instrText>
                  </w:r>
                  <w:r>
                    <w:rPr>
                      <w:rFonts w:hint="eastAsia"/>
                    </w:rPr>
                    <w:instrText xml:space="preserve">= 1 \* GB3</w:instrText>
                  </w:r>
                  <w:r>
                    <w:instrText xml:space="preserve"> </w:instrText>
                  </w:r>
                  <w:r>
                    <w:fldChar w:fldCharType="separate"/>
                  </w:r>
                  <w:r>
                    <w:rPr>
                      <w:rFonts w:hint="eastAsia"/>
                    </w:rPr>
                    <w:t>①</w:t>
                  </w:r>
                  <w:r>
                    <w:fldChar w:fldCharType="end"/>
                  </w:r>
                  <w:r>
                    <w:rPr>
                      <w:rFonts w:hint="eastAsia"/>
                    </w:rPr>
                    <w:t>禁止引入不符合国家产业政策、行业准入条件以及国家和地方明令禁止的项目；</w:t>
                  </w:r>
                </w:p>
                <w:p>
                  <w:pPr>
                    <w:pStyle w:val="22"/>
                    <w:bidi w:val="0"/>
                    <w:rPr>
                      <w:rFonts w:hint="eastAsia"/>
                    </w:rPr>
                  </w:pPr>
                  <w:r>
                    <w:rPr>
                      <w:rFonts w:hint="eastAsia"/>
                    </w:rPr>
                    <w:t>②禁止引入清洁生产水平达不到行业清洁生产水平二级标准或低于全国同类企业平均清洁生产水平的项目。</w:t>
                  </w:r>
                </w:p>
              </w:tc>
              <w:tc>
                <w:tcPr>
                  <w:tcW w:w="1134" w:type="pct"/>
                  <w:noWrap w:val="0"/>
                  <w:vAlign w:val="center"/>
                </w:tcPr>
                <w:p>
                  <w:pPr>
                    <w:pStyle w:val="22"/>
                    <w:bidi w:val="0"/>
                    <w:rPr>
                      <w:rFonts w:hint="default"/>
                      <w:lang w:val="en-US" w:eastAsia="zh-CN"/>
                    </w:rPr>
                  </w:pPr>
                  <w:r>
                    <w:rPr>
                      <w:rFonts w:hint="eastAsia"/>
                      <w:lang w:val="en-US" w:eastAsia="zh-CN"/>
                    </w:rPr>
                    <w:t>①符合国家产业政策、行业准入条件；②清洁生产水平能够达到行业清洁生产水平二级标准</w:t>
                  </w:r>
                </w:p>
              </w:tc>
              <w:tc>
                <w:tcPr>
                  <w:tcW w:w="440" w:type="pct"/>
                  <w:noWrap w:val="0"/>
                  <w:vAlign w:val="center"/>
                </w:tcPr>
                <w:p>
                  <w:pPr>
                    <w:pStyle w:val="22"/>
                    <w:bidi w:val="0"/>
                    <w:rPr>
                      <w:rFonts w:hint="eastAsi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89" w:type="pct"/>
                  <w:vMerge w:val="restart"/>
                  <w:noWrap w:val="0"/>
                  <w:vAlign w:val="center"/>
                </w:tcPr>
                <w:p>
                  <w:pPr>
                    <w:pStyle w:val="22"/>
                    <w:bidi w:val="0"/>
                    <w:rPr>
                      <w:rFonts w:hint="eastAsia"/>
                    </w:rPr>
                  </w:pPr>
                  <w:r>
                    <w:rPr>
                      <w:rFonts w:hint="eastAsia"/>
                      <w:lang w:val="en-US" w:eastAsia="zh-CN"/>
                    </w:rPr>
                    <w:t>普光</w:t>
                  </w:r>
                  <w:r>
                    <w:rPr>
                      <w:rFonts w:hint="eastAsia"/>
                    </w:rPr>
                    <w:t>功能区</w:t>
                  </w:r>
                </w:p>
              </w:tc>
              <w:tc>
                <w:tcPr>
                  <w:tcW w:w="477" w:type="pct"/>
                  <w:noWrap w:val="0"/>
                  <w:vAlign w:val="center"/>
                </w:tcPr>
                <w:p>
                  <w:pPr>
                    <w:pStyle w:val="22"/>
                    <w:bidi w:val="0"/>
                    <w:rPr>
                      <w:rFonts w:hint="eastAsia"/>
                    </w:rPr>
                  </w:pPr>
                  <w:r>
                    <w:rPr>
                      <w:rFonts w:hint="eastAsia"/>
                    </w:rPr>
                    <w:t>空间布局约束</w:t>
                  </w:r>
                </w:p>
              </w:tc>
              <w:tc>
                <w:tcPr>
                  <w:tcW w:w="2458" w:type="pct"/>
                  <w:noWrap w:val="0"/>
                  <w:vAlign w:val="center"/>
                </w:tcPr>
                <w:p>
                  <w:pPr>
                    <w:pStyle w:val="22"/>
                    <w:bidi w:val="0"/>
                    <w:rPr>
                      <w:rFonts w:hint="eastAsia"/>
                    </w:rPr>
                  </w:pPr>
                  <w:r>
                    <w:rPr>
                      <w:rFonts w:hint="eastAsia"/>
                    </w:rPr>
                    <w:t>① 天然气化工、硫化工等大气污染物排放较大或存在较大风险隐患或涉及异味、恶臭影响的产业布局在西北部扩展区，锂钾综合开发、氯碱化工布局在西部扩展区;</w:t>
                  </w:r>
                </w:p>
                <w:p>
                  <w:pPr>
                    <w:pStyle w:val="22"/>
                    <w:bidi w:val="0"/>
                    <w:rPr>
                      <w:rFonts w:hint="eastAsia"/>
                    </w:rPr>
                  </w:pPr>
                  <w:r>
                    <w:rPr>
                      <w:rFonts w:hint="eastAsia"/>
                    </w:rPr>
                    <w:t>②引导微玻纤新材料产业向柳池功能区发展，</w:t>
                  </w:r>
                </w:p>
              </w:tc>
              <w:tc>
                <w:tcPr>
                  <w:tcW w:w="1134" w:type="pct"/>
                  <w:noWrap w:val="0"/>
                  <w:vAlign w:val="center"/>
                </w:tcPr>
                <w:p>
                  <w:pPr>
                    <w:pStyle w:val="22"/>
                    <w:bidi w:val="0"/>
                    <w:rPr>
                      <w:rFonts w:hint="default"/>
                      <w:lang w:val="en-US"/>
                    </w:rPr>
                  </w:pPr>
                  <w:r>
                    <w:rPr>
                      <w:rFonts w:hint="eastAsia"/>
                      <w:lang w:val="en-US" w:eastAsia="zh-CN"/>
                    </w:rPr>
                    <w:t>不属于禁止引入行业</w:t>
                  </w:r>
                </w:p>
              </w:tc>
              <w:tc>
                <w:tcPr>
                  <w:tcW w:w="440" w:type="pct"/>
                  <w:noWrap w:val="0"/>
                  <w:vAlign w:val="center"/>
                </w:tcPr>
                <w:p>
                  <w:pPr>
                    <w:pStyle w:val="22"/>
                    <w:bidi w:val="0"/>
                    <w:rPr>
                      <w:rFonts w:hint="eastAsi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89" w:type="pct"/>
                  <w:vMerge w:val="continue"/>
                  <w:noWrap w:val="0"/>
                  <w:vAlign w:val="center"/>
                </w:tcPr>
                <w:p>
                  <w:pPr>
                    <w:pStyle w:val="22"/>
                    <w:bidi w:val="0"/>
                    <w:rPr>
                      <w:rFonts w:hint="eastAsia"/>
                    </w:rPr>
                  </w:pPr>
                </w:p>
              </w:tc>
              <w:tc>
                <w:tcPr>
                  <w:tcW w:w="477" w:type="pct"/>
                  <w:noWrap w:val="0"/>
                  <w:vAlign w:val="center"/>
                </w:tcPr>
                <w:p>
                  <w:pPr>
                    <w:pStyle w:val="22"/>
                    <w:bidi w:val="0"/>
                    <w:rPr>
                      <w:rFonts w:hint="eastAsia"/>
                    </w:rPr>
                  </w:pPr>
                  <w:r>
                    <w:rPr>
                      <w:rFonts w:hint="eastAsia"/>
                    </w:rPr>
                    <w:t>污染物排放管控</w:t>
                  </w:r>
                </w:p>
              </w:tc>
              <w:tc>
                <w:tcPr>
                  <w:tcW w:w="2458" w:type="pct"/>
                  <w:noWrap w:val="0"/>
                  <w:vAlign w:val="center"/>
                </w:tcPr>
                <w:p>
                  <w:pPr>
                    <w:pStyle w:val="22"/>
                    <w:bidi w:val="0"/>
                    <w:rPr>
                      <w:rFonts w:hint="eastAsia"/>
                    </w:rPr>
                  </w:pPr>
                  <w:r>
                    <w:rPr>
                      <w:rFonts w:hint="eastAsia"/>
                    </w:rPr>
                    <w:t>禁止引入涉及含铅(pb)、汞(Hg)、镉(Cd)、铬(Cr)、砷(As)五类重金属废水排放的项目。</w:t>
                  </w:r>
                </w:p>
              </w:tc>
              <w:tc>
                <w:tcPr>
                  <w:tcW w:w="1134" w:type="pct"/>
                  <w:noWrap w:val="0"/>
                  <w:vAlign w:val="center"/>
                </w:tcPr>
                <w:p>
                  <w:pPr>
                    <w:pStyle w:val="22"/>
                    <w:bidi w:val="0"/>
                    <w:rPr>
                      <w:rFonts w:hint="default"/>
                      <w:lang w:val="en-US" w:eastAsia="zh-CN"/>
                    </w:rPr>
                  </w:pPr>
                  <w:r>
                    <w:rPr>
                      <w:rFonts w:hint="eastAsia"/>
                      <w:lang w:val="en-US" w:eastAsia="zh-CN"/>
                    </w:rPr>
                    <w:t>本项目不涉及五类重金属废水排放</w:t>
                  </w:r>
                </w:p>
              </w:tc>
              <w:tc>
                <w:tcPr>
                  <w:tcW w:w="440" w:type="pct"/>
                  <w:noWrap w:val="0"/>
                  <w:vAlign w:val="center"/>
                </w:tcPr>
                <w:p>
                  <w:pPr>
                    <w:pStyle w:val="22"/>
                    <w:bidi w:val="0"/>
                    <w:rPr>
                      <w:rFonts w:hint="eastAsi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89" w:type="pct"/>
                  <w:vMerge w:val="continue"/>
                  <w:noWrap w:val="0"/>
                  <w:vAlign w:val="center"/>
                </w:tcPr>
                <w:p>
                  <w:pPr>
                    <w:pStyle w:val="22"/>
                    <w:bidi w:val="0"/>
                    <w:rPr>
                      <w:rFonts w:hint="eastAsia"/>
                    </w:rPr>
                  </w:pPr>
                </w:p>
              </w:tc>
              <w:tc>
                <w:tcPr>
                  <w:tcW w:w="477" w:type="pct"/>
                  <w:noWrap w:val="0"/>
                  <w:vAlign w:val="center"/>
                </w:tcPr>
                <w:p>
                  <w:pPr>
                    <w:pStyle w:val="22"/>
                    <w:bidi w:val="0"/>
                    <w:rPr>
                      <w:rFonts w:hint="eastAsia"/>
                    </w:rPr>
                  </w:pPr>
                  <w:r>
                    <w:rPr>
                      <w:rFonts w:hint="eastAsia"/>
                    </w:rPr>
                    <w:t>环境风险防控</w:t>
                  </w:r>
                </w:p>
              </w:tc>
              <w:tc>
                <w:tcPr>
                  <w:tcW w:w="2458" w:type="pct"/>
                  <w:noWrap w:val="0"/>
                  <w:vAlign w:val="center"/>
                </w:tcPr>
                <w:p>
                  <w:pPr>
                    <w:pStyle w:val="22"/>
                    <w:bidi w:val="0"/>
                    <w:rPr>
                      <w:rFonts w:hint="eastAsia"/>
                    </w:rPr>
                  </w:pPr>
                  <w:r>
                    <w:rPr>
                      <w:rFonts w:hint="eastAsia"/>
                    </w:rPr>
                    <w:t>① 天然气化工中禁止发展合成氨、硝酸铵、有机硫化工、氢氰酸等高污染、高风险项目。</w:t>
                  </w:r>
                </w:p>
                <w:p>
                  <w:pPr>
                    <w:pStyle w:val="22"/>
                    <w:bidi w:val="0"/>
                    <w:rPr>
                      <w:rFonts w:hint="eastAsia"/>
                    </w:rPr>
                  </w:pPr>
                  <w:r>
                    <w:rPr>
                      <w:rFonts w:hint="eastAsia"/>
                    </w:rPr>
                    <w:t>②)有重大涉水风险隐患的项目投产前，应完成宣汉县城市集中式饮用水水源取水口的调整。</w:t>
                  </w:r>
                </w:p>
              </w:tc>
              <w:tc>
                <w:tcPr>
                  <w:tcW w:w="1134" w:type="pct"/>
                  <w:noWrap w:val="0"/>
                  <w:vAlign w:val="center"/>
                </w:tcPr>
                <w:p>
                  <w:pPr>
                    <w:pStyle w:val="22"/>
                    <w:bidi w:val="0"/>
                    <w:rPr>
                      <w:rFonts w:hint="default"/>
                      <w:lang w:val="en-US"/>
                    </w:rPr>
                  </w:pPr>
                  <w:r>
                    <w:rPr>
                      <w:rFonts w:hint="eastAsia"/>
                      <w:lang w:val="en-US" w:eastAsia="zh-CN"/>
                    </w:rPr>
                    <w:t>本项目属于危化品停车场（含洗车）及消防站项目，不属于环境风险防控中所列行业</w:t>
                  </w:r>
                </w:p>
              </w:tc>
              <w:tc>
                <w:tcPr>
                  <w:tcW w:w="440" w:type="pct"/>
                  <w:noWrap w:val="0"/>
                  <w:vAlign w:val="center"/>
                </w:tcPr>
                <w:p>
                  <w:pPr>
                    <w:pStyle w:val="22"/>
                    <w:bidi w:val="0"/>
                    <w:rPr>
                      <w:rFonts w:hint="eastAsia"/>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489" w:type="pct"/>
                  <w:vMerge w:val="continue"/>
                  <w:noWrap w:val="0"/>
                  <w:vAlign w:val="center"/>
                </w:tcPr>
                <w:p>
                  <w:pPr>
                    <w:pStyle w:val="22"/>
                    <w:bidi w:val="0"/>
                    <w:rPr>
                      <w:rFonts w:hint="eastAsia"/>
                    </w:rPr>
                  </w:pPr>
                </w:p>
              </w:tc>
              <w:tc>
                <w:tcPr>
                  <w:tcW w:w="477" w:type="pct"/>
                  <w:noWrap w:val="0"/>
                  <w:vAlign w:val="center"/>
                </w:tcPr>
                <w:p>
                  <w:pPr>
                    <w:pStyle w:val="22"/>
                    <w:bidi w:val="0"/>
                    <w:rPr>
                      <w:rFonts w:hint="eastAsia"/>
                    </w:rPr>
                  </w:pPr>
                  <w:r>
                    <w:rPr>
                      <w:rFonts w:hint="eastAsia"/>
                    </w:rPr>
                    <w:t>资源开发利用要求</w:t>
                  </w:r>
                </w:p>
              </w:tc>
              <w:tc>
                <w:tcPr>
                  <w:tcW w:w="2458" w:type="pct"/>
                  <w:noWrap w:val="0"/>
                  <w:vAlign w:val="center"/>
                </w:tcPr>
                <w:p>
                  <w:pPr>
                    <w:pStyle w:val="22"/>
                    <w:bidi w:val="0"/>
                    <w:rPr>
                      <w:rFonts w:hint="eastAsia"/>
                    </w:rPr>
                  </w:pPr>
                  <w:r>
                    <w:rPr>
                      <w:rFonts w:hint="eastAsia"/>
                    </w:rPr>
                    <w:t>执行“总体管控要求及准入清单”。</w:t>
                  </w:r>
                </w:p>
              </w:tc>
              <w:tc>
                <w:tcPr>
                  <w:tcW w:w="1134" w:type="pct"/>
                  <w:noWrap w:val="0"/>
                  <w:vAlign w:val="center"/>
                </w:tcPr>
                <w:p>
                  <w:pPr>
                    <w:pStyle w:val="22"/>
                    <w:bidi w:val="0"/>
                    <w:rPr>
                      <w:rFonts w:hint="default"/>
                      <w:lang w:val="en-US"/>
                    </w:rPr>
                  </w:pPr>
                  <w:r>
                    <w:rPr>
                      <w:rFonts w:hint="eastAsia"/>
                      <w:lang w:val="en-US" w:eastAsia="zh-CN"/>
                    </w:rPr>
                    <w:t>项目满足总体管控要求及准入清单要求</w:t>
                  </w:r>
                </w:p>
              </w:tc>
              <w:tc>
                <w:tcPr>
                  <w:tcW w:w="440" w:type="pct"/>
                  <w:noWrap w:val="0"/>
                  <w:vAlign w:val="center"/>
                </w:tcPr>
                <w:p>
                  <w:pPr>
                    <w:pStyle w:val="22"/>
                    <w:bidi w:val="0"/>
                    <w:rPr>
                      <w:rFonts w:hint="default"/>
                      <w:lang w:val="en-US" w:eastAsia="zh-CN"/>
                    </w:rPr>
                  </w:pPr>
                  <w:r>
                    <w:rPr>
                      <w:rFonts w:hint="eastAsia"/>
                      <w:lang w:val="en-US" w:eastAsia="zh-CN"/>
                    </w:rPr>
                    <w:t>符合</w:t>
                  </w:r>
                </w:p>
              </w:tc>
            </w:tr>
          </w:tbl>
          <w:p>
            <w:pPr>
              <w:bidi w:val="0"/>
              <w:rPr>
                <w:rFonts w:hint="eastAsia"/>
                <w:lang w:val="en-US" w:eastAsia="zh-CN"/>
              </w:rPr>
            </w:pPr>
            <w:r>
              <w:rPr>
                <w:rFonts w:hint="eastAsia"/>
                <w:lang w:val="en-US" w:eastAsia="zh-CN"/>
              </w:rPr>
              <w:t>由上表可知，项目满足四川达州普光经济开发区总体管控要求、普光功能区管控要求及准入清单的要求。</w:t>
            </w:r>
          </w:p>
          <w:p>
            <w:pPr>
              <w:bidi w:val="0"/>
              <w:rPr>
                <w:rFonts w:hint="default"/>
              </w:rPr>
            </w:pPr>
            <w:r>
              <w:rPr>
                <w:rFonts w:hint="eastAsia"/>
                <w:lang w:val="en-US" w:eastAsia="zh-CN"/>
              </w:rPr>
              <w:t>因此，本项目与《四川达州普光经济开发区总体规划（2019-2035）环境影响报告书》及其审查意见是相符的。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1" w:type="pct"/>
            <w:vAlign w:val="center"/>
          </w:tcPr>
          <w:p>
            <w:pPr>
              <w:pStyle w:val="30"/>
              <w:bidi w:val="0"/>
              <w:rPr>
                <w:rFonts w:hint="eastAsia"/>
                <w:lang w:val="en-US" w:eastAsia="zh-CN"/>
              </w:rPr>
            </w:pPr>
            <w:r>
              <w:rPr>
                <w:rFonts w:hint="default"/>
              </w:rPr>
              <w:t>其他符合性分析</w:t>
            </w:r>
          </w:p>
        </w:tc>
        <w:tc>
          <w:tcPr>
            <w:tcW w:w="3798" w:type="pct"/>
            <w:gridSpan w:val="3"/>
            <w:vAlign w:val="center"/>
          </w:tcPr>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b/>
                <w:bCs/>
                <w:kern w:val="0"/>
                <w:sz w:val="24"/>
                <w:szCs w:val="24"/>
              </w:rPr>
            </w:pPr>
            <w:r>
              <w:rPr>
                <w:rFonts w:hint="eastAsia" w:cs="Times New Roman"/>
                <w:b/>
                <w:bCs/>
                <w:kern w:val="0"/>
                <w:sz w:val="24"/>
                <w:szCs w:val="24"/>
                <w:lang w:val="en-US" w:eastAsia="zh-CN"/>
              </w:rPr>
              <w:t>1、</w:t>
            </w:r>
            <w:r>
              <w:rPr>
                <w:rFonts w:hint="default" w:ascii="Times New Roman" w:hAnsi="Times New Roman" w:cs="Times New Roman"/>
                <w:b/>
                <w:bCs/>
                <w:kern w:val="0"/>
                <w:sz w:val="24"/>
                <w:szCs w:val="24"/>
              </w:rPr>
              <w:t>产业政策相符性分析</w:t>
            </w: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本项目所使用的设备、生产工艺不属于《产业结构调整指导目录(201</w:t>
            </w:r>
            <w:r>
              <w:rPr>
                <w:rFonts w:hint="eastAsia" w:cs="Times New Roman"/>
                <w:kern w:val="0"/>
                <w:sz w:val="24"/>
                <w:szCs w:val="24"/>
                <w:lang w:val="en-US" w:eastAsia="zh-CN"/>
              </w:rPr>
              <w:t>4</w:t>
            </w:r>
            <w:r>
              <w:rPr>
                <w:rFonts w:hint="default" w:ascii="Times New Roman" w:hAnsi="Times New Roman" w:cs="Times New Roman"/>
                <w:kern w:val="0"/>
                <w:sz w:val="24"/>
                <w:szCs w:val="24"/>
              </w:rPr>
              <w:t>年本)》中限制类或淘汰类。本项目不属于鼓励类、限制类和淘汰类，且符合国家有关法律、法规和政策规定的，为允许类。</w:t>
            </w: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kern w:val="0"/>
                <w:sz w:val="24"/>
                <w:szCs w:val="24"/>
                <w:lang w:val="en-US" w:eastAsia="zh-CN"/>
              </w:rPr>
            </w:pPr>
            <w:r>
              <w:rPr>
                <w:rFonts w:hint="default" w:ascii="Times New Roman" w:hAnsi="Times New Roman" w:cs="Times New Roman"/>
                <w:kern w:val="0"/>
                <w:sz w:val="24"/>
                <w:szCs w:val="24"/>
              </w:rPr>
              <w:t>对照《市场准入负面清单》(2022年本)，本项目不属于“与市场准入相关的禁止性规定”中的禁止措施，亦不属于“市场准入负面清单”中的“禁止准入类”</w:t>
            </w:r>
            <w:r>
              <w:rPr>
                <w:rFonts w:hint="eastAsia" w:cs="Times New Roman"/>
                <w:kern w:val="0"/>
                <w:sz w:val="24"/>
                <w:szCs w:val="24"/>
                <w:lang w:eastAsia="zh-CN"/>
              </w:rPr>
              <w:t>。</w:t>
            </w:r>
            <w:r>
              <w:rPr>
                <w:rFonts w:hint="eastAsia" w:cs="Times New Roman"/>
                <w:kern w:val="0"/>
                <w:sz w:val="24"/>
                <w:szCs w:val="24"/>
                <w:lang w:val="en-US" w:eastAsia="zh-CN"/>
              </w:rPr>
              <w:t>同时，宣汉县发展和改革局出具了《关于万达开天然气锂钾综公利用集聚区产城融合基础设施建设项目可行性研究报告的批复》（宣发改审〔2022〕254号），同意本项目建设。</w:t>
            </w:r>
          </w:p>
          <w:p>
            <w:pPr>
              <w:keepNext w:val="0"/>
              <w:keepLines w:val="0"/>
              <w:pageBreakBefore w:val="0"/>
              <w:widowControl w:val="0"/>
              <w:kinsoku/>
              <w:wordWrap/>
              <w:overflowPunct/>
              <w:topLinePunct w:val="0"/>
              <w:autoSpaceDE w:val="0"/>
              <w:autoSpaceDN w:val="0"/>
              <w:bidi w:val="0"/>
              <w:adjustRightInd w:val="0"/>
              <w:snapToGrid w:val="0"/>
              <w:jc w:val="both"/>
              <w:textAlignment w:val="auto"/>
              <w:rPr>
                <w:rFonts w:hint="default" w:ascii="Times New Roman" w:hAnsi="Times New Roman" w:cs="Times New Roman"/>
                <w:kern w:val="0"/>
                <w:sz w:val="24"/>
                <w:szCs w:val="24"/>
              </w:rPr>
            </w:pPr>
            <w:r>
              <w:rPr>
                <w:rFonts w:hint="default" w:ascii="Times New Roman" w:hAnsi="Times New Roman" w:cs="Times New Roman"/>
                <w:kern w:val="0"/>
                <w:sz w:val="24"/>
                <w:szCs w:val="24"/>
              </w:rPr>
              <w:t>综上，本项目符合国家和地方相关产业政策。</w:t>
            </w:r>
          </w:p>
          <w:p>
            <w:pPr>
              <w:pStyle w:val="36"/>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default"/>
                <w:lang w:val="en-US" w:eastAsia="zh-CN"/>
              </w:rPr>
            </w:pPr>
            <w:r>
              <w:rPr>
                <w:rFonts w:hint="eastAsia"/>
                <w:lang w:val="en-US" w:eastAsia="zh-CN"/>
              </w:rPr>
              <w:t>2、土地利用规划符合性</w:t>
            </w:r>
          </w:p>
          <w:p>
            <w:pPr>
              <w:bidi w:val="0"/>
              <w:rPr>
                <w:rFonts w:hint="eastAsia"/>
                <w:lang w:val="en-US" w:eastAsia="zh-CN"/>
              </w:rPr>
            </w:pPr>
            <w:r>
              <w:rPr>
                <w:rFonts w:hint="eastAsia"/>
                <w:lang w:val="en-US" w:eastAsia="zh-CN"/>
              </w:rPr>
              <w:t>本项目位于</w:t>
            </w:r>
            <w:r>
              <w:rPr>
                <w:rFonts w:hint="default" w:ascii="Times New Roman" w:hAnsi="Times New Roman" w:cs="Times New Roman"/>
                <w:sz w:val="24"/>
                <w:szCs w:val="24"/>
              </w:rPr>
              <w:t>宣汉县普光经开区</w:t>
            </w:r>
            <w:r>
              <w:rPr>
                <w:rFonts w:hint="eastAsia"/>
                <w:lang w:val="en-US" w:eastAsia="zh-CN"/>
              </w:rPr>
              <w:t>，根据宣汉县自然资源局出具的“建设用地规划许可证”（地字第511722-2023-00008</w:t>
            </w:r>
            <w:r>
              <w:rPr>
                <w:rFonts w:hint="eastAsia" w:ascii="宋体" w:hAnsi="宋体" w:eastAsia="宋体" w:cs="宋体"/>
                <w:lang w:val="en-US" w:eastAsia="zh-CN"/>
              </w:rPr>
              <w:t>）</w:t>
            </w:r>
            <w:r>
              <w:rPr>
                <w:rFonts w:hint="eastAsia" w:ascii="宋体" w:hAnsi="宋体" w:cs="宋体"/>
                <w:lang w:val="en-US" w:eastAsia="zh-CN"/>
              </w:rPr>
              <w:t>、</w:t>
            </w:r>
            <w:r>
              <w:rPr>
                <w:rFonts w:hint="eastAsia" w:ascii="宋体" w:hAnsi="宋体" w:eastAsia="宋体" w:cs="宋体"/>
                <w:lang w:val="en-US" w:eastAsia="zh-CN"/>
              </w:rPr>
              <w:t>宣汉县自然资源局《宣汉县普光经济开发区一级消防站地块用地规划条件指标》（宣自然资规〔2023〕56号）</w:t>
            </w:r>
            <w:r>
              <w:rPr>
                <w:rFonts w:hint="eastAsia" w:ascii="宋体" w:hAnsi="宋体" w:cs="宋体"/>
                <w:lang w:val="en-US" w:eastAsia="zh-CN"/>
              </w:rPr>
              <w:t>以及宣汉县自然资源局宣汉县《CB2023-44号地块(工业园区)用地规划条件指标》（</w:t>
            </w:r>
            <w:r>
              <w:rPr>
                <w:rFonts w:hint="eastAsia" w:ascii="宋体" w:hAnsi="宋体" w:eastAsia="宋体" w:cs="宋体"/>
                <w:lang w:val="en-US" w:eastAsia="zh-CN"/>
              </w:rPr>
              <w:t>宣自然资规〔2023〕5</w:t>
            </w:r>
            <w:r>
              <w:rPr>
                <w:rFonts w:hint="eastAsia" w:ascii="宋体" w:hAnsi="宋体" w:cs="宋体"/>
                <w:lang w:val="en-US" w:eastAsia="zh-CN"/>
              </w:rPr>
              <w:t>7</w:t>
            </w:r>
            <w:r>
              <w:rPr>
                <w:rFonts w:hint="eastAsia" w:ascii="宋体" w:hAnsi="宋体" w:eastAsia="宋体" w:cs="宋体"/>
                <w:lang w:val="en-US" w:eastAsia="zh-CN"/>
              </w:rPr>
              <w:t>号</w:t>
            </w:r>
            <w:r>
              <w:rPr>
                <w:rFonts w:hint="eastAsia" w:ascii="宋体" w:hAnsi="宋体" w:cs="宋体"/>
                <w:lang w:val="en-US" w:eastAsia="zh-CN"/>
              </w:rPr>
              <w:t>）</w:t>
            </w:r>
            <w:r>
              <w:rPr>
                <w:rFonts w:hint="eastAsia"/>
                <w:lang w:val="en-US" w:eastAsia="zh-CN"/>
              </w:rPr>
              <w:t>，可知项目停车场用地、消防站用地符合国土空间规划和用途管制要求。</w:t>
            </w:r>
          </w:p>
          <w:p>
            <w:pPr>
              <w:bidi w:val="0"/>
              <w:rPr>
                <w:rFonts w:hint="default"/>
                <w:lang w:val="en-US" w:eastAsia="zh-CN"/>
              </w:rPr>
            </w:pPr>
            <w:r>
              <w:rPr>
                <w:rFonts w:hint="eastAsia"/>
                <w:lang w:val="en-US" w:eastAsia="zh-CN"/>
              </w:rPr>
              <w:t>根据对比达州普光化工园区总体规划（2022-2035）规划图可知，项目停车场用地属于危化品专用停车场、消防站用地属于消防站用地。</w:t>
            </w:r>
          </w:p>
          <w:p>
            <w:pPr>
              <w:bidi w:val="0"/>
              <w:rPr>
                <w:rFonts w:hint="default"/>
                <w:lang w:val="en-US" w:eastAsia="zh-CN"/>
              </w:rPr>
            </w:pPr>
            <w:r>
              <w:rPr>
                <w:rFonts w:hint="eastAsia"/>
                <w:lang w:val="en-US" w:eastAsia="zh-CN"/>
              </w:rPr>
              <w:t>综上，项目符合土地利用相关要求</w:t>
            </w:r>
            <w:r>
              <w:rPr>
                <w:rFonts w:hint="default"/>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kern w:val="0"/>
                <w:sz w:val="24"/>
                <w:szCs w:val="24"/>
                <w:lang w:val="en-US" w:eastAsia="zh-CN"/>
              </w:rPr>
            </w:pPr>
            <w:r>
              <w:rPr>
                <w:rFonts w:hint="default" w:ascii="Times New Roman" w:hAnsi="Times New Roman" w:cs="Times New Roman"/>
                <w:b/>
                <w:bCs/>
                <w:kern w:val="0"/>
                <w:sz w:val="24"/>
                <w:szCs w:val="24"/>
                <w:lang w:val="en-US" w:eastAsia="zh-CN"/>
              </w:rPr>
              <w:t>3、生态环境分区管控要求符合性分析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bCs/>
                <w:kern w:val="0"/>
                <w:sz w:val="24"/>
                <w:szCs w:val="24"/>
                <w:lang w:val="en-US" w:eastAsia="zh-CN"/>
              </w:rPr>
            </w:pPr>
            <w:r>
              <w:rPr>
                <w:rFonts w:hint="eastAsia" w:ascii="Times New Roman" w:hAnsi="Times New Roman" w:cs="Times New Roman"/>
                <w:b/>
                <w:bCs/>
                <w:kern w:val="0"/>
                <w:sz w:val="24"/>
                <w:szCs w:val="24"/>
                <w:lang w:val="en-US" w:eastAsia="zh-CN"/>
              </w:rPr>
              <w:t>（1）</w:t>
            </w:r>
            <w:r>
              <w:rPr>
                <w:rFonts w:hint="default" w:ascii="Times New Roman" w:hAnsi="Times New Roman" w:cs="Times New Roman"/>
                <w:b/>
                <w:bCs/>
                <w:kern w:val="0"/>
                <w:sz w:val="24"/>
                <w:szCs w:val="24"/>
                <w:lang w:val="en-US" w:eastAsia="zh-CN"/>
              </w:rPr>
              <w:t>国土空间管控要求符合性分析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本项目位于达州普光经济开发区</w:t>
            </w:r>
            <w:r>
              <w:rPr>
                <w:rFonts w:hint="default" w:ascii="Times New Roman" w:hAnsi="Times New Roman" w:eastAsia="宋体" w:cs="Times New Roman"/>
                <w:color w:val="auto"/>
                <w:kern w:val="0"/>
                <w:sz w:val="24"/>
                <w:szCs w:val="24"/>
                <w:highlight w:val="none"/>
                <w:lang w:val="en-US" w:eastAsia="zh-CN"/>
              </w:rPr>
              <w:t>西区的</w:t>
            </w:r>
            <w:r>
              <w:rPr>
                <w:rFonts w:hint="eastAsia" w:ascii="Times New Roman" w:hAnsi="Times New Roman" w:eastAsia="宋体" w:cs="Times New Roman"/>
                <w:color w:val="auto"/>
                <w:kern w:val="0"/>
                <w:sz w:val="24"/>
                <w:szCs w:val="24"/>
                <w:highlight w:val="none"/>
                <w:lang w:val="en-US" w:eastAsia="zh-CN"/>
              </w:rPr>
              <w:t>普光功能区内，根据《四川达州普光经济开发区总体规划（2019-2035）环境影响报告书》中的三线一单符合性分析可知本项目所在地不在生态保护红线范围内。本项目位于工业园内，不涉及基本农田。根据《宣汉县国土空间总体规划 (2021-2035年)》可知各工业园区均位于城镇发展区内，且本项目符合工业园区规划要求</w:t>
            </w:r>
            <w:r>
              <w:rPr>
                <w:rFonts w:hint="default" w:ascii="Times New Roman" w:hAnsi="Times New Roman" w:cs="Times New Roman"/>
                <w:kern w:val="0"/>
                <w:sz w:val="24"/>
                <w:szCs w:val="24"/>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cs="Times New Roman"/>
                <w:kern w:val="0"/>
                <w:sz w:val="24"/>
                <w:szCs w:val="24"/>
                <w:lang w:val="en-US" w:eastAsia="zh-CN"/>
              </w:rPr>
            </w:pPr>
            <w:r>
              <w:rPr>
                <w:rFonts w:hint="eastAsia" w:ascii="Times New Roman" w:hAnsi="Times New Roman" w:cs="Times New Roman"/>
                <w:kern w:val="0"/>
                <w:sz w:val="24"/>
                <w:szCs w:val="24"/>
                <w:lang w:val="en-US" w:eastAsia="zh-CN"/>
              </w:rPr>
              <w:t>综上，本项目与国土空间管控要求相符。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（2）生态环境准入清单符合性分析</w:t>
            </w:r>
          </w:p>
          <w:p>
            <w:pPr>
              <w:bidi w:val="0"/>
              <w:rPr>
                <w:rFonts w:hint="default"/>
                <w:lang w:eastAsia="zh-CN"/>
              </w:rPr>
            </w:pPr>
            <w:r>
              <w:rPr>
                <w:rFonts w:hint="default"/>
                <w:lang w:val="en-US" w:eastAsia="zh-CN"/>
              </w:rPr>
              <w:t>202</w:t>
            </w:r>
            <w:r>
              <w:rPr>
                <w:rFonts w:hint="eastAsia"/>
                <w:lang w:val="en-US" w:eastAsia="zh-CN"/>
              </w:rPr>
              <w:t>4</w:t>
            </w:r>
            <w:r>
              <w:rPr>
                <w:rFonts w:hint="default"/>
                <w:lang w:val="en-US" w:eastAsia="zh-CN"/>
              </w:rPr>
              <w:t>年</w:t>
            </w:r>
            <w:r>
              <w:rPr>
                <w:rFonts w:hint="eastAsia"/>
                <w:lang w:val="en-US" w:eastAsia="zh-CN"/>
              </w:rPr>
              <w:t>4</w:t>
            </w:r>
            <w:r>
              <w:rPr>
                <w:rFonts w:hint="default"/>
                <w:lang w:val="en-US" w:eastAsia="zh-CN"/>
              </w:rPr>
              <w:t>月</w:t>
            </w:r>
            <w:r>
              <w:rPr>
                <w:rFonts w:hint="eastAsia"/>
                <w:lang w:val="en-US" w:eastAsia="zh-CN"/>
              </w:rPr>
              <w:t>达州市</w:t>
            </w:r>
            <w:r>
              <w:rPr>
                <w:rFonts w:hint="default"/>
                <w:lang w:val="en-US" w:eastAsia="zh-CN"/>
              </w:rPr>
              <w:t>人民政府发布了《达州市人民政府办公室关于加强生态环境分区管控的通知》</w:t>
            </w:r>
            <w:r>
              <w:rPr>
                <w:rFonts w:hint="eastAsia"/>
                <w:lang w:val="en-US" w:eastAsia="zh-CN"/>
              </w:rPr>
              <w:t>（达市府办函〔2024〕31号）</w:t>
            </w:r>
            <w:r>
              <w:rPr>
                <w:rFonts w:hint="default"/>
                <w:lang w:val="en-US" w:eastAsia="zh-CN"/>
              </w:rPr>
              <w:t>，</w:t>
            </w:r>
            <w:r>
              <w:rPr>
                <w:rFonts w:hint="default"/>
                <w:lang w:eastAsia="zh-CN"/>
              </w:rPr>
              <w:t>文件明确了全市行政区域从生态环境保护角度划分为优先保护、重点管控和一般管控三类环境管控单元。</w:t>
            </w:r>
          </w:p>
          <w:p>
            <w:pPr>
              <w:bidi w:val="0"/>
              <w:rPr>
                <w:rFonts w:hint="default"/>
                <w:lang w:eastAsia="zh-CN"/>
              </w:rPr>
            </w:pPr>
            <w:r>
              <w:rPr>
                <w:rFonts w:hint="default"/>
                <w:lang w:eastAsia="zh-CN"/>
              </w:rPr>
              <w:t>1.优先保护单元。以生态环境保护为主的区域，全市划分优先保护单元18个，主要包括生态保护红线、自然保护地、饮用水水源保护区等。</w:t>
            </w:r>
          </w:p>
          <w:p>
            <w:pPr>
              <w:bidi w:val="0"/>
              <w:rPr>
                <w:rFonts w:hint="default"/>
                <w:lang w:eastAsia="zh-CN"/>
              </w:rPr>
            </w:pPr>
            <w:r>
              <w:rPr>
                <w:rFonts w:hint="default"/>
                <w:lang w:eastAsia="zh-CN"/>
              </w:rPr>
              <w:t>2.重点管控单元。涉及水、大气、土壤、自然资源等资源环境要素重点管控的区域，全市划分重点管控单元22个，主要包括人口密集的城镇规划区和产业集聚的工业园区(工业集聚区)等。</w:t>
            </w:r>
          </w:p>
          <w:p>
            <w:pPr>
              <w:bidi w:val="0"/>
              <w:rPr>
                <w:rFonts w:hint="default"/>
                <w:lang w:eastAsia="zh-CN"/>
              </w:rPr>
            </w:pPr>
            <w:r>
              <w:rPr>
                <w:rFonts w:hint="default"/>
                <w:lang w:eastAsia="zh-CN"/>
              </w:rPr>
              <w:t>3.一般管控单元。除优先保护单元和重点管控单元之外的其他区域，全市共划分一般管控单元7个。</w:t>
            </w:r>
          </w:p>
          <w:p>
            <w:pPr>
              <w:bidi w:val="0"/>
              <w:rPr>
                <w:rFonts w:hint="default"/>
                <w:lang w:eastAsia="zh-CN"/>
              </w:rPr>
            </w:pPr>
            <w:r>
              <w:rPr>
                <w:rFonts w:hint="default"/>
                <w:lang w:eastAsia="zh-CN"/>
              </w:rPr>
              <w:t>根据</w:t>
            </w:r>
            <w:r>
              <w:rPr>
                <w:rFonts w:hint="eastAsia"/>
                <w:lang w:val="en-US" w:eastAsia="zh-CN"/>
              </w:rPr>
              <w:t>查询可知</w:t>
            </w:r>
            <w:r>
              <w:rPr>
                <w:rFonts w:hint="default"/>
                <w:lang w:eastAsia="zh-CN"/>
              </w:rPr>
              <w:t>，</w:t>
            </w:r>
            <w:r>
              <w:rPr>
                <w:rFonts w:hint="eastAsia"/>
                <w:lang w:val="en-US" w:eastAsia="zh-CN"/>
              </w:rPr>
              <w:t>本</w:t>
            </w:r>
            <w:r>
              <w:rPr>
                <w:rFonts w:hint="default"/>
                <w:lang w:eastAsia="zh-CN"/>
              </w:rPr>
              <w:t>项目位于达州市宣汉县环境综合管控单元工业重点管控单元（管控单元名称：四川达州普光经济开发区，管控单元编号：ZH51172220002）。</w:t>
            </w:r>
          </w:p>
          <w:p>
            <w:pPr>
              <w:pageBreakBefore w:val="0"/>
              <w:widowControl w:val="0"/>
              <w:numPr>
                <w:ilvl w:val="2"/>
                <w:numId w:val="0"/>
              </w:numPr>
              <w:tabs>
                <w:tab w:val="left" w:pos="720"/>
              </w:tabs>
              <w:kinsoku/>
              <w:wordWrap/>
              <w:overflowPunct/>
              <w:topLinePunct w:val="0"/>
              <w:bidi w:val="0"/>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达州市</w:t>
            </w:r>
            <w:r>
              <w:rPr>
                <w:rFonts w:hint="default" w:ascii="Times New Roman" w:hAnsi="Times New Roman" w:eastAsia="宋体" w:cs="Times New Roman"/>
                <w:sz w:val="24"/>
                <w:szCs w:val="24"/>
                <w:lang w:val="en-US" w:eastAsia="zh-CN"/>
              </w:rPr>
              <w:t>环境管控单元图如下：</w:t>
            </w:r>
          </w:p>
          <w:p>
            <w:pPr>
              <w:keepNext w:val="0"/>
              <w:keepLines w:val="0"/>
              <w:pageBreakBefore w:val="0"/>
              <w:widowControl w:val="0"/>
              <w:numPr>
                <w:ilvl w:val="2"/>
                <w:numId w:val="0"/>
              </w:numPr>
              <w:tabs>
                <w:tab w:val="left" w:pos="720"/>
              </w:tabs>
              <w:kinsoku/>
              <w:wordWrap/>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eastAsia="宋体" w:cs="Times New Roman"/>
                <w:sz w:val="24"/>
                <w:szCs w:val="24"/>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469265</wp:posOffset>
                      </wp:positionH>
                      <wp:positionV relativeFrom="paragraph">
                        <wp:posOffset>916940</wp:posOffset>
                      </wp:positionV>
                      <wp:extent cx="1024890" cy="419735"/>
                      <wp:effectExtent l="6350" t="6350" r="568960" b="196215"/>
                      <wp:wrapNone/>
                      <wp:docPr id="9" name="矩形标注 9"/>
                      <wp:cNvGraphicFramePr/>
                      <a:graphic xmlns:a="http://schemas.openxmlformats.org/drawingml/2006/main">
                        <a:graphicData uri="http://schemas.microsoft.com/office/word/2010/wordprocessingShape">
                          <wps:wsp>
                            <wps:cNvSpPr/>
                            <wps:spPr>
                              <a:xfrm>
                                <a:off x="3185160" y="1822450"/>
                                <a:ext cx="1024890" cy="419735"/>
                              </a:xfrm>
                              <a:prstGeom prst="wedgeRectCallout">
                                <a:avLst>
                                  <a:gd name="adj1" fmla="val 99876"/>
                                  <a:gd name="adj2" fmla="val 87670"/>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color w:val="FF0000"/>
                                      <w:lang w:val="en-US" w:eastAsia="zh-CN"/>
                                    </w:rPr>
                                  </w:pPr>
                                  <w:r>
                                    <w:rPr>
                                      <w:rFonts w:hint="eastAsia"/>
                                      <w:color w:val="FF0000"/>
                                      <w:lang w:val="en-US" w:eastAsia="zh-CN"/>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6.95pt;margin-top:72.2pt;height:33.05pt;width:80.7pt;z-index:251660288;v-text-anchor:middle;mso-width-relative:page;mso-height-relative:page;" filled="f" stroked="t" coordsize="21600,21600" o:gfxdata="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FDP6ADaAAAACgEAAA8AAAAAAAAAAQAgAAAA&#10;IgAAAGRycy9kb3ducmV2LnhtbFBLAQIUABQAAAAIAIdO4kC/SnYQtAIAAEUFAAAOAAAAAAAAAAEA&#10;IAAAACkBAABkcnMvZTJvRG9jLnhtbFBLBQYAAAAABgAGAFkBAABPBgAAAAA=&#10;" adj="32373,29737">
                      <v:fill on="f" focussize="0,0"/>
                      <v:stroke weight="1pt" color="#FF0000 [2404]"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default" w:eastAsia="宋体"/>
                                <w:color w:val="FF0000"/>
                                <w:lang w:val="en-US" w:eastAsia="zh-CN"/>
                              </w:rPr>
                            </w:pPr>
                            <w:r>
                              <w:rPr>
                                <w:rFonts w:hint="eastAsia"/>
                                <w:color w:val="FF0000"/>
                                <w:lang w:val="en-US" w:eastAsia="zh-CN"/>
                              </w:rPr>
                              <w:t>本项目位置</w:t>
                            </w:r>
                          </w:p>
                        </w:txbxContent>
                      </v:textbox>
                    </v:shape>
                  </w:pict>
                </mc:Fallback>
              </mc:AlternateContent>
            </w:r>
            <w:r>
              <w:rPr>
                <w:rFonts w:hint="default" w:ascii="Times New Roman" w:hAnsi="Times New Roman" w:eastAsia="宋体" w:cs="Times New Roman"/>
                <w:sz w:val="24"/>
                <w:szCs w:val="24"/>
                <w:lang w:val="en-US" w:eastAsia="zh-CN"/>
              </w:rPr>
              <w:drawing>
                <wp:inline distT="0" distB="0" distL="114300" distR="114300">
                  <wp:extent cx="4590415" cy="3279140"/>
                  <wp:effectExtent l="0" t="0" r="6985" b="10160"/>
                  <wp:docPr id="2" name="图片 2" descr="达州2023生态环境分区管控单元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达州2023生态环境分区管控单元分布图"/>
                          <pic:cNvPicPr>
                            <a:picLocks noChangeAspect="1"/>
                          </pic:cNvPicPr>
                        </pic:nvPicPr>
                        <pic:blipFill>
                          <a:blip r:embed="rId9"/>
                          <a:stretch>
                            <a:fillRect/>
                          </a:stretch>
                        </pic:blipFill>
                        <pic:spPr>
                          <a:xfrm>
                            <a:off x="0" y="0"/>
                            <a:ext cx="4590415" cy="3279140"/>
                          </a:xfrm>
                          <a:prstGeom prst="rect">
                            <a:avLst/>
                          </a:prstGeom>
                        </pic:spPr>
                      </pic:pic>
                    </a:graphicData>
                  </a:graphic>
                </wp:inline>
              </w:drawing>
            </w:r>
          </w:p>
          <w:p>
            <w:pPr>
              <w:pStyle w:val="26"/>
              <w:bidi w:val="0"/>
              <w:rPr>
                <w:rFonts w:hint="default"/>
              </w:rPr>
            </w:pPr>
            <w:r>
              <w:rPr>
                <w:rFonts w:hint="default"/>
              </w:rPr>
              <w:t>图1-</w:t>
            </w:r>
            <w:r>
              <w:rPr>
                <w:rFonts w:hint="eastAsia"/>
                <w:lang w:val="en-US" w:eastAsia="zh-CN"/>
              </w:rPr>
              <w:t>2</w:t>
            </w:r>
            <w:r>
              <w:rPr>
                <w:rFonts w:hint="default"/>
              </w:rPr>
              <w:t xml:space="preserve"> 项目与</w:t>
            </w:r>
            <w:r>
              <w:rPr>
                <w:rFonts w:hint="eastAsia"/>
                <w:lang w:val="en-US" w:eastAsia="zh-CN"/>
              </w:rPr>
              <w:t>达州市</w:t>
            </w:r>
            <w:r>
              <w:rPr>
                <w:rFonts w:hint="default"/>
              </w:rPr>
              <w:t>环境管控单元图位置关系</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Style w:val="27"/>
                <w:rFonts w:hint="eastAsia" w:eastAsia="黑体"/>
                <w:lang w:val="en-US" w:eastAsia="zh-CN"/>
              </w:rPr>
            </w:pPr>
            <w:r>
              <w:rPr>
                <w:rStyle w:val="27"/>
                <w:rFonts w:hint="eastAsia" w:eastAsia="黑体"/>
                <w:lang w:val="en-US" w:eastAsia="zh-CN"/>
              </w:rPr>
              <w:drawing>
                <wp:inline distT="0" distB="0" distL="114300" distR="114300">
                  <wp:extent cx="4279900" cy="2571750"/>
                  <wp:effectExtent l="0" t="0" r="0" b="635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0"/>
                          <a:stretch>
                            <a:fillRect/>
                          </a:stretch>
                        </pic:blipFill>
                        <pic:spPr>
                          <a:xfrm>
                            <a:off x="0" y="0"/>
                            <a:ext cx="4279900" cy="2571750"/>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firstLine="0" w:firstLineChars="0"/>
              <w:jc w:val="center"/>
              <w:textAlignment w:val="auto"/>
              <w:rPr>
                <w:rFonts w:hint="default" w:ascii="Times New Roman" w:hAnsi="Times New Roman" w:eastAsia="黑体" w:cs="Times New Roman"/>
                <w:sz w:val="21"/>
                <w:szCs w:val="21"/>
              </w:rPr>
            </w:pPr>
            <w:r>
              <w:rPr>
                <w:rStyle w:val="27"/>
                <w:rFonts w:hint="default"/>
                <w:lang w:val="en-US" w:eastAsia="zh-CN"/>
              </w:rPr>
              <w:t>图1-</w:t>
            </w:r>
            <w:r>
              <w:rPr>
                <w:rStyle w:val="27"/>
                <w:rFonts w:hint="eastAsia"/>
                <w:lang w:val="en-US" w:eastAsia="zh-CN"/>
              </w:rPr>
              <w:t>3</w:t>
            </w:r>
            <w:r>
              <w:rPr>
                <w:rStyle w:val="27"/>
                <w:rFonts w:hint="default"/>
                <w:lang w:val="en-US" w:eastAsia="zh-CN"/>
              </w:rPr>
              <w:t xml:space="preserve"> </w:t>
            </w:r>
            <w:r>
              <w:rPr>
                <w:rStyle w:val="27"/>
                <w:rFonts w:hint="default"/>
              </w:rPr>
              <w:t>项目</w:t>
            </w:r>
            <w:r>
              <w:rPr>
                <w:rStyle w:val="27"/>
                <w:rFonts w:hint="eastAsia"/>
                <w:lang w:val="en-US" w:eastAsia="zh-CN"/>
              </w:rPr>
              <w:t>停车场</w:t>
            </w:r>
            <w:r>
              <w:rPr>
                <w:rStyle w:val="27"/>
                <w:rFonts w:hint="default"/>
              </w:rPr>
              <w:t>与管控单元相对位置如下图所示：（图中</w:t>
            </w:r>
            <w:r>
              <w:rPr>
                <w:rFonts w:hint="default" w:ascii="Times New Roman" w:hAnsi="Times New Roman" w:eastAsia="黑体" w:cs="Times New Roman"/>
                <w:color w:val="00FFFF"/>
                <w:sz w:val="21"/>
                <w:szCs w:val="21"/>
              </w:rPr>
              <w:t>▼</w:t>
            </w:r>
            <w:r>
              <w:rPr>
                <w:rStyle w:val="27"/>
                <w:rFonts w:hint="default"/>
              </w:rPr>
              <w:t>表示项目位置）</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right="0" w:rightChars="0" w:firstLine="0" w:firstLineChars="0"/>
              <w:jc w:val="center"/>
              <w:textAlignment w:val="auto"/>
              <w:rPr>
                <w:rFonts w:hint="eastAsia" w:ascii="Times New Roman" w:hAnsi="Times New Roman" w:eastAsia="黑体" w:cs="Times New Roman"/>
                <w:sz w:val="21"/>
                <w:szCs w:val="21"/>
                <w:lang w:eastAsia="zh-CN"/>
              </w:rPr>
            </w:pPr>
            <w:r>
              <w:rPr>
                <w:rFonts w:hint="eastAsia" w:ascii="Times New Roman" w:hAnsi="Times New Roman" w:eastAsia="黑体" w:cs="Times New Roman"/>
                <w:sz w:val="21"/>
                <w:szCs w:val="21"/>
                <w:lang w:eastAsia="zh-CN"/>
              </w:rPr>
              <w:drawing>
                <wp:inline distT="0" distB="0" distL="114300" distR="114300">
                  <wp:extent cx="4291330" cy="2578735"/>
                  <wp:effectExtent l="0" t="0" r="1270" b="12065"/>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11"/>
                          <a:stretch>
                            <a:fillRect/>
                          </a:stretch>
                        </pic:blipFill>
                        <pic:spPr>
                          <a:xfrm>
                            <a:off x="0" y="0"/>
                            <a:ext cx="4291330" cy="257873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line="440" w:lineRule="exact"/>
              <w:ind w:left="0" w:leftChars="0" w:right="0" w:rightChars="0" w:firstLine="0" w:firstLineChars="0"/>
              <w:jc w:val="center"/>
              <w:textAlignment w:val="auto"/>
              <w:rPr>
                <w:rFonts w:hint="default" w:ascii="Times New Roman" w:hAnsi="Times New Roman" w:eastAsia="黑体" w:cs="Times New Roman"/>
                <w:sz w:val="21"/>
                <w:szCs w:val="21"/>
              </w:rPr>
            </w:pPr>
            <w:r>
              <w:rPr>
                <w:rStyle w:val="27"/>
                <w:rFonts w:hint="default"/>
                <w:lang w:val="en-US" w:eastAsia="zh-CN"/>
              </w:rPr>
              <w:t>图1-</w:t>
            </w:r>
            <w:r>
              <w:rPr>
                <w:rStyle w:val="27"/>
                <w:rFonts w:hint="eastAsia"/>
                <w:lang w:val="en-US" w:eastAsia="zh-CN"/>
              </w:rPr>
              <w:t>4</w:t>
            </w:r>
            <w:r>
              <w:rPr>
                <w:rStyle w:val="27"/>
                <w:rFonts w:hint="default"/>
                <w:lang w:val="en-US" w:eastAsia="zh-CN"/>
              </w:rPr>
              <w:t xml:space="preserve"> </w:t>
            </w:r>
            <w:r>
              <w:rPr>
                <w:rStyle w:val="27"/>
                <w:rFonts w:hint="default"/>
              </w:rPr>
              <w:t>项目</w:t>
            </w:r>
            <w:r>
              <w:rPr>
                <w:rStyle w:val="27"/>
                <w:rFonts w:hint="eastAsia"/>
                <w:lang w:val="en-US" w:eastAsia="zh-CN"/>
              </w:rPr>
              <w:t>消防站</w:t>
            </w:r>
            <w:r>
              <w:rPr>
                <w:rStyle w:val="27"/>
                <w:rFonts w:hint="default"/>
              </w:rPr>
              <w:t>与管控单元相对位置如下图所示：（图中</w:t>
            </w:r>
            <w:r>
              <w:rPr>
                <w:rFonts w:hint="default" w:ascii="Times New Roman" w:hAnsi="Times New Roman" w:eastAsia="黑体" w:cs="Times New Roman"/>
                <w:color w:val="00FFFF"/>
                <w:sz w:val="21"/>
                <w:szCs w:val="21"/>
              </w:rPr>
              <w:t>▼</w:t>
            </w:r>
            <w:r>
              <w:rPr>
                <w:rStyle w:val="27"/>
                <w:rFonts w:hint="default"/>
              </w:rPr>
              <w:t>表示项目位置）</w:t>
            </w:r>
          </w:p>
          <w:p>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本项目与《通知》符合性分析见下表。</w:t>
            </w:r>
          </w:p>
          <w:p>
            <w:pPr>
              <w:pStyle w:val="26"/>
              <w:bidi w:val="0"/>
              <w:rPr>
                <w:rFonts w:hint="default"/>
              </w:rPr>
            </w:pPr>
            <w:r>
              <w:rPr>
                <w:rFonts w:hint="default"/>
              </w:rPr>
              <w:t>表1-4 项目与《通知》的符合性分析</w:t>
            </w:r>
          </w:p>
          <w:tbl>
            <w:tblPr>
              <w:tblStyle w:val="1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78"/>
              <w:gridCol w:w="3943"/>
              <w:gridCol w:w="1811"/>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noWrap w:val="0"/>
                  <w:vAlign w:val="center"/>
                </w:tcPr>
                <w:p>
                  <w:pPr>
                    <w:pStyle w:val="22"/>
                    <w:bidi w:val="0"/>
                    <w:rPr>
                      <w:rFonts w:hint="default"/>
                      <w:lang w:eastAsia="zh-CN"/>
                    </w:rPr>
                  </w:pPr>
                  <w:r>
                    <w:rPr>
                      <w:rFonts w:hint="default"/>
                      <w:lang w:eastAsia="zh-CN"/>
                    </w:rPr>
                    <w:t>序号</w:t>
                  </w:r>
                </w:p>
              </w:tc>
              <w:tc>
                <w:tcPr>
                  <w:tcW w:w="329" w:type="pct"/>
                  <w:noWrap w:val="0"/>
                  <w:vAlign w:val="center"/>
                </w:tcPr>
                <w:p>
                  <w:pPr>
                    <w:pStyle w:val="22"/>
                    <w:bidi w:val="0"/>
                    <w:rPr>
                      <w:rFonts w:hint="default"/>
                      <w:lang w:eastAsia="zh-CN"/>
                    </w:rPr>
                  </w:pPr>
                  <w:r>
                    <w:rPr>
                      <w:rFonts w:hint="default"/>
                      <w:lang w:eastAsia="zh-CN"/>
                    </w:rPr>
                    <w:t>项目</w:t>
                  </w:r>
                </w:p>
              </w:tc>
              <w:tc>
                <w:tcPr>
                  <w:tcW w:w="2718" w:type="pct"/>
                  <w:noWrap w:val="0"/>
                  <w:vAlign w:val="center"/>
                </w:tcPr>
                <w:p>
                  <w:pPr>
                    <w:pStyle w:val="22"/>
                    <w:bidi w:val="0"/>
                    <w:rPr>
                      <w:rFonts w:hint="default"/>
                      <w:lang w:eastAsia="zh-CN"/>
                    </w:rPr>
                  </w:pPr>
                  <w:r>
                    <w:rPr>
                      <w:rFonts w:hint="default"/>
                      <w:lang w:eastAsia="zh-CN"/>
                    </w:rPr>
                    <w:t>具体要求</w:t>
                  </w:r>
                </w:p>
              </w:tc>
              <w:tc>
                <w:tcPr>
                  <w:tcW w:w="1248" w:type="pct"/>
                  <w:noWrap w:val="0"/>
                  <w:vAlign w:val="center"/>
                </w:tcPr>
                <w:p>
                  <w:pPr>
                    <w:pStyle w:val="22"/>
                    <w:bidi w:val="0"/>
                    <w:rPr>
                      <w:rFonts w:hint="default"/>
                      <w:lang w:eastAsia="zh-CN"/>
                    </w:rPr>
                  </w:pPr>
                  <w:r>
                    <w:rPr>
                      <w:rFonts w:hint="default"/>
                      <w:lang w:eastAsia="zh-CN"/>
                    </w:rPr>
                    <w:t>本项目情况</w:t>
                  </w:r>
                </w:p>
              </w:tc>
              <w:tc>
                <w:tcPr>
                  <w:tcW w:w="374" w:type="pct"/>
                  <w:noWrap w:val="0"/>
                  <w:vAlign w:val="center"/>
                </w:tcPr>
                <w:p>
                  <w:pPr>
                    <w:pStyle w:val="22"/>
                    <w:bidi w:val="0"/>
                    <w:rPr>
                      <w:rFonts w:hint="default"/>
                      <w:lang w:eastAsia="zh-CN"/>
                    </w:rPr>
                  </w:pPr>
                  <w:r>
                    <w:rPr>
                      <w:rFonts w:hint="default"/>
                      <w:lang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noWrap w:val="0"/>
                  <w:vAlign w:val="center"/>
                </w:tcPr>
                <w:p>
                  <w:pPr>
                    <w:pStyle w:val="22"/>
                    <w:bidi w:val="0"/>
                    <w:rPr>
                      <w:rFonts w:hint="default"/>
                      <w:lang w:val="en-US" w:eastAsia="zh-CN"/>
                    </w:rPr>
                  </w:pPr>
                  <w:r>
                    <w:rPr>
                      <w:rFonts w:hint="default"/>
                      <w:lang w:val="en-US" w:eastAsia="zh-CN"/>
                    </w:rPr>
                    <w:t>1</w:t>
                  </w:r>
                </w:p>
              </w:tc>
              <w:tc>
                <w:tcPr>
                  <w:tcW w:w="329" w:type="pct"/>
                  <w:noWrap w:val="0"/>
                  <w:vAlign w:val="center"/>
                </w:tcPr>
                <w:p>
                  <w:pPr>
                    <w:pStyle w:val="22"/>
                    <w:bidi w:val="0"/>
                    <w:rPr>
                      <w:rFonts w:hint="default"/>
                      <w:lang w:eastAsia="zh-CN"/>
                    </w:rPr>
                  </w:pPr>
                  <w:r>
                    <w:rPr>
                      <w:rFonts w:hint="default"/>
                      <w:lang w:val="en-US" w:eastAsia="zh-CN"/>
                    </w:rPr>
                    <w:t>达州市总体生态环境管控要求</w:t>
                  </w:r>
                </w:p>
              </w:tc>
              <w:tc>
                <w:tcPr>
                  <w:tcW w:w="2718" w:type="pct"/>
                  <w:noWrap w:val="0"/>
                  <w:vAlign w:val="center"/>
                </w:tcPr>
                <w:p>
                  <w:pPr>
                    <w:pStyle w:val="22"/>
                    <w:bidi w:val="0"/>
                    <w:rPr>
                      <w:rFonts w:hint="default"/>
                      <w:lang w:eastAsia="zh-CN"/>
                    </w:rPr>
                  </w:pPr>
                  <w:r>
                    <w:rPr>
                      <w:rFonts w:hint="default"/>
                      <w:lang w:eastAsia="zh-CN"/>
                    </w:rPr>
                    <w:t>1.长江干支流岸线1千米范围内，不得新建、扩建化工园区和化</w:t>
                  </w:r>
                </w:p>
                <w:p>
                  <w:pPr>
                    <w:pStyle w:val="22"/>
                    <w:bidi w:val="0"/>
                    <w:rPr>
                      <w:rFonts w:hint="default"/>
                      <w:lang w:eastAsia="zh-CN"/>
                    </w:rPr>
                  </w:pPr>
                  <w:r>
                    <w:rPr>
                      <w:rFonts w:hint="default"/>
                      <w:lang w:eastAsia="zh-CN"/>
                    </w:rPr>
                    <w:t>工项目。</w:t>
                  </w:r>
                </w:p>
                <w:p>
                  <w:pPr>
                    <w:pStyle w:val="22"/>
                    <w:bidi w:val="0"/>
                    <w:rPr>
                      <w:rFonts w:hint="default"/>
                      <w:lang w:eastAsia="zh-CN"/>
                    </w:rPr>
                  </w:pPr>
                  <w:r>
                    <w:rPr>
                      <w:rFonts w:hint="default"/>
                      <w:lang w:eastAsia="zh-CN"/>
                    </w:rPr>
                    <w:t>2.严控产业转移环境准入。</w:t>
                  </w:r>
                </w:p>
                <w:p>
                  <w:pPr>
                    <w:pStyle w:val="22"/>
                    <w:bidi w:val="0"/>
                    <w:rPr>
                      <w:rFonts w:hint="default"/>
                      <w:lang w:eastAsia="zh-CN"/>
                    </w:rPr>
                  </w:pPr>
                  <w:r>
                    <w:rPr>
                      <w:rFonts w:hint="default"/>
                      <w:lang w:eastAsia="zh-CN"/>
                    </w:rPr>
                    <w:t>3.引进项目应符合园区规划环评和区域产业准入清单要求。</w:t>
                  </w:r>
                </w:p>
                <w:p>
                  <w:pPr>
                    <w:pStyle w:val="22"/>
                    <w:bidi w:val="0"/>
                    <w:rPr>
                      <w:rFonts w:hint="default"/>
                      <w:lang w:eastAsia="zh-CN"/>
                    </w:rPr>
                  </w:pPr>
                  <w:r>
                    <w:rPr>
                      <w:rFonts w:hint="default"/>
                      <w:lang w:eastAsia="zh-CN"/>
                    </w:rPr>
                    <w:t>4.造纸等产业污染治理和环境管理应达到国内先进水平。优化制浆造纸产业布局，提升行业清洁生产水平，推动制浆造纸工业向节能环保、绿色方向发展。</w:t>
                  </w:r>
                </w:p>
                <w:p>
                  <w:pPr>
                    <w:pStyle w:val="22"/>
                    <w:bidi w:val="0"/>
                    <w:rPr>
                      <w:rFonts w:hint="default"/>
                      <w:lang w:eastAsia="zh-CN"/>
                    </w:rPr>
                  </w:pPr>
                  <w:r>
                    <w:rPr>
                      <w:rFonts w:hint="default"/>
                      <w:lang w:eastAsia="zh-CN"/>
                    </w:rPr>
                    <w:t>5.深化成都平原、川南、川东北地区大气污染联防联控工作机制，加强川渝地区联防联控。强化重污染天气区域应急联动机制，深化区域重污染天气联合应对。</w:t>
                  </w:r>
                </w:p>
                <w:p>
                  <w:pPr>
                    <w:pStyle w:val="22"/>
                    <w:bidi w:val="0"/>
                    <w:rPr>
                      <w:rFonts w:hint="default"/>
                      <w:lang w:eastAsia="zh-CN"/>
                    </w:rPr>
                  </w:pPr>
                  <w:r>
                    <w:rPr>
                      <w:rFonts w:hint="default"/>
                      <w:lang w:eastAsia="zh-CN"/>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1248" w:type="pct"/>
                  <w:noWrap w:val="0"/>
                  <w:vAlign w:val="center"/>
                </w:tcPr>
                <w:p>
                  <w:pPr>
                    <w:pStyle w:val="22"/>
                    <w:bidi w:val="0"/>
                    <w:rPr>
                      <w:rFonts w:hint="default"/>
                      <w:lang w:val="en-US" w:eastAsia="zh-CN"/>
                    </w:rPr>
                  </w:pPr>
                  <w:r>
                    <w:rPr>
                      <w:rFonts w:hint="default"/>
                      <w:lang w:val="en-US" w:eastAsia="zh-CN"/>
                    </w:rPr>
                    <w:t>本项目属于危险化学品运输车清洗项目、消防站建设项目，属于园区配套基础工程</w:t>
                  </w:r>
                </w:p>
              </w:tc>
              <w:tc>
                <w:tcPr>
                  <w:tcW w:w="374" w:type="pct"/>
                  <w:noWrap w:val="0"/>
                  <w:vAlign w:val="center"/>
                </w:tcPr>
                <w:p>
                  <w:pPr>
                    <w:pStyle w:val="22"/>
                    <w:bidi w:val="0"/>
                    <w:rPr>
                      <w:rFonts w:hint="default"/>
                      <w:lang w:val="en-US" w:eastAsia="zh-CN"/>
                    </w:rPr>
                  </w:pPr>
                  <w:r>
                    <w:rPr>
                      <w:rFonts w:hint="default"/>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noWrap w:val="0"/>
                  <w:vAlign w:val="center"/>
                </w:tcPr>
                <w:p>
                  <w:pPr>
                    <w:pStyle w:val="22"/>
                    <w:bidi w:val="0"/>
                    <w:rPr>
                      <w:rFonts w:hint="default"/>
                      <w:lang w:val="en-US" w:eastAsia="zh-CN"/>
                    </w:rPr>
                  </w:pPr>
                  <w:r>
                    <w:rPr>
                      <w:rFonts w:hint="default"/>
                      <w:lang w:val="en-US" w:eastAsia="zh-CN"/>
                    </w:rPr>
                    <w:t>2</w:t>
                  </w:r>
                </w:p>
              </w:tc>
              <w:tc>
                <w:tcPr>
                  <w:tcW w:w="329" w:type="pct"/>
                  <w:noWrap w:val="0"/>
                  <w:vAlign w:val="center"/>
                </w:tcPr>
                <w:p>
                  <w:pPr>
                    <w:pStyle w:val="22"/>
                    <w:bidi w:val="0"/>
                    <w:rPr>
                      <w:rFonts w:hint="default"/>
                      <w:lang w:eastAsia="zh-CN"/>
                    </w:rPr>
                  </w:pPr>
                  <w:r>
                    <w:rPr>
                      <w:rFonts w:hint="default"/>
                      <w:lang w:val="en-US" w:eastAsia="zh-CN"/>
                    </w:rPr>
                    <w:t>宣汉县总体生态环境管控要求</w:t>
                  </w:r>
                </w:p>
              </w:tc>
              <w:tc>
                <w:tcPr>
                  <w:tcW w:w="2718" w:type="pct"/>
                  <w:noWrap w:val="0"/>
                  <w:vAlign w:val="center"/>
                </w:tcPr>
                <w:p>
                  <w:pPr>
                    <w:pStyle w:val="22"/>
                    <w:bidi w:val="0"/>
                    <w:rPr>
                      <w:rFonts w:hint="default"/>
                    </w:rPr>
                  </w:pPr>
                  <w:r>
                    <w:rPr>
                      <w:rFonts w:hint="default"/>
                    </w:rPr>
                    <w:t>1.优化天然气化工、硫化工、锂钾综合开发、冶金建材、新材料等产业布局，切实做好危险化学品生产、使用、贮运、废弃全过程的安全防范措施，妥善处理好锂钾综合开发产业副产物及“三废”的综合利用途径或处置去向。</w:t>
                  </w:r>
                </w:p>
                <w:p>
                  <w:pPr>
                    <w:pStyle w:val="22"/>
                    <w:bidi w:val="0"/>
                    <w:rPr>
                      <w:rFonts w:hint="default"/>
                    </w:rPr>
                  </w:pPr>
                  <w:r>
                    <w:rPr>
                      <w:rFonts w:hint="default"/>
                    </w:rPr>
                    <w:t>2.打好升级版污染防治攻坚战。持续优化调整产业布局，以细颗粒物(PMs)和臭氧(0;)污染协同控制为重点，全面开展挥发性有机物(VOCs)治理，实施移动源整治，持续推进空气质量精细化管理引进项目应符合园区规划环评和区域产业准入清单要求</w:t>
                  </w:r>
                </w:p>
                <w:p>
                  <w:pPr>
                    <w:pStyle w:val="22"/>
                    <w:bidi w:val="0"/>
                    <w:rPr>
                      <w:rFonts w:hint="default"/>
                    </w:rPr>
                  </w:pPr>
                  <w:r>
                    <w:rPr>
                      <w:rFonts w:hint="default"/>
                    </w:rPr>
                    <w:t>3.加强小流域水环境保护，推动农村环保基础设施建设，全面推进农村环境综合整治、生活污水处理项目。</w:t>
                  </w:r>
                </w:p>
                <w:p>
                  <w:pPr>
                    <w:pStyle w:val="22"/>
                    <w:bidi w:val="0"/>
                    <w:rPr>
                      <w:rFonts w:hint="default"/>
                    </w:rPr>
                  </w:pPr>
                  <w:r>
                    <w:rPr>
                      <w:rFonts w:hint="default"/>
                    </w:rPr>
                    <w:t>4.大力开展沿河畜禽养殖污染整治，大力推广生态种植，减少农药化肥使用量;普光气田开发污染防治和环境管理等方面要达国内先进水平。</w:t>
                  </w:r>
                </w:p>
              </w:tc>
              <w:tc>
                <w:tcPr>
                  <w:tcW w:w="1248" w:type="pct"/>
                  <w:noWrap w:val="0"/>
                  <w:vAlign w:val="center"/>
                </w:tcPr>
                <w:p>
                  <w:pPr>
                    <w:pStyle w:val="22"/>
                    <w:bidi w:val="0"/>
                    <w:rPr>
                      <w:rFonts w:hint="default"/>
                      <w:lang w:val="en-US" w:eastAsia="zh-CN"/>
                    </w:rPr>
                  </w:pPr>
                  <w:r>
                    <w:rPr>
                      <w:rFonts w:hint="default"/>
                      <w:lang w:val="en-US" w:eastAsia="zh-CN"/>
                    </w:rPr>
                    <w:t>本项目废水经处理达标后排入园区管网，经园区污水处理厂处理达标后排放。本项目VOCs经治理后，排放量较小</w:t>
                  </w:r>
                </w:p>
              </w:tc>
              <w:tc>
                <w:tcPr>
                  <w:tcW w:w="374" w:type="pct"/>
                  <w:noWrap w:val="0"/>
                  <w:vAlign w:val="center"/>
                </w:tcPr>
                <w:p>
                  <w:pPr>
                    <w:pStyle w:val="22"/>
                    <w:bidi w:val="0"/>
                    <w:rPr>
                      <w:rFonts w:hint="default"/>
                      <w:lang w:eastAsia="zh-CN"/>
                    </w:rPr>
                  </w:pPr>
                  <w:r>
                    <w:rPr>
                      <w:rFonts w:hint="default"/>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 w:type="pct"/>
                  <w:noWrap w:val="0"/>
                  <w:vAlign w:val="center"/>
                </w:tcPr>
                <w:p>
                  <w:pPr>
                    <w:pStyle w:val="22"/>
                    <w:bidi w:val="0"/>
                    <w:rPr>
                      <w:rFonts w:hint="default"/>
                      <w:lang w:val="en-US" w:eastAsia="zh-CN"/>
                    </w:rPr>
                  </w:pPr>
                  <w:r>
                    <w:rPr>
                      <w:rFonts w:hint="default"/>
                      <w:lang w:val="en-US" w:eastAsia="zh-CN"/>
                    </w:rPr>
                    <w:t>3</w:t>
                  </w:r>
                </w:p>
              </w:tc>
              <w:tc>
                <w:tcPr>
                  <w:tcW w:w="329" w:type="pct"/>
                  <w:noWrap w:val="0"/>
                  <w:vAlign w:val="center"/>
                </w:tcPr>
                <w:p>
                  <w:pPr>
                    <w:pStyle w:val="22"/>
                    <w:bidi w:val="0"/>
                    <w:rPr>
                      <w:rFonts w:hint="default"/>
                      <w:lang w:eastAsia="zh-CN"/>
                    </w:rPr>
                  </w:pPr>
                  <w:r>
                    <w:rPr>
                      <w:rFonts w:hint="default"/>
                      <w:lang w:eastAsia="zh-CN"/>
                    </w:rPr>
                    <w:t>分区管控要求</w:t>
                  </w:r>
                </w:p>
              </w:tc>
              <w:tc>
                <w:tcPr>
                  <w:tcW w:w="2718" w:type="pct"/>
                  <w:noWrap w:val="0"/>
                  <w:vAlign w:val="center"/>
                </w:tcPr>
                <w:p>
                  <w:pPr>
                    <w:pStyle w:val="22"/>
                    <w:bidi w:val="0"/>
                    <w:rPr>
                      <w:rFonts w:hint="default"/>
                    </w:rPr>
                  </w:pPr>
                  <w:r>
                    <w:rPr>
                      <w:rFonts w:hint="default"/>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248" w:type="pct"/>
                  <w:noWrap w:val="0"/>
                  <w:vAlign w:val="center"/>
                </w:tcPr>
                <w:p>
                  <w:pPr>
                    <w:pStyle w:val="22"/>
                    <w:bidi w:val="0"/>
                    <w:rPr>
                      <w:rFonts w:hint="default"/>
                    </w:rPr>
                  </w:pPr>
                  <w:r>
                    <w:rPr>
                      <w:rFonts w:hint="default"/>
                      <w:lang w:val="en-US" w:eastAsia="zh-CN"/>
                    </w:rPr>
                    <w:t>本项目废水经处理达标后排入园区管网，经园区污水处理厂处理达标后排放。本项目VOCs经治理后，排放量较小</w:t>
                  </w:r>
                </w:p>
              </w:tc>
              <w:tc>
                <w:tcPr>
                  <w:tcW w:w="374" w:type="pct"/>
                  <w:noWrap w:val="0"/>
                  <w:vAlign w:val="center"/>
                </w:tcPr>
                <w:p>
                  <w:pPr>
                    <w:pStyle w:val="22"/>
                    <w:bidi w:val="0"/>
                    <w:rPr>
                      <w:rFonts w:hint="default"/>
                      <w:lang w:eastAsia="zh-CN"/>
                    </w:rPr>
                  </w:pPr>
                  <w:r>
                    <w:rPr>
                      <w:rFonts w:hint="default"/>
                      <w:lang w:eastAsia="zh-CN"/>
                    </w:rPr>
                    <w:t>符合</w:t>
                  </w:r>
                </w:p>
              </w:tc>
            </w:tr>
          </w:tbl>
          <w:p>
            <w:pPr>
              <w:spacing w:beforeLines="0" w:afterLines="0"/>
              <w:jc w:val="lef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②与生态环境准入负面清单符合性分析</w:t>
            </w:r>
          </w:p>
          <w:p>
            <w:pPr>
              <w:spacing w:beforeLines="0" w:afterLine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本项目为园区内污染类建设项目，本项目所在园区规划环评中</w:t>
            </w:r>
            <w:r>
              <w:rPr>
                <w:rFonts w:hint="eastAsia" w:ascii="Times New Roman" w:hAnsi="Times New Roman" w:eastAsia="宋体" w:cs="Times New Roman"/>
                <w:color w:val="auto"/>
                <w:sz w:val="24"/>
                <w:szCs w:val="24"/>
                <w:lang w:val="en-US" w:eastAsia="zh-CN"/>
              </w:rPr>
              <w:t>已</w:t>
            </w:r>
            <w:r>
              <w:rPr>
                <w:rFonts w:hint="default" w:ascii="Times New Roman" w:hAnsi="Times New Roman" w:eastAsia="宋体" w:cs="Times New Roman"/>
                <w:color w:val="auto"/>
                <w:sz w:val="24"/>
                <w:szCs w:val="24"/>
              </w:rPr>
              <w:t>论述</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三线一单</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，项目与</w:t>
            </w:r>
            <w:r>
              <w:rPr>
                <w:rFonts w:hint="eastAsia" w:ascii="Times New Roman" w:hAnsi="Times New Roman" w:eastAsia="宋体" w:cs="Times New Roman"/>
                <w:color w:val="auto"/>
                <w:sz w:val="24"/>
                <w:szCs w:val="24"/>
                <w:lang w:val="en-US" w:eastAsia="zh-CN"/>
              </w:rPr>
              <w:t>达州市</w:t>
            </w:r>
            <w:r>
              <w:rPr>
                <w:rFonts w:hint="default" w:ascii="Times New Roman" w:hAnsi="Times New Roman" w:eastAsia="宋体" w:cs="Times New Roman"/>
                <w:color w:val="auto"/>
                <w:sz w:val="24"/>
                <w:szCs w:val="24"/>
              </w:rPr>
              <w:t>生态环境准入清单符合性分析详见下表。</w:t>
            </w:r>
          </w:p>
          <w:p>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4114800" cy="3409950"/>
                  <wp:effectExtent l="0" t="0" r="0" b="6350"/>
                  <wp:docPr id="6" name="图片 1" descr="停车场查询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停车场查询截图"/>
                          <pic:cNvPicPr>
                            <a:picLocks noChangeAspect="1"/>
                          </pic:cNvPicPr>
                        </pic:nvPicPr>
                        <pic:blipFill>
                          <a:blip r:embed="rId12"/>
                          <a:stretch>
                            <a:fillRect/>
                          </a:stretch>
                        </pic:blipFill>
                        <pic:spPr>
                          <a:xfrm>
                            <a:off x="0" y="0"/>
                            <a:ext cx="4114800" cy="3409950"/>
                          </a:xfrm>
                          <a:prstGeom prst="rect">
                            <a:avLst/>
                          </a:prstGeom>
                          <a:noFill/>
                          <a:ln>
                            <a:noFill/>
                          </a:ln>
                        </pic:spPr>
                      </pic:pic>
                    </a:graphicData>
                  </a:graphic>
                </wp:inline>
              </w:drawing>
            </w:r>
          </w:p>
          <w:p>
            <w:pPr>
              <w:pStyle w:val="26"/>
              <w:bidi w:val="0"/>
              <w:rPr>
                <w:rFonts w:hint="default"/>
                <w:lang w:val="en-US" w:eastAsia="zh-CN"/>
              </w:rPr>
            </w:pPr>
            <w:r>
              <w:rPr>
                <w:rFonts w:hint="default"/>
                <w:lang w:eastAsia="zh-CN"/>
              </w:rPr>
              <w:t>图</w:t>
            </w:r>
            <w:r>
              <w:rPr>
                <w:rFonts w:hint="default"/>
                <w:lang w:val="en-US" w:eastAsia="zh-CN"/>
              </w:rPr>
              <w:t>1-</w:t>
            </w:r>
            <w:r>
              <w:rPr>
                <w:rFonts w:hint="eastAsia"/>
                <w:lang w:val="en-US" w:eastAsia="zh-CN"/>
              </w:rPr>
              <w:t>4</w:t>
            </w:r>
            <w:r>
              <w:rPr>
                <w:rFonts w:hint="default"/>
                <w:lang w:val="en-US" w:eastAsia="zh-CN"/>
              </w:rPr>
              <w:t xml:space="preserve"> </w:t>
            </w:r>
            <w:r>
              <w:rPr>
                <w:rFonts w:hint="eastAsia"/>
                <w:lang w:val="en-US" w:eastAsia="zh-CN"/>
              </w:rPr>
              <w:t>停车场生态环境分区管控符合性</w:t>
            </w:r>
            <w:r>
              <w:rPr>
                <w:rFonts w:hint="default"/>
                <w:lang w:val="en-US" w:eastAsia="zh-CN"/>
              </w:rPr>
              <w:t>系统查询截图</w:t>
            </w:r>
          </w:p>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eastAsia="zh-CN"/>
              </w:rPr>
            </w:pPr>
            <w:r>
              <w:rPr>
                <w:rFonts w:hint="eastAsia"/>
                <w:lang w:eastAsia="zh-CN"/>
              </w:rPr>
              <w:drawing>
                <wp:inline distT="0" distB="0" distL="114300" distR="114300">
                  <wp:extent cx="4284345" cy="3546475"/>
                  <wp:effectExtent l="0" t="0" r="8255" b="9525"/>
                  <wp:docPr id="1" name="图片 2" descr="消防站查询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消防站查询截图"/>
                          <pic:cNvPicPr>
                            <a:picLocks noChangeAspect="1"/>
                          </pic:cNvPicPr>
                        </pic:nvPicPr>
                        <pic:blipFill>
                          <a:blip r:embed="rId13"/>
                          <a:stretch>
                            <a:fillRect/>
                          </a:stretch>
                        </pic:blipFill>
                        <pic:spPr>
                          <a:xfrm>
                            <a:off x="0" y="0"/>
                            <a:ext cx="4284345" cy="3546475"/>
                          </a:xfrm>
                          <a:prstGeom prst="rect">
                            <a:avLst/>
                          </a:prstGeom>
                          <a:noFill/>
                          <a:ln>
                            <a:noFill/>
                          </a:ln>
                        </pic:spPr>
                      </pic:pic>
                    </a:graphicData>
                  </a:graphic>
                </wp:inline>
              </w:drawing>
            </w:r>
          </w:p>
          <w:p>
            <w:pPr>
              <w:pStyle w:val="26"/>
              <w:bidi w:val="0"/>
              <w:rPr>
                <w:rFonts w:hint="default"/>
                <w:lang w:val="en-US" w:eastAsia="zh-CN"/>
              </w:rPr>
            </w:pPr>
            <w:r>
              <w:rPr>
                <w:rFonts w:hint="default"/>
                <w:lang w:eastAsia="zh-CN"/>
              </w:rPr>
              <w:t>图</w:t>
            </w:r>
            <w:r>
              <w:rPr>
                <w:rFonts w:hint="default"/>
                <w:lang w:val="en-US" w:eastAsia="zh-CN"/>
              </w:rPr>
              <w:t>1-</w:t>
            </w:r>
            <w:r>
              <w:rPr>
                <w:rFonts w:hint="eastAsia"/>
                <w:lang w:val="en-US" w:eastAsia="zh-CN"/>
              </w:rPr>
              <w:t>5</w:t>
            </w:r>
            <w:r>
              <w:rPr>
                <w:rFonts w:hint="default"/>
                <w:lang w:val="en-US" w:eastAsia="zh-CN"/>
              </w:rPr>
              <w:t xml:space="preserve"> </w:t>
            </w:r>
            <w:r>
              <w:rPr>
                <w:rFonts w:hint="eastAsia"/>
                <w:lang w:val="en-US" w:eastAsia="zh-CN"/>
              </w:rPr>
              <w:t>消防站生态环境分区管控符合性</w:t>
            </w:r>
            <w:r>
              <w:rPr>
                <w:rFonts w:hint="default"/>
                <w:lang w:val="en-US" w:eastAsia="zh-CN"/>
              </w:rPr>
              <w:t>系统查询截图</w:t>
            </w:r>
          </w:p>
          <w:p>
            <w:pPr>
              <w:pStyle w:val="26"/>
              <w:bidi w:val="0"/>
              <w:rPr>
                <w:rFonts w:hint="default"/>
                <w:lang w:eastAsia="zh-CN"/>
              </w:rPr>
            </w:pPr>
            <w:r>
              <w:rPr>
                <w:rFonts w:hint="default"/>
                <w:lang w:eastAsia="zh-CN"/>
              </w:rPr>
              <w:t>表1-</w:t>
            </w:r>
            <w:r>
              <w:rPr>
                <w:rFonts w:hint="default"/>
                <w:lang w:val="en-US" w:eastAsia="zh-CN"/>
              </w:rPr>
              <w:t>5</w:t>
            </w:r>
            <w:r>
              <w:rPr>
                <w:rFonts w:hint="default"/>
                <w:lang w:eastAsia="zh-CN"/>
              </w:rPr>
              <w:t xml:space="preserve"> 项目涉及的环境管控单元一览表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433"/>
              <w:gridCol w:w="1079"/>
              <w:gridCol w:w="830"/>
              <w:gridCol w:w="1366"/>
              <w:gridCol w:w="1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49" w:type="pct"/>
                  <w:noWrap w:val="0"/>
                  <w:vAlign w:val="center"/>
                </w:tcPr>
                <w:p>
                  <w:pPr>
                    <w:pStyle w:val="22"/>
                    <w:bidi w:val="0"/>
                    <w:jc w:val="center"/>
                    <w:rPr>
                      <w:rFonts w:hint="default"/>
                      <w:b/>
                      <w:bCs/>
                      <w:lang w:val="en-US" w:eastAsia="zh-CN"/>
                    </w:rPr>
                  </w:pPr>
                  <w:r>
                    <w:rPr>
                      <w:rFonts w:hint="default"/>
                      <w:b/>
                      <w:bCs/>
                      <w:lang w:val="en-US" w:eastAsia="zh-CN"/>
                    </w:rPr>
                    <w:t>环境管控单元编码</w:t>
                  </w:r>
                </w:p>
              </w:tc>
              <w:tc>
                <w:tcPr>
                  <w:tcW w:w="986" w:type="pct"/>
                  <w:noWrap w:val="0"/>
                  <w:vAlign w:val="center"/>
                </w:tcPr>
                <w:p>
                  <w:pPr>
                    <w:pStyle w:val="22"/>
                    <w:bidi w:val="0"/>
                    <w:jc w:val="center"/>
                    <w:rPr>
                      <w:rFonts w:hint="default"/>
                      <w:b/>
                      <w:bCs/>
                      <w:lang w:val="en-US" w:eastAsia="zh-CN"/>
                    </w:rPr>
                  </w:pPr>
                  <w:r>
                    <w:rPr>
                      <w:rFonts w:hint="default"/>
                      <w:b/>
                      <w:bCs/>
                      <w:lang w:val="en-US" w:eastAsia="zh-CN"/>
                    </w:rPr>
                    <w:t>环境管控单元名称</w:t>
                  </w:r>
                </w:p>
              </w:tc>
              <w:tc>
                <w:tcPr>
                  <w:tcW w:w="743" w:type="pct"/>
                  <w:noWrap w:val="0"/>
                  <w:vAlign w:val="center"/>
                </w:tcPr>
                <w:p>
                  <w:pPr>
                    <w:pStyle w:val="22"/>
                    <w:bidi w:val="0"/>
                    <w:jc w:val="center"/>
                    <w:rPr>
                      <w:rFonts w:hint="default"/>
                      <w:b/>
                      <w:bCs/>
                      <w:lang w:val="en-US" w:eastAsia="zh-CN"/>
                    </w:rPr>
                  </w:pPr>
                  <w:r>
                    <w:rPr>
                      <w:rFonts w:hint="default"/>
                      <w:b/>
                      <w:bCs/>
                      <w:lang w:val="en-US" w:eastAsia="zh-CN"/>
                    </w:rPr>
                    <w:t>所属市（州）</w:t>
                  </w:r>
                </w:p>
              </w:tc>
              <w:tc>
                <w:tcPr>
                  <w:tcW w:w="571" w:type="pct"/>
                  <w:noWrap w:val="0"/>
                  <w:vAlign w:val="center"/>
                </w:tcPr>
                <w:p>
                  <w:pPr>
                    <w:pStyle w:val="22"/>
                    <w:bidi w:val="0"/>
                    <w:jc w:val="center"/>
                    <w:rPr>
                      <w:rFonts w:hint="default"/>
                      <w:b/>
                      <w:bCs/>
                      <w:lang w:val="en-US" w:eastAsia="zh-CN"/>
                    </w:rPr>
                  </w:pPr>
                  <w:r>
                    <w:rPr>
                      <w:rFonts w:hint="default"/>
                      <w:b/>
                      <w:bCs/>
                      <w:lang w:val="en-US" w:eastAsia="zh-CN"/>
                    </w:rPr>
                    <w:t>所属区县</w:t>
                  </w:r>
                </w:p>
              </w:tc>
              <w:tc>
                <w:tcPr>
                  <w:tcW w:w="940" w:type="pct"/>
                  <w:noWrap w:val="0"/>
                  <w:vAlign w:val="center"/>
                </w:tcPr>
                <w:p>
                  <w:pPr>
                    <w:pStyle w:val="22"/>
                    <w:bidi w:val="0"/>
                    <w:jc w:val="center"/>
                    <w:rPr>
                      <w:rFonts w:hint="default"/>
                      <w:b/>
                      <w:bCs/>
                      <w:lang w:val="en-US" w:eastAsia="zh-CN"/>
                    </w:rPr>
                  </w:pPr>
                  <w:r>
                    <w:rPr>
                      <w:rFonts w:hint="default"/>
                      <w:b/>
                      <w:bCs/>
                      <w:lang w:val="en-US" w:eastAsia="zh-CN"/>
                    </w:rPr>
                    <w:t>准入清单类型</w:t>
                  </w:r>
                </w:p>
              </w:tc>
              <w:tc>
                <w:tcPr>
                  <w:tcW w:w="1009" w:type="pct"/>
                  <w:noWrap w:val="0"/>
                  <w:vAlign w:val="center"/>
                </w:tcPr>
                <w:p>
                  <w:pPr>
                    <w:pStyle w:val="22"/>
                    <w:bidi w:val="0"/>
                    <w:jc w:val="center"/>
                    <w:rPr>
                      <w:rFonts w:hint="default"/>
                      <w:b/>
                      <w:bCs/>
                      <w:lang w:val="en-US" w:eastAsia="zh-CN"/>
                    </w:rPr>
                  </w:pPr>
                  <w:r>
                    <w:rPr>
                      <w:rFonts w:hint="default"/>
                      <w:b/>
                      <w:bCs/>
                      <w:lang w:val="en-US" w:eastAsia="zh-CN"/>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842" w:type="dxa"/>
                  <w:noWrap w:val="0"/>
                  <w:vAlign w:val="center"/>
                </w:tcPr>
                <w:p>
                  <w:pPr>
                    <w:pStyle w:val="22"/>
                    <w:bidi w:val="0"/>
                    <w:jc w:val="center"/>
                    <w:rPr>
                      <w:rFonts w:hint="default"/>
                      <w:lang w:val="en-US" w:eastAsia="zh-CN"/>
                    </w:rPr>
                  </w:pPr>
                  <w:r>
                    <w:rPr>
                      <w:rFonts w:hint="default"/>
                      <w:lang w:val="en-US" w:eastAsia="zh-CN"/>
                    </w:rPr>
                    <w:t>YS5117222210001</w:t>
                  </w:r>
                </w:p>
              </w:tc>
              <w:tc>
                <w:tcPr>
                  <w:tcW w:w="1163" w:type="dxa"/>
                  <w:noWrap w:val="0"/>
                  <w:vAlign w:val="center"/>
                </w:tcPr>
                <w:p>
                  <w:pPr>
                    <w:pStyle w:val="22"/>
                    <w:bidi w:val="0"/>
                    <w:jc w:val="center"/>
                    <w:rPr>
                      <w:rFonts w:hint="default"/>
                      <w:lang w:val="en-US" w:eastAsia="zh-CN"/>
                    </w:rPr>
                  </w:pPr>
                  <w:r>
                    <w:rPr>
                      <w:rFonts w:hint="default"/>
                      <w:lang w:val="en-US" w:eastAsia="zh-CN"/>
                    </w:rPr>
                    <w:t>州河-宣汉县-张鼓坪-控制单元</w:t>
                  </w:r>
                </w:p>
              </w:tc>
              <w:tc>
                <w:tcPr>
                  <w:tcW w:w="849" w:type="dxa"/>
                  <w:noWrap w:val="0"/>
                  <w:vAlign w:val="center"/>
                </w:tcPr>
                <w:p>
                  <w:pPr>
                    <w:pStyle w:val="22"/>
                    <w:bidi w:val="0"/>
                    <w:jc w:val="center"/>
                    <w:rPr>
                      <w:rFonts w:hint="default"/>
                      <w:lang w:val="en-US" w:eastAsia="zh-CN"/>
                    </w:rPr>
                  </w:pPr>
                  <w:r>
                    <w:rPr>
                      <w:rFonts w:hint="default"/>
                      <w:lang w:val="en-US" w:eastAsia="zh-CN"/>
                    </w:rPr>
                    <w:t>达州市</w:t>
                  </w:r>
                </w:p>
              </w:tc>
              <w:tc>
                <w:tcPr>
                  <w:tcW w:w="590" w:type="dxa"/>
                  <w:noWrap w:val="0"/>
                  <w:vAlign w:val="center"/>
                </w:tcPr>
                <w:p>
                  <w:pPr>
                    <w:pStyle w:val="22"/>
                    <w:bidi w:val="0"/>
                    <w:jc w:val="center"/>
                    <w:rPr>
                      <w:rFonts w:hint="default"/>
                      <w:lang w:val="en-US" w:eastAsia="zh-CN"/>
                    </w:rPr>
                  </w:pPr>
                  <w:r>
                    <w:rPr>
                      <w:rFonts w:hint="default"/>
                      <w:lang w:val="en-US" w:eastAsia="zh-CN"/>
                    </w:rPr>
                    <w:t>宣汉县</w:t>
                  </w:r>
                </w:p>
              </w:tc>
              <w:tc>
                <w:tcPr>
                  <w:tcW w:w="1100" w:type="dxa"/>
                  <w:noWrap w:val="0"/>
                  <w:vAlign w:val="center"/>
                </w:tcPr>
                <w:p>
                  <w:pPr>
                    <w:pStyle w:val="22"/>
                    <w:bidi w:val="0"/>
                    <w:jc w:val="center"/>
                    <w:rPr>
                      <w:rFonts w:hint="default"/>
                      <w:lang w:val="en-US" w:eastAsia="zh-CN"/>
                    </w:rPr>
                  </w:pPr>
                  <w:r>
                    <w:rPr>
                      <w:rFonts w:hint="default"/>
                      <w:lang w:val="en-US" w:eastAsia="zh-CN"/>
                    </w:rPr>
                    <w:t>水环境管控分区</w:t>
                  </w:r>
                </w:p>
              </w:tc>
              <w:tc>
                <w:tcPr>
                  <w:tcW w:w="1195" w:type="dxa"/>
                  <w:noWrap w:val="0"/>
                  <w:vAlign w:val="center"/>
                </w:tcPr>
                <w:p>
                  <w:pPr>
                    <w:pStyle w:val="22"/>
                    <w:bidi w:val="0"/>
                    <w:jc w:val="center"/>
                    <w:rPr>
                      <w:rFonts w:hint="default"/>
                      <w:lang w:val="en-US" w:eastAsia="zh-CN"/>
                    </w:rPr>
                  </w:pPr>
                  <w:r>
                    <w:rPr>
                      <w:rFonts w:hint="default"/>
                      <w:lang w:val="en-US" w:eastAsia="zh-CN"/>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842" w:type="dxa"/>
                  <w:noWrap w:val="0"/>
                  <w:vAlign w:val="center"/>
                </w:tcPr>
                <w:p>
                  <w:pPr>
                    <w:pStyle w:val="22"/>
                    <w:bidi w:val="0"/>
                    <w:jc w:val="center"/>
                    <w:rPr>
                      <w:rFonts w:hint="default"/>
                      <w:lang w:val="en-US" w:eastAsia="zh-CN"/>
                    </w:rPr>
                  </w:pPr>
                  <w:r>
                    <w:rPr>
                      <w:rFonts w:hint="default"/>
                      <w:lang w:val="en-US" w:eastAsia="zh-CN"/>
                    </w:rPr>
                    <w:t>YS5117222310001</w:t>
                  </w:r>
                </w:p>
              </w:tc>
              <w:tc>
                <w:tcPr>
                  <w:tcW w:w="1163" w:type="dxa"/>
                  <w:noWrap w:val="0"/>
                  <w:vAlign w:val="center"/>
                </w:tcPr>
                <w:p>
                  <w:pPr>
                    <w:pStyle w:val="22"/>
                    <w:bidi w:val="0"/>
                    <w:jc w:val="center"/>
                    <w:rPr>
                      <w:rFonts w:hint="default"/>
                      <w:lang w:val="en-US" w:eastAsia="zh-CN"/>
                    </w:rPr>
                  </w:pPr>
                  <w:r>
                    <w:rPr>
                      <w:rFonts w:hint="default"/>
                      <w:lang w:val="en-US" w:eastAsia="zh-CN"/>
                    </w:rPr>
                    <w:t>四川达州普光经济开发区</w:t>
                  </w:r>
                </w:p>
              </w:tc>
              <w:tc>
                <w:tcPr>
                  <w:tcW w:w="849" w:type="dxa"/>
                  <w:noWrap w:val="0"/>
                  <w:vAlign w:val="center"/>
                </w:tcPr>
                <w:p>
                  <w:pPr>
                    <w:pStyle w:val="22"/>
                    <w:bidi w:val="0"/>
                    <w:jc w:val="center"/>
                    <w:rPr>
                      <w:rFonts w:hint="default"/>
                      <w:lang w:val="en-US" w:eastAsia="zh-CN"/>
                    </w:rPr>
                  </w:pPr>
                  <w:r>
                    <w:rPr>
                      <w:rFonts w:hint="default"/>
                      <w:lang w:val="en-US" w:eastAsia="zh-CN"/>
                    </w:rPr>
                    <w:t>达州市</w:t>
                  </w:r>
                </w:p>
              </w:tc>
              <w:tc>
                <w:tcPr>
                  <w:tcW w:w="590" w:type="dxa"/>
                  <w:noWrap w:val="0"/>
                  <w:vAlign w:val="center"/>
                </w:tcPr>
                <w:p>
                  <w:pPr>
                    <w:pStyle w:val="22"/>
                    <w:bidi w:val="0"/>
                    <w:jc w:val="center"/>
                    <w:rPr>
                      <w:rFonts w:hint="default"/>
                      <w:lang w:val="en-US" w:eastAsia="zh-CN"/>
                    </w:rPr>
                  </w:pPr>
                  <w:r>
                    <w:rPr>
                      <w:rFonts w:hint="default"/>
                      <w:lang w:val="en-US" w:eastAsia="zh-CN"/>
                    </w:rPr>
                    <w:t>宣汉县</w:t>
                  </w:r>
                </w:p>
              </w:tc>
              <w:tc>
                <w:tcPr>
                  <w:tcW w:w="1100" w:type="dxa"/>
                  <w:noWrap w:val="0"/>
                  <w:vAlign w:val="center"/>
                </w:tcPr>
                <w:p>
                  <w:pPr>
                    <w:pStyle w:val="22"/>
                    <w:bidi w:val="0"/>
                    <w:jc w:val="center"/>
                    <w:rPr>
                      <w:rFonts w:hint="default"/>
                      <w:lang w:val="en-US" w:eastAsia="zh-CN"/>
                    </w:rPr>
                  </w:pPr>
                  <w:r>
                    <w:rPr>
                      <w:rFonts w:hint="default"/>
                      <w:lang w:val="en-US" w:eastAsia="zh-CN"/>
                    </w:rPr>
                    <w:t>大气环境管控分区</w:t>
                  </w:r>
                </w:p>
              </w:tc>
              <w:tc>
                <w:tcPr>
                  <w:tcW w:w="1195" w:type="dxa"/>
                  <w:noWrap w:val="0"/>
                  <w:vAlign w:val="center"/>
                </w:tcPr>
                <w:p>
                  <w:pPr>
                    <w:pStyle w:val="22"/>
                    <w:bidi w:val="0"/>
                    <w:jc w:val="center"/>
                    <w:rPr>
                      <w:rFonts w:hint="default"/>
                      <w:lang w:val="en-US" w:eastAsia="zh-CN"/>
                    </w:rPr>
                  </w:pPr>
                  <w:r>
                    <w:rPr>
                      <w:rFonts w:hint="default"/>
                      <w:lang w:val="en-US" w:eastAsia="zh-CN"/>
                    </w:rPr>
                    <w:t>大气环境高排放重点管控区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842" w:type="dxa"/>
                  <w:noWrap w:val="0"/>
                  <w:vAlign w:val="center"/>
                </w:tcPr>
                <w:p>
                  <w:pPr>
                    <w:pStyle w:val="22"/>
                    <w:bidi w:val="0"/>
                    <w:jc w:val="center"/>
                    <w:rPr>
                      <w:rFonts w:hint="default"/>
                      <w:lang w:val="en-US" w:eastAsia="zh-CN"/>
                    </w:rPr>
                  </w:pPr>
                  <w:r>
                    <w:rPr>
                      <w:rFonts w:hint="default"/>
                      <w:lang w:val="en-US" w:eastAsia="zh-CN"/>
                    </w:rPr>
                    <w:t>YS5117222530001</w:t>
                  </w:r>
                </w:p>
              </w:tc>
              <w:tc>
                <w:tcPr>
                  <w:tcW w:w="1163" w:type="dxa"/>
                  <w:noWrap w:val="0"/>
                  <w:vAlign w:val="center"/>
                </w:tcPr>
                <w:p>
                  <w:pPr>
                    <w:pStyle w:val="22"/>
                    <w:bidi w:val="0"/>
                    <w:jc w:val="center"/>
                    <w:rPr>
                      <w:rFonts w:hint="default"/>
                      <w:lang w:val="en-US" w:eastAsia="zh-CN"/>
                    </w:rPr>
                  </w:pPr>
                  <w:r>
                    <w:rPr>
                      <w:rFonts w:hint="default"/>
                      <w:lang w:val="en-US" w:eastAsia="zh-CN"/>
                    </w:rPr>
                    <w:t>宣汉县城镇开发边界</w:t>
                  </w:r>
                </w:p>
              </w:tc>
              <w:tc>
                <w:tcPr>
                  <w:tcW w:w="849" w:type="dxa"/>
                  <w:noWrap w:val="0"/>
                  <w:vAlign w:val="center"/>
                </w:tcPr>
                <w:p>
                  <w:pPr>
                    <w:pStyle w:val="22"/>
                    <w:bidi w:val="0"/>
                    <w:jc w:val="center"/>
                    <w:rPr>
                      <w:rFonts w:hint="default"/>
                      <w:lang w:val="en-US" w:eastAsia="zh-CN"/>
                    </w:rPr>
                  </w:pPr>
                  <w:r>
                    <w:rPr>
                      <w:rFonts w:hint="default"/>
                      <w:lang w:val="en-US" w:eastAsia="zh-CN"/>
                    </w:rPr>
                    <w:t>达州市</w:t>
                  </w:r>
                </w:p>
              </w:tc>
              <w:tc>
                <w:tcPr>
                  <w:tcW w:w="590" w:type="dxa"/>
                  <w:noWrap w:val="0"/>
                  <w:vAlign w:val="center"/>
                </w:tcPr>
                <w:p>
                  <w:pPr>
                    <w:pStyle w:val="22"/>
                    <w:bidi w:val="0"/>
                    <w:jc w:val="center"/>
                    <w:rPr>
                      <w:rFonts w:hint="default"/>
                      <w:lang w:val="en-US" w:eastAsia="zh-CN"/>
                    </w:rPr>
                  </w:pPr>
                  <w:r>
                    <w:rPr>
                      <w:rFonts w:hint="default"/>
                      <w:lang w:val="en-US" w:eastAsia="zh-CN"/>
                    </w:rPr>
                    <w:t>宣汉县</w:t>
                  </w:r>
                </w:p>
              </w:tc>
              <w:tc>
                <w:tcPr>
                  <w:tcW w:w="1100" w:type="dxa"/>
                  <w:noWrap w:val="0"/>
                  <w:vAlign w:val="center"/>
                </w:tcPr>
                <w:p>
                  <w:pPr>
                    <w:pStyle w:val="22"/>
                    <w:bidi w:val="0"/>
                    <w:jc w:val="center"/>
                    <w:rPr>
                      <w:rFonts w:hint="default"/>
                      <w:lang w:val="en-US" w:eastAsia="zh-CN"/>
                    </w:rPr>
                  </w:pPr>
                  <w:r>
                    <w:rPr>
                      <w:rFonts w:hint="default"/>
                      <w:lang w:val="en-US" w:eastAsia="zh-CN"/>
                    </w:rPr>
                    <w:t>资源管控分区</w:t>
                  </w:r>
                </w:p>
              </w:tc>
              <w:tc>
                <w:tcPr>
                  <w:tcW w:w="1195" w:type="dxa"/>
                  <w:noWrap w:val="0"/>
                  <w:vAlign w:val="center"/>
                </w:tcPr>
                <w:p>
                  <w:pPr>
                    <w:pStyle w:val="22"/>
                    <w:bidi w:val="0"/>
                    <w:jc w:val="center"/>
                    <w:rPr>
                      <w:rFonts w:hint="default"/>
                      <w:lang w:val="en-US" w:eastAsia="zh-CN"/>
                    </w:rPr>
                  </w:pPr>
                  <w:r>
                    <w:rPr>
                      <w:rFonts w:hint="default"/>
                      <w:lang w:val="en-US" w:eastAsia="zh-CN"/>
                    </w:rPr>
                    <w:t>土地资源重点管控区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842" w:type="dxa"/>
                  <w:noWrap w:val="0"/>
                  <w:vAlign w:val="center"/>
                </w:tcPr>
                <w:p>
                  <w:pPr>
                    <w:pStyle w:val="22"/>
                    <w:bidi w:val="0"/>
                    <w:jc w:val="center"/>
                    <w:rPr>
                      <w:rFonts w:hint="default"/>
                      <w:lang w:val="en-US" w:eastAsia="zh-CN"/>
                    </w:rPr>
                  </w:pPr>
                  <w:r>
                    <w:rPr>
                      <w:rFonts w:hint="default"/>
                      <w:lang w:val="en-US" w:eastAsia="zh-CN"/>
                    </w:rPr>
                    <w:t>YS5117222550001</w:t>
                  </w:r>
                </w:p>
              </w:tc>
              <w:tc>
                <w:tcPr>
                  <w:tcW w:w="1163" w:type="dxa"/>
                  <w:noWrap w:val="0"/>
                  <w:vAlign w:val="center"/>
                </w:tcPr>
                <w:p>
                  <w:pPr>
                    <w:pStyle w:val="22"/>
                    <w:bidi w:val="0"/>
                    <w:jc w:val="center"/>
                    <w:rPr>
                      <w:rFonts w:hint="default"/>
                      <w:lang w:val="en-US" w:eastAsia="zh-CN"/>
                    </w:rPr>
                  </w:pPr>
                  <w:r>
                    <w:rPr>
                      <w:rFonts w:hint="default"/>
                      <w:lang w:val="en-US" w:eastAsia="zh-CN"/>
                    </w:rPr>
                    <w:t>宣汉县自然资源重点管控区</w:t>
                  </w:r>
                </w:p>
              </w:tc>
              <w:tc>
                <w:tcPr>
                  <w:tcW w:w="849" w:type="dxa"/>
                  <w:noWrap w:val="0"/>
                  <w:vAlign w:val="center"/>
                </w:tcPr>
                <w:p>
                  <w:pPr>
                    <w:pStyle w:val="22"/>
                    <w:bidi w:val="0"/>
                    <w:jc w:val="center"/>
                    <w:rPr>
                      <w:rFonts w:hint="default"/>
                      <w:lang w:val="en-US" w:eastAsia="zh-CN"/>
                    </w:rPr>
                  </w:pPr>
                  <w:r>
                    <w:rPr>
                      <w:rFonts w:hint="default"/>
                      <w:lang w:val="en-US" w:eastAsia="zh-CN"/>
                    </w:rPr>
                    <w:t>达州市</w:t>
                  </w:r>
                </w:p>
              </w:tc>
              <w:tc>
                <w:tcPr>
                  <w:tcW w:w="590" w:type="dxa"/>
                  <w:noWrap w:val="0"/>
                  <w:vAlign w:val="center"/>
                </w:tcPr>
                <w:p>
                  <w:pPr>
                    <w:pStyle w:val="22"/>
                    <w:bidi w:val="0"/>
                    <w:jc w:val="center"/>
                    <w:rPr>
                      <w:rFonts w:hint="default"/>
                      <w:lang w:val="en-US" w:eastAsia="zh-CN"/>
                    </w:rPr>
                  </w:pPr>
                  <w:r>
                    <w:rPr>
                      <w:rFonts w:hint="default"/>
                      <w:lang w:val="en-US" w:eastAsia="zh-CN"/>
                    </w:rPr>
                    <w:t>宣汉县</w:t>
                  </w:r>
                </w:p>
              </w:tc>
              <w:tc>
                <w:tcPr>
                  <w:tcW w:w="1100" w:type="dxa"/>
                  <w:noWrap w:val="0"/>
                  <w:vAlign w:val="center"/>
                </w:tcPr>
                <w:p>
                  <w:pPr>
                    <w:pStyle w:val="22"/>
                    <w:bidi w:val="0"/>
                    <w:jc w:val="center"/>
                    <w:rPr>
                      <w:rFonts w:hint="default"/>
                      <w:lang w:val="en-US" w:eastAsia="zh-CN"/>
                    </w:rPr>
                  </w:pPr>
                  <w:r>
                    <w:rPr>
                      <w:rFonts w:hint="default"/>
                      <w:lang w:val="en-US" w:eastAsia="zh-CN"/>
                    </w:rPr>
                    <w:t>资源管控分区</w:t>
                  </w:r>
                </w:p>
              </w:tc>
              <w:tc>
                <w:tcPr>
                  <w:tcW w:w="1195" w:type="dxa"/>
                  <w:noWrap w:val="0"/>
                  <w:vAlign w:val="center"/>
                </w:tcPr>
                <w:p>
                  <w:pPr>
                    <w:pStyle w:val="22"/>
                    <w:bidi w:val="0"/>
                    <w:jc w:val="center"/>
                    <w:rPr>
                      <w:rFonts w:hint="default"/>
                      <w:lang w:val="en-US" w:eastAsia="zh-CN"/>
                    </w:rPr>
                  </w:pPr>
                  <w:r>
                    <w:rPr>
                      <w:rFonts w:hint="default"/>
                      <w:lang w:val="en-US" w:eastAsia="zh-CN"/>
                    </w:rPr>
                    <w:t>自然资源重点管控区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842" w:type="dxa"/>
                  <w:noWrap w:val="0"/>
                  <w:vAlign w:val="center"/>
                </w:tcPr>
                <w:p>
                  <w:pPr>
                    <w:pStyle w:val="22"/>
                    <w:bidi w:val="0"/>
                    <w:jc w:val="center"/>
                    <w:rPr>
                      <w:rFonts w:hint="default"/>
                      <w:lang w:val="en-US" w:eastAsia="zh-CN"/>
                    </w:rPr>
                  </w:pPr>
                  <w:r>
                    <w:rPr>
                      <w:rFonts w:hint="default"/>
                      <w:lang w:val="en-US" w:eastAsia="zh-CN"/>
                    </w:rPr>
                    <w:t>ZH51172220002</w:t>
                  </w:r>
                </w:p>
              </w:tc>
              <w:tc>
                <w:tcPr>
                  <w:tcW w:w="1163" w:type="dxa"/>
                  <w:noWrap w:val="0"/>
                  <w:vAlign w:val="center"/>
                </w:tcPr>
                <w:p>
                  <w:pPr>
                    <w:pStyle w:val="22"/>
                    <w:bidi w:val="0"/>
                    <w:jc w:val="center"/>
                    <w:rPr>
                      <w:rFonts w:hint="default"/>
                      <w:lang w:val="en-US" w:eastAsia="zh-CN"/>
                    </w:rPr>
                  </w:pPr>
                  <w:r>
                    <w:rPr>
                      <w:rFonts w:hint="default"/>
                      <w:lang w:val="en-US" w:eastAsia="zh-CN"/>
                    </w:rPr>
                    <w:t>四川达州普光经济开发区</w:t>
                  </w:r>
                </w:p>
              </w:tc>
              <w:tc>
                <w:tcPr>
                  <w:tcW w:w="849" w:type="dxa"/>
                  <w:noWrap w:val="0"/>
                  <w:vAlign w:val="center"/>
                </w:tcPr>
                <w:p>
                  <w:pPr>
                    <w:pStyle w:val="22"/>
                    <w:bidi w:val="0"/>
                    <w:jc w:val="center"/>
                    <w:rPr>
                      <w:rFonts w:hint="default"/>
                      <w:lang w:val="en-US" w:eastAsia="zh-CN"/>
                    </w:rPr>
                  </w:pPr>
                  <w:r>
                    <w:rPr>
                      <w:rFonts w:hint="default"/>
                      <w:lang w:val="en-US" w:eastAsia="zh-CN"/>
                    </w:rPr>
                    <w:t>达州市</w:t>
                  </w:r>
                </w:p>
              </w:tc>
              <w:tc>
                <w:tcPr>
                  <w:tcW w:w="590" w:type="dxa"/>
                  <w:noWrap w:val="0"/>
                  <w:vAlign w:val="center"/>
                </w:tcPr>
                <w:p>
                  <w:pPr>
                    <w:pStyle w:val="22"/>
                    <w:bidi w:val="0"/>
                    <w:jc w:val="center"/>
                    <w:rPr>
                      <w:rFonts w:hint="default"/>
                      <w:lang w:val="en-US" w:eastAsia="zh-CN"/>
                    </w:rPr>
                  </w:pPr>
                  <w:r>
                    <w:rPr>
                      <w:rFonts w:hint="default"/>
                      <w:lang w:val="en-US" w:eastAsia="zh-CN"/>
                    </w:rPr>
                    <w:t>宣汉县</w:t>
                  </w:r>
                </w:p>
              </w:tc>
              <w:tc>
                <w:tcPr>
                  <w:tcW w:w="1100" w:type="dxa"/>
                  <w:noWrap w:val="0"/>
                  <w:vAlign w:val="center"/>
                </w:tcPr>
                <w:p>
                  <w:pPr>
                    <w:pStyle w:val="22"/>
                    <w:bidi w:val="0"/>
                    <w:jc w:val="center"/>
                    <w:rPr>
                      <w:rFonts w:hint="default"/>
                      <w:lang w:val="en-US" w:eastAsia="zh-CN"/>
                    </w:rPr>
                  </w:pPr>
                  <w:r>
                    <w:rPr>
                      <w:rFonts w:hint="default"/>
                      <w:lang w:val="en-US" w:eastAsia="zh-CN"/>
                    </w:rPr>
                    <w:t>环境综合管控单元</w:t>
                  </w:r>
                </w:p>
              </w:tc>
              <w:tc>
                <w:tcPr>
                  <w:tcW w:w="1195" w:type="dxa"/>
                  <w:noWrap w:val="0"/>
                  <w:vAlign w:val="center"/>
                </w:tcPr>
                <w:p>
                  <w:pPr>
                    <w:pStyle w:val="22"/>
                    <w:bidi w:val="0"/>
                    <w:jc w:val="center"/>
                    <w:rPr>
                      <w:rFonts w:hint="default"/>
                      <w:lang w:val="en-US" w:eastAsia="zh-CN"/>
                    </w:rPr>
                  </w:pPr>
                  <w:r>
                    <w:rPr>
                      <w:rFonts w:hint="default"/>
                      <w:lang w:val="en-US" w:eastAsia="zh-CN"/>
                    </w:rPr>
                    <w:t>环境综合管控单元工业重点管控单元</w:t>
                  </w:r>
                </w:p>
              </w:tc>
            </w:tr>
          </w:tbl>
          <w:p>
            <w:pPr>
              <w:spacing w:beforeLines="0" w:afterLines="0"/>
              <w:jc w:val="left"/>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本项目与</w:t>
            </w:r>
            <w:r>
              <w:rPr>
                <w:rFonts w:hint="eastAsia" w:ascii="Times New Roman" w:hAnsi="Times New Roman" w:eastAsia="宋体" w:cs="Times New Roman"/>
                <w:color w:val="auto"/>
                <w:sz w:val="24"/>
                <w:szCs w:val="24"/>
                <w:lang w:val="en-US" w:eastAsia="zh-CN"/>
              </w:rPr>
              <w:t>达州市</w:t>
            </w:r>
            <w:r>
              <w:rPr>
                <w:rFonts w:hint="default" w:ascii="Times New Roman" w:hAnsi="Times New Roman" w:eastAsia="宋体" w:cs="Times New Roman"/>
                <w:color w:val="auto"/>
                <w:sz w:val="24"/>
                <w:szCs w:val="24"/>
              </w:rPr>
              <w:t>环境管控单元具体要求符合性分析见下表。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rPr>
            </w:pPr>
          </w:p>
        </w:tc>
      </w:tr>
    </w:tbl>
    <w:p>
      <w:pPr>
        <w:pStyle w:val="33"/>
        <w:sectPr>
          <w:footerReference r:id="rId7" w:type="default"/>
          <w:pgSz w:w="11906" w:h="16838"/>
          <w:pgMar w:top="1134" w:right="1134" w:bottom="1134" w:left="1134" w:header="851" w:footer="992" w:gutter="0"/>
          <w:pgNumType w:fmt="decimal" w:start="1"/>
          <w:cols w:space="425" w:num="1"/>
          <w:docGrid w:type="lines" w:linePitch="312" w:charSpace="0"/>
        </w:sectPr>
      </w:pPr>
    </w:p>
    <w:p>
      <w:pPr>
        <w:pStyle w:val="26"/>
        <w:bidi w:val="0"/>
        <w:rPr>
          <w:rFonts w:hint="default"/>
          <w:lang w:eastAsia="zh-CN"/>
        </w:rPr>
      </w:pPr>
      <w:r>
        <w:rPr>
          <w:rFonts w:hint="default"/>
          <w:lang w:eastAsia="zh-CN"/>
        </w:rPr>
        <w:t>表1-</w:t>
      </w:r>
      <w:r>
        <w:rPr>
          <w:rFonts w:hint="eastAsia"/>
          <w:lang w:val="en-US" w:eastAsia="zh-CN"/>
        </w:rPr>
        <w:t>6</w:t>
      </w:r>
      <w:r>
        <w:rPr>
          <w:rFonts w:hint="default"/>
          <w:lang w:eastAsia="zh-CN"/>
        </w:rPr>
        <w:t xml:space="preserve"> 本项目与</w:t>
      </w:r>
      <w:r>
        <w:rPr>
          <w:rFonts w:hint="eastAsia"/>
          <w:lang w:val="en-US" w:eastAsia="zh-CN"/>
        </w:rPr>
        <w:t>达州市</w:t>
      </w:r>
      <w:r>
        <w:rPr>
          <w:rFonts w:hint="default"/>
          <w:lang w:eastAsia="zh-CN"/>
        </w:rPr>
        <w:t>环境管控单元具体要求符合性分析表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720"/>
        <w:gridCol w:w="5720"/>
        <w:gridCol w:w="680"/>
        <w:gridCol w:w="4320"/>
        <w:gridCol w:w="900"/>
        <w:gridCol w:w="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noWrap w:val="0"/>
            <w:vAlign w:val="center"/>
          </w:tcPr>
          <w:p>
            <w:pPr>
              <w:pStyle w:val="22"/>
              <w:bidi w:val="0"/>
              <w:rPr>
                <w:rFonts w:hint="eastAsia"/>
                <w:b/>
                <w:bCs/>
                <w:lang w:val="en-US" w:eastAsia="zh-CN"/>
              </w:rPr>
            </w:pPr>
            <w:r>
              <w:rPr>
                <w:rFonts w:hint="default"/>
                <w:b/>
                <w:bCs/>
                <w:lang w:val="en-US" w:eastAsia="zh-CN"/>
              </w:rPr>
              <w:t>环境管控单元编码</w:t>
            </w:r>
          </w:p>
        </w:tc>
        <w:tc>
          <w:tcPr>
            <w:tcW w:w="720" w:type="dxa"/>
            <w:noWrap w:val="0"/>
            <w:vAlign w:val="center"/>
          </w:tcPr>
          <w:p>
            <w:pPr>
              <w:pStyle w:val="22"/>
              <w:bidi w:val="0"/>
              <w:rPr>
                <w:rFonts w:hint="eastAsia"/>
                <w:b/>
                <w:bCs/>
                <w:lang w:val="en-US" w:eastAsia="zh-CN"/>
              </w:rPr>
            </w:pPr>
            <w:r>
              <w:rPr>
                <w:rFonts w:hint="default"/>
                <w:b/>
                <w:bCs/>
                <w:lang w:val="en-US" w:eastAsia="zh-CN"/>
              </w:rPr>
              <w:t>环境管控单元名称</w:t>
            </w:r>
          </w:p>
        </w:tc>
        <w:tc>
          <w:tcPr>
            <w:tcW w:w="5720" w:type="dxa"/>
            <w:noWrap w:val="0"/>
            <w:vAlign w:val="center"/>
          </w:tcPr>
          <w:p>
            <w:pPr>
              <w:pStyle w:val="22"/>
              <w:bidi w:val="0"/>
              <w:rPr>
                <w:rFonts w:hint="eastAsia"/>
                <w:b/>
                <w:bCs/>
                <w:lang w:val="en-US" w:eastAsia="zh-CN"/>
              </w:rPr>
            </w:pPr>
            <w:r>
              <w:rPr>
                <w:rFonts w:hint="eastAsia"/>
                <w:b/>
                <w:bCs/>
                <w:lang w:val="en-US" w:eastAsia="zh-CN"/>
              </w:rPr>
              <w:t>广安市</w:t>
            </w:r>
            <w:r>
              <w:rPr>
                <w:rFonts w:hint="default"/>
                <w:b/>
                <w:bCs/>
                <w:lang w:val="en-US" w:eastAsia="zh-CN"/>
              </w:rPr>
              <w:t>普适性清单</w:t>
            </w:r>
          </w:p>
        </w:tc>
        <w:tc>
          <w:tcPr>
            <w:tcW w:w="680" w:type="dxa"/>
            <w:noWrap w:val="0"/>
            <w:vAlign w:val="center"/>
          </w:tcPr>
          <w:p>
            <w:pPr>
              <w:pStyle w:val="22"/>
              <w:bidi w:val="0"/>
              <w:rPr>
                <w:rFonts w:hint="eastAsia"/>
                <w:b/>
                <w:bCs/>
                <w:lang w:val="en-US" w:eastAsia="zh-CN"/>
              </w:rPr>
            </w:pPr>
            <w:r>
              <w:rPr>
                <w:rFonts w:hint="default"/>
                <w:b/>
                <w:bCs/>
                <w:lang w:val="en-US" w:eastAsia="zh-CN"/>
              </w:rPr>
              <w:t>管控类别</w:t>
            </w:r>
          </w:p>
        </w:tc>
        <w:tc>
          <w:tcPr>
            <w:tcW w:w="4320" w:type="dxa"/>
            <w:noWrap w:val="0"/>
            <w:vAlign w:val="center"/>
          </w:tcPr>
          <w:p>
            <w:pPr>
              <w:pStyle w:val="22"/>
              <w:bidi w:val="0"/>
              <w:rPr>
                <w:rFonts w:hint="eastAsia"/>
                <w:b/>
                <w:bCs/>
                <w:lang w:val="en-US" w:eastAsia="zh-CN"/>
              </w:rPr>
            </w:pPr>
            <w:r>
              <w:rPr>
                <w:rFonts w:hint="default"/>
                <w:b/>
                <w:bCs/>
                <w:lang w:val="en-US" w:eastAsia="zh-CN"/>
              </w:rPr>
              <w:t>单元特性管控要求</w:t>
            </w:r>
          </w:p>
        </w:tc>
        <w:tc>
          <w:tcPr>
            <w:tcW w:w="900" w:type="dxa"/>
            <w:noWrap w:val="0"/>
            <w:vAlign w:val="center"/>
          </w:tcPr>
          <w:p>
            <w:pPr>
              <w:pStyle w:val="22"/>
              <w:bidi w:val="0"/>
              <w:rPr>
                <w:rFonts w:hint="eastAsia"/>
                <w:b/>
                <w:bCs/>
                <w:lang w:val="en-US" w:eastAsia="zh-CN"/>
              </w:rPr>
            </w:pPr>
            <w:r>
              <w:rPr>
                <w:rFonts w:hint="default"/>
                <w:b/>
                <w:bCs/>
                <w:lang w:val="en-US" w:eastAsia="zh-CN"/>
              </w:rPr>
              <w:t>本项目情况</w:t>
            </w:r>
          </w:p>
        </w:tc>
        <w:tc>
          <w:tcPr>
            <w:tcW w:w="536" w:type="dxa"/>
            <w:noWrap w:val="0"/>
            <w:vAlign w:val="center"/>
          </w:tcPr>
          <w:p>
            <w:pPr>
              <w:pStyle w:val="22"/>
              <w:bidi w:val="0"/>
              <w:rPr>
                <w:rFonts w:hint="eastAsia"/>
                <w:b/>
                <w:bCs/>
                <w:lang w:val="en-US" w:eastAsia="zh-CN"/>
              </w:rPr>
            </w:pPr>
            <w:r>
              <w:rPr>
                <w:rFonts w:hint="default"/>
                <w:b/>
                <w:bCs/>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noWrap w:val="0"/>
            <w:vAlign w:val="center"/>
          </w:tcPr>
          <w:p>
            <w:pPr>
              <w:pStyle w:val="22"/>
              <w:bidi w:val="0"/>
              <w:rPr>
                <w:lang w:val="en-US" w:eastAsia="zh-CN"/>
              </w:rPr>
            </w:pPr>
            <w:r>
              <w:rPr>
                <w:rFonts w:hint="eastAsia"/>
                <w:lang w:val="en-US" w:eastAsia="zh-CN"/>
              </w:rPr>
              <w:t>YS5117222210001</w:t>
            </w:r>
          </w:p>
        </w:tc>
        <w:tc>
          <w:tcPr>
            <w:tcW w:w="720" w:type="dxa"/>
            <w:vMerge w:val="restart"/>
            <w:noWrap w:val="0"/>
            <w:vAlign w:val="center"/>
          </w:tcPr>
          <w:p>
            <w:pPr>
              <w:pStyle w:val="22"/>
              <w:bidi w:val="0"/>
              <w:rPr>
                <w:lang w:val="en-US" w:eastAsia="zh-CN"/>
              </w:rPr>
            </w:pPr>
            <w:r>
              <w:rPr>
                <w:rFonts w:hint="eastAsia"/>
                <w:lang w:val="en-US" w:eastAsia="zh-CN"/>
              </w:rPr>
              <w:t>州河-宣汉县-张鼓坪-控制单元</w:t>
            </w:r>
          </w:p>
        </w:tc>
        <w:tc>
          <w:tcPr>
            <w:tcW w:w="5720" w:type="dxa"/>
            <w:vMerge w:val="restart"/>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空间布局约束</w:t>
            </w:r>
          </w:p>
        </w:tc>
        <w:tc>
          <w:tcPr>
            <w:tcW w:w="4320" w:type="dxa"/>
            <w:noWrap w:val="0"/>
            <w:vAlign w:val="center"/>
          </w:tcPr>
          <w:p>
            <w:pPr>
              <w:pStyle w:val="22"/>
              <w:bidi w:val="0"/>
              <w:rPr>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严控磷铵、黄磷等产业违规新增产能加快退出不符合产业政策和环保要求、不满足安全生产条件的涉磷企业</w:t>
            </w:r>
          </w:p>
          <w:p>
            <w:pPr>
              <w:pStyle w:val="22"/>
              <w:bidi w:val="0"/>
              <w:rPr>
                <w:rFonts w:hint="eastAsia"/>
                <w:lang w:val="en-US" w:eastAsia="zh-CN"/>
              </w:rPr>
            </w:pPr>
            <w:r>
              <w:rPr>
                <w:rFonts w:hint="eastAsia"/>
                <w:lang w:val="en-US" w:eastAsia="zh-CN"/>
              </w:rPr>
              <w:t>允许开发建设活动的要求</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其他空间布局约束要求</w:t>
            </w:r>
          </w:p>
        </w:tc>
        <w:tc>
          <w:tcPr>
            <w:tcW w:w="900" w:type="dxa"/>
            <w:noWrap w:val="0"/>
            <w:vAlign w:val="center"/>
          </w:tcPr>
          <w:p>
            <w:pPr>
              <w:pStyle w:val="22"/>
              <w:bidi w:val="0"/>
              <w:rPr>
                <w:rFonts w:hint="default"/>
                <w:lang w:val="en-US" w:eastAsia="zh-CN"/>
              </w:rPr>
            </w:pPr>
            <w:r>
              <w:rPr>
                <w:rFonts w:hint="eastAsia"/>
                <w:lang w:val="en-US" w:eastAsia="zh-CN"/>
              </w:rPr>
              <w:t>本项目属于允许开发建设项目</w:t>
            </w:r>
          </w:p>
        </w:tc>
        <w:tc>
          <w:tcPr>
            <w:tcW w:w="536" w:type="dxa"/>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YS5117222210001</w:t>
            </w:r>
          </w:p>
        </w:tc>
        <w:tc>
          <w:tcPr>
            <w:tcW w:w="720" w:type="dxa"/>
            <w:vMerge w:val="continue"/>
            <w:noWrap w:val="0"/>
            <w:vAlign w:val="center"/>
          </w:tcPr>
          <w:p>
            <w:pPr>
              <w:pStyle w:val="22"/>
              <w:bidi w:val="0"/>
              <w:rPr>
                <w:lang w:val="en-US" w:eastAsia="zh-CN"/>
              </w:rPr>
            </w:pPr>
            <w:r>
              <w:rPr>
                <w:rFonts w:hint="eastAsia"/>
                <w:lang w:val="en-US" w:eastAsia="zh-CN"/>
              </w:rPr>
              <w:t>州河-宣汉县-张鼓坪-控制单元</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污染物排放管控</w:t>
            </w:r>
          </w:p>
        </w:tc>
        <w:tc>
          <w:tcPr>
            <w:tcW w:w="4320" w:type="dxa"/>
            <w:noWrap w:val="0"/>
            <w:vAlign w:val="center"/>
          </w:tcPr>
          <w:p>
            <w:pPr>
              <w:pStyle w:val="22"/>
              <w:bidi w:val="0"/>
              <w:rPr>
                <w:lang w:val="en-US" w:eastAsia="zh-CN"/>
              </w:rPr>
            </w:pPr>
            <w:r>
              <w:rPr>
                <w:rFonts w:hint="eastAsia"/>
                <w:lang w:val="en-US" w:eastAsia="zh-CN"/>
              </w:rPr>
              <w:t>城镇污水污染控制措施要求</w:t>
            </w:r>
          </w:p>
          <w:p>
            <w:pPr>
              <w:pStyle w:val="22"/>
              <w:bidi w:val="0"/>
              <w:rPr>
                <w:rFonts w:hint="eastAsia"/>
                <w:lang w:val="en-US" w:eastAsia="zh-CN"/>
              </w:rPr>
            </w:pPr>
            <w:r>
              <w:rPr>
                <w:rFonts w:hint="eastAsia"/>
                <w:lang w:val="en-US" w:eastAsia="zh-CN"/>
              </w:rPr>
              <w:t>工业废水污染控制措施要求</w:t>
            </w:r>
          </w:p>
          <w:p>
            <w:pPr>
              <w:pStyle w:val="22"/>
              <w:bidi w:val="0"/>
              <w:rPr>
                <w:rFonts w:hint="eastAsia"/>
                <w:lang w:val="en-US" w:eastAsia="zh-CN"/>
              </w:rPr>
            </w:pPr>
            <w:r>
              <w:rPr>
                <w:rFonts w:hint="eastAsia"/>
                <w:lang w:val="en-US" w:eastAsia="zh-CN"/>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化工园区应按照分类收集，分质处理的要求，配备专业化工生产废水集中处理设施（独立建设或依托骨干企业）及专管或明管输送的配套管网，化工生产废水纳管率达到100%；入河排污口设置应符合相关规定。4、加强工业园区集中污水处理设施运行监管，强企业废水预处理和排水管理，鼓励纳管企业与园区污水处理厂运营单位通过签订委托处理合同等方式协同处理废水。5、加强新化学物质环境管理，严格执行《新化学物质环境管理登记办法》,落实企业新化学物质环境风险防控主体责任。落实国家《优先控制化学品名录（第一批）》《优先控制化学品名录（第二批）》《重点管控新污染物清单（2023年版）》环境风险管控措施。</w:t>
            </w:r>
          </w:p>
          <w:p>
            <w:pPr>
              <w:pStyle w:val="22"/>
              <w:bidi w:val="0"/>
              <w:rPr>
                <w:rFonts w:hint="eastAsia"/>
                <w:lang w:val="en-US" w:eastAsia="zh-CN"/>
              </w:rPr>
            </w:pPr>
            <w:r>
              <w:rPr>
                <w:rFonts w:hint="eastAsia"/>
                <w:lang w:val="en-US" w:eastAsia="zh-CN"/>
              </w:rPr>
              <w:t>农业面源水污染控制措施要求</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船舶港口水污染控制措施要求</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饮用水水源和其它特殊水体保护要求</w:t>
            </w:r>
          </w:p>
        </w:tc>
        <w:tc>
          <w:tcPr>
            <w:tcW w:w="900" w:type="dxa"/>
            <w:noWrap w:val="0"/>
            <w:vAlign w:val="center"/>
          </w:tcPr>
          <w:p>
            <w:pPr>
              <w:pStyle w:val="22"/>
              <w:bidi w:val="0"/>
              <w:rPr>
                <w:rFonts w:hint="eastAsia"/>
                <w:lang w:val="en-US" w:eastAsia="zh-CN"/>
              </w:rPr>
            </w:pPr>
            <w:r>
              <w:rPr>
                <w:rFonts w:hint="eastAsia"/>
                <w:lang w:val="en-US" w:eastAsia="zh-CN"/>
              </w:rPr>
              <w:t>本项目废水经处理达标后排入园区管网，经园区污水处理厂处理达标后排放。本项目VOCs经治理后，排放量较小</w:t>
            </w:r>
          </w:p>
        </w:tc>
        <w:tc>
          <w:tcPr>
            <w:tcW w:w="536" w:type="dxa"/>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YS5117222210001</w:t>
            </w:r>
          </w:p>
        </w:tc>
        <w:tc>
          <w:tcPr>
            <w:tcW w:w="720" w:type="dxa"/>
            <w:vMerge w:val="continue"/>
            <w:noWrap w:val="0"/>
            <w:vAlign w:val="center"/>
          </w:tcPr>
          <w:p>
            <w:pPr>
              <w:pStyle w:val="22"/>
              <w:bidi w:val="0"/>
              <w:rPr>
                <w:lang w:val="en-US" w:eastAsia="zh-CN"/>
              </w:rPr>
            </w:pPr>
            <w:r>
              <w:rPr>
                <w:rFonts w:hint="eastAsia"/>
                <w:lang w:val="en-US" w:eastAsia="zh-CN"/>
              </w:rPr>
              <w:t>州河-宣汉县-张鼓坪-控制单元</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环境风险防控</w:t>
            </w:r>
          </w:p>
        </w:tc>
        <w:tc>
          <w:tcPr>
            <w:tcW w:w="4320" w:type="dxa"/>
            <w:noWrap w:val="0"/>
            <w:vAlign w:val="center"/>
          </w:tcPr>
          <w:p>
            <w:pPr>
              <w:pStyle w:val="22"/>
              <w:bidi w:val="0"/>
              <w:rPr>
                <w:lang w:val="en-US" w:eastAsia="zh-CN"/>
              </w:rPr>
            </w:pPr>
            <w:r>
              <w:rPr>
                <w:rFonts w:hint="eastAsia"/>
                <w:lang w:val="en-US" w:eastAsia="zh-CN"/>
              </w:rPr>
              <w:t>禁止在长江干支流岸线一公里范围内新建、扩建化工园区和化工项目。按要求设置生态隔离带，建设相应的防护工程。合理设置与抗风险能力相匹配的事故调蓄设施和环境应急措施；化工园区应建设园区事故废水防控系统，做好事故废水的收集、暂存和处理，并在污水处理厂排口下游配置水质自动监测设施等预警设施，强化风险预警。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900" w:type="dxa"/>
            <w:noWrap w:val="0"/>
            <w:vAlign w:val="center"/>
          </w:tcPr>
          <w:p>
            <w:pPr>
              <w:pStyle w:val="22"/>
              <w:bidi w:val="0"/>
              <w:rPr>
                <w:rFonts w:hint="default"/>
                <w:lang w:val="en-US" w:eastAsia="zh-CN"/>
              </w:rPr>
            </w:pPr>
            <w:r>
              <w:rPr>
                <w:rFonts w:hint="eastAsia"/>
                <w:lang w:val="en-US" w:eastAsia="zh-CN"/>
              </w:rPr>
              <w:t>本项目不在长江干支流岸线一公里范围内</w:t>
            </w:r>
          </w:p>
        </w:tc>
        <w:tc>
          <w:tcPr>
            <w:tcW w:w="536" w:type="dxa"/>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YS5117222210001</w:t>
            </w:r>
          </w:p>
        </w:tc>
        <w:tc>
          <w:tcPr>
            <w:tcW w:w="720" w:type="dxa"/>
            <w:vMerge w:val="continue"/>
            <w:noWrap w:val="0"/>
            <w:vAlign w:val="center"/>
          </w:tcPr>
          <w:p>
            <w:pPr>
              <w:pStyle w:val="22"/>
              <w:bidi w:val="0"/>
              <w:rPr>
                <w:lang w:val="en-US" w:eastAsia="zh-CN"/>
              </w:rPr>
            </w:pPr>
            <w:r>
              <w:rPr>
                <w:rFonts w:hint="eastAsia"/>
                <w:lang w:val="en-US" w:eastAsia="zh-CN"/>
              </w:rPr>
              <w:t>州河-宣汉县-张鼓坪-控制单元</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资源开发效率要求</w:t>
            </w:r>
          </w:p>
        </w:tc>
        <w:tc>
          <w:tcPr>
            <w:tcW w:w="4320" w:type="dxa"/>
            <w:noWrap w:val="0"/>
            <w:vAlign w:val="center"/>
          </w:tcPr>
          <w:p>
            <w:pPr>
              <w:pStyle w:val="22"/>
              <w:bidi w:val="0"/>
              <w:rPr>
                <w:lang w:val="en-US" w:eastAsia="zh-CN"/>
              </w:rPr>
            </w:pPr>
            <w:r>
              <w:rPr>
                <w:rFonts w:hint="eastAsia"/>
                <w:lang w:val="en-US" w:eastAsia="zh-CN"/>
              </w:rPr>
              <w:t>加强高耗水行业用水定额管理，以水定产，严格控制高耗水新建、改建、扩建项目。</w:t>
            </w:r>
          </w:p>
        </w:tc>
        <w:tc>
          <w:tcPr>
            <w:tcW w:w="900" w:type="dxa"/>
            <w:noWrap w:val="0"/>
            <w:vAlign w:val="center"/>
          </w:tcPr>
          <w:p>
            <w:pPr>
              <w:pStyle w:val="22"/>
              <w:bidi w:val="0"/>
              <w:rPr>
                <w:rFonts w:hint="default"/>
                <w:lang w:val="en-US" w:eastAsia="zh-CN"/>
              </w:rPr>
            </w:pPr>
            <w:r>
              <w:rPr>
                <w:rFonts w:hint="eastAsia"/>
                <w:lang w:val="en-US" w:eastAsia="zh-CN"/>
              </w:rPr>
              <w:t>本项目用水量符合要求</w:t>
            </w:r>
          </w:p>
        </w:tc>
        <w:tc>
          <w:tcPr>
            <w:tcW w:w="536" w:type="dxa"/>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noWrap w:val="0"/>
            <w:vAlign w:val="center"/>
          </w:tcPr>
          <w:p>
            <w:pPr>
              <w:pStyle w:val="22"/>
              <w:bidi w:val="0"/>
              <w:rPr>
                <w:lang w:val="en-US" w:eastAsia="zh-CN"/>
              </w:rPr>
            </w:pPr>
            <w:r>
              <w:rPr>
                <w:rFonts w:hint="eastAsia"/>
                <w:lang w:val="en-US" w:eastAsia="zh-CN"/>
              </w:rPr>
              <w:t>YS5117222310001</w:t>
            </w:r>
          </w:p>
        </w:tc>
        <w:tc>
          <w:tcPr>
            <w:tcW w:w="720" w:type="dxa"/>
            <w:vMerge w:val="restart"/>
            <w:noWrap w:val="0"/>
            <w:vAlign w:val="center"/>
          </w:tcPr>
          <w:p>
            <w:pPr>
              <w:pStyle w:val="22"/>
              <w:bidi w:val="0"/>
              <w:rPr>
                <w:lang w:val="en-US" w:eastAsia="zh-CN"/>
              </w:rPr>
            </w:pPr>
            <w:r>
              <w:rPr>
                <w:rFonts w:hint="eastAsia"/>
                <w:lang w:val="en-US" w:eastAsia="zh-CN"/>
              </w:rPr>
              <w:t>四川达州普光经济开发区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空间布局约束</w:t>
            </w:r>
          </w:p>
        </w:tc>
        <w:tc>
          <w:tcPr>
            <w:tcW w:w="4320" w:type="dxa"/>
            <w:noWrap w:val="0"/>
            <w:vAlign w:val="center"/>
          </w:tcPr>
          <w:p>
            <w:pPr>
              <w:pStyle w:val="22"/>
              <w:bidi w:val="0"/>
              <w:rPr>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允许开发建设活动的要求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w:t>
            </w:r>
          </w:p>
        </w:tc>
        <w:tc>
          <w:tcPr>
            <w:tcW w:w="900" w:type="dxa"/>
            <w:noWrap w:val="0"/>
            <w:vAlign w:val="center"/>
          </w:tcPr>
          <w:p>
            <w:pPr>
              <w:pStyle w:val="22"/>
              <w:bidi w:val="0"/>
              <w:rPr>
                <w:rFonts w:hint="eastAsia"/>
                <w:lang w:val="en-US" w:eastAsia="zh-CN"/>
              </w:rPr>
            </w:pPr>
            <w:r>
              <w:rPr>
                <w:rFonts w:hint="eastAsia"/>
                <w:lang w:val="en-US" w:eastAsia="zh-CN"/>
              </w:rPr>
              <w:t>本项目属于允许开发建设项目</w:t>
            </w:r>
          </w:p>
        </w:tc>
        <w:tc>
          <w:tcPr>
            <w:tcW w:w="536" w:type="dxa"/>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YS5117222310001</w:t>
            </w:r>
          </w:p>
        </w:tc>
        <w:tc>
          <w:tcPr>
            <w:tcW w:w="720" w:type="dxa"/>
            <w:vMerge w:val="continue"/>
            <w:noWrap w:val="0"/>
            <w:vAlign w:val="center"/>
          </w:tcPr>
          <w:p>
            <w:pPr>
              <w:pStyle w:val="22"/>
              <w:bidi w:val="0"/>
              <w:rPr>
                <w:lang w:val="en-US" w:eastAsia="zh-CN"/>
              </w:rPr>
            </w:pPr>
            <w:r>
              <w:rPr>
                <w:rFonts w:hint="eastAsia"/>
                <w:lang w:val="en-US" w:eastAsia="zh-CN"/>
              </w:rPr>
              <w:t>四川达州普光经济开发区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污染物排放管控</w:t>
            </w:r>
          </w:p>
        </w:tc>
        <w:tc>
          <w:tcPr>
            <w:tcW w:w="4320" w:type="dxa"/>
            <w:noWrap w:val="0"/>
            <w:vAlign w:val="center"/>
          </w:tcPr>
          <w:p>
            <w:pPr>
              <w:pStyle w:val="22"/>
              <w:bidi w:val="0"/>
              <w:rPr>
                <w:lang w:val="en-US" w:eastAsia="zh-CN"/>
              </w:rPr>
            </w:pPr>
            <w:r>
              <w:rPr>
                <w:rFonts w:hint="eastAsia"/>
                <w:lang w:val="en-US" w:eastAsia="zh-CN"/>
              </w:rPr>
              <w:t>大气环境质量执行标准</w:t>
            </w:r>
          </w:p>
          <w:p>
            <w:pPr>
              <w:pStyle w:val="22"/>
              <w:bidi w:val="0"/>
              <w:rPr>
                <w:rFonts w:hint="eastAsia"/>
                <w:lang w:val="en-US" w:eastAsia="zh-CN"/>
              </w:rPr>
            </w:pPr>
            <w:r>
              <w:rPr>
                <w:rFonts w:hint="eastAsia"/>
                <w:lang w:val="en-US" w:eastAsia="zh-CN"/>
              </w:rPr>
              <w:t>《环境空气质量标准》（GB3095-2012）：二级</w:t>
            </w:r>
          </w:p>
          <w:p>
            <w:pPr>
              <w:pStyle w:val="22"/>
              <w:bidi w:val="0"/>
              <w:rPr>
                <w:rFonts w:hint="eastAsia"/>
                <w:lang w:val="en-US" w:eastAsia="zh-CN"/>
              </w:rPr>
            </w:pPr>
            <w:r>
              <w:rPr>
                <w:rFonts w:hint="eastAsia"/>
                <w:lang w:val="en-US" w:eastAsia="zh-CN"/>
              </w:rPr>
              <w:t>区域大气污染物削减/替代要求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燃煤和其他能源大气污染控制要求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工业废气污染控制要求</w:t>
            </w:r>
          </w:p>
          <w:p>
            <w:pPr>
              <w:pStyle w:val="22"/>
              <w:bidi w:val="0"/>
              <w:rPr>
                <w:rFonts w:hint="eastAsia"/>
                <w:lang w:val="en-US" w:eastAsia="zh-CN"/>
              </w:rPr>
            </w:pPr>
            <w:r>
              <w:rPr>
                <w:rFonts w:hint="eastAsia"/>
                <w:lang w:val="en-US" w:eastAsia="zh-CN"/>
              </w:rPr>
              <w:t>1、全面淘汰10蒸吨/小时及以下燃煤锅炉，原则上不再新建35蒸吨/小时及以下的燃煤锅炉，推进县级及以上城市建成区淘汰35蒸吨/小时及以下燃煤锅炉，以工业余热、电厂热力、清洁能源等替代煤炭。</w:t>
            </w:r>
          </w:p>
          <w:p>
            <w:pPr>
              <w:pStyle w:val="22"/>
              <w:bidi w:val="0"/>
              <w:rPr>
                <w:rFonts w:hint="eastAsia"/>
                <w:lang w:val="en-US" w:eastAsia="zh-CN"/>
              </w:rPr>
            </w:pPr>
            <w:r>
              <w:rPr>
                <w:rFonts w:hint="eastAsia"/>
                <w:lang w:val="en-US" w:eastAsia="zh-CN"/>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22"/>
              <w:bidi w:val="0"/>
              <w:rPr>
                <w:rFonts w:hint="eastAsia"/>
                <w:lang w:val="en-US" w:eastAsia="zh-CN"/>
              </w:rPr>
            </w:pPr>
            <w:r>
              <w:rPr>
                <w:rFonts w:hint="eastAsia"/>
                <w:lang w:val="en-US" w:eastAsia="zh-CN"/>
              </w:rPr>
              <w:t>机动车船大气污染控制要求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扬尘污染控制要求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农业生产经营活动大气污染控制要求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重点行业企业专项治理要求</w:t>
            </w:r>
          </w:p>
          <w:p>
            <w:pPr>
              <w:pStyle w:val="22"/>
              <w:bidi w:val="0"/>
              <w:rPr>
                <w:rFonts w:hint="eastAsia"/>
                <w:lang w:val="en-US" w:eastAsia="zh-CN"/>
              </w:rPr>
            </w:pPr>
            <w:r>
              <w:rPr>
                <w:rFonts w:hint="eastAsia"/>
                <w:lang w:val="en-US" w:eastAsia="zh-CN"/>
              </w:rPr>
              <w:t>加快实施低VOCs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pPr>
              <w:pStyle w:val="22"/>
              <w:bidi w:val="0"/>
              <w:rPr>
                <w:rFonts w:hint="eastAsia"/>
                <w:lang w:val="en-US" w:eastAsia="zh-CN"/>
              </w:rPr>
            </w:pPr>
            <w:r>
              <w:rPr>
                <w:rFonts w:hint="eastAsia"/>
                <w:lang w:val="en-US" w:eastAsia="zh-CN"/>
              </w:rPr>
              <w:t>其他大气污染物排放管控要求</w:t>
            </w:r>
          </w:p>
          <w:p>
            <w:pPr>
              <w:pStyle w:val="22"/>
              <w:bidi w:val="0"/>
              <w:rPr>
                <w:rFonts w:hint="eastAsia"/>
                <w:lang w:val="en-US" w:eastAsia="zh-CN"/>
              </w:rPr>
            </w:pPr>
            <w:r>
              <w:rPr>
                <w:rFonts w:hint="eastAsia"/>
                <w:lang w:val="en-US" w:eastAsia="zh-CN"/>
              </w:rPr>
              <w:t>/</w:t>
            </w:r>
          </w:p>
        </w:tc>
        <w:tc>
          <w:tcPr>
            <w:tcW w:w="900" w:type="dxa"/>
            <w:noWrap w:val="0"/>
            <w:vAlign w:val="center"/>
          </w:tcPr>
          <w:p>
            <w:pPr>
              <w:pStyle w:val="22"/>
              <w:bidi w:val="0"/>
              <w:rPr>
                <w:rFonts w:hint="eastAsia"/>
                <w:lang w:val="en-US" w:eastAsia="zh-CN"/>
              </w:rPr>
            </w:pPr>
            <w:r>
              <w:rPr>
                <w:rFonts w:hint="eastAsia"/>
                <w:lang w:val="en-US" w:eastAsia="zh-CN"/>
              </w:rPr>
              <w:t>本项目废水经处理达标后排入园区管网，经园区污水处理厂处理达标后排放。本项目VOCs经治理后，排放量较小</w:t>
            </w:r>
          </w:p>
        </w:tc>
        <w:tc>
          <w:tcPr>
            <w:tcW w:w="536" w:type="dxa"/>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YS5117222310001</w:t>
            </w:r>
          </w:p>
        </w:tc>
        <w:tc>
          <w:tcPr>
            <w:tcW w:w="720" w:type="dxa"/>
            <w:vMerge w:val="continue"/>
            <w:noWrap w:val="0"/>
            <w:vAlign w:val="center"/>
          </w:tcPr>
          <w:p>
            <w:pPr>
              <w:pStyle w:val="22"/>
              <w:bidi w:val="0"/>
              <w:rPr>
                <w:lang w:val="en-US" w:eastAsia="zh-CN"/>
              </w:rPr>
            </w:pPr>
            <w:r>
              <w:rPr>
                <w:rFonts w:hint="eastAsia"/>
                <w:lang w:val="en-US" w:eastAsia="zh-CN"/>
              </w:rPr>
              <w:t>四川达州普光经济开发区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环境风险防控</w:t>
            </w:r>
          </w:p>
        </w:tc>
        <w:tc>
          <w:tcPr>
            <w:tcW w:w="4320" w:type="dxa"/>
            <w:vMerge w:val="restart"/>
            <w:noWrap w:val="0"/>
            <w:vAlign w:val="center"/>
          </w:tcPr>
          <w:p>
            <w:pPr>
              <w:pStyle w:val="22"/>
              <w:bidi w:val="0"/>
              <w:rPr>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w:t>
            </w:r>
          </w:p>
        </w:tc>
        <w:tc>
          <w:tcPr>
            <w:tcW w:w="536" w:type="dxa"/>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YS5117222310001</w:t>
            </w:r>
          </w:p>
        </w:tc>
        <w:tc>
          <w:tcPr>
            <w:tcW w:w="720" w:type="dxa"/>
            <w:vMerge w:val="continue"/>
            <w:noWrap w:val="0"/>
            <w:vAlign w:val="center"/>
          </w:tcPr>
          <w:p>
            <w:pPr>
              <w:pStyle w:val="22"/>
              <w:bidi w:val="0"/>
              <w:rPr>
                <w:lang w:val="en-US" w:eastAsia="zh-CN"/>
              </w:rPr>
            </w:pPr>
            <w:r>
              <w:rPr>
                <w:rFonts w:hint="eastAsia"/>
                <w:lang w:val="en-US" w:eastAsia="zh-CN"/>
              </w:rPr>
              <w:t>四川达州普光经济开发区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资源开发效率要求</w:t>
            </w:r>
          </w:p>
        </w:tc>
        <w:tc>
          <w:tcPr>
            <w:tcW w:w="4320" w:type="dxa"/>
            <w:vMerge w:val="continue"/>
            <w:noWrap w:val="0"/>
            <w:vAlign w:val="center"/>
          </w:tcPr>
          <w:p>
            <w:pPr>
              <w:pStyle w:val="22"/>
              <w:bidi w:val="0"/>
              <w:rPr>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w:t>
            </w:r>
          </w:p>
        </w:tc>
        <w:tc>
          <w:tcPr>
            <w:tcW w:w="536" w:type="dxa"/>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noWrap w:val="0"/>
            <w:vAlign w:val="center"/>
          </w:tcPr>
          <w:p>
            <w:pPr>
              <w:pStyle w:val="22"/>
              <w:bidi w:val="0"/>
              <w:rPr>
                <w:lang w:val="en-US" w:eastAsia="zh-CN"/>
              </w:rPr>
            </w:pPr>
            <w:r>
              <w:rPr>
                <w:rFonts w:hint="eastAsia"/>
                <w:lang w:val="en-US" w:eastAsia="zh-CN"/>
              </w:rPr>
              <w:t>YS5117222530001</w:t>
            </w:r>
          </w:p>
        </w:tc>
        <w:tc>
          <w:tcPr>
            <w:tcW w:w="720" w:type="dxa"/>
            <w:vMerge w:val="restart"/>
            <w:noWrap w:val="0"/>
            <w:vAlign w:val="center"/>
          </w:tcPr>
          <w:p>
            <w:pPr>
              <w:pStyle w:val="22"/>
              <w:bidi w:val="0"/>
              <w:rPr>
                <w:lang w:val="en-US" w:eastAsia="zh-CN"/>
              </w:rPr>
            </w:pPr>
            <w:r>
              <w:rPr>
                <w:rFonts w:hint="eastAsia"/>
                <w:lang w:val="en-US" w:eastAsia="zh-CN"/>
              </w:rPr>
              <w:t>宣汉县城镇开发边界</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空间布局约束</w:t>
            </w:r>
          </w:p>
        </w:tc>
        <w:tc>
          <w:tcPr>
            <w:tcW w:w="4320" w:type="dxa"/>
            <w:noWrap w:val="0"/>
            <w:vAlign w:val="center"/>
          </w:tcPr>
          <w:p>
            <w:pPr>
              <w:pStyle w:val="22"/>
              <w:bidi w:val="0"/>
              <w:rPr>
                <w:lang w:val="en-US" w:eastAsia="zh-CN"/>
              </w:rPr>
            </w:pPr>
            <w:r>
              <w:rPr>
                <w:rFonts w:hint="eastAsia"/>
                <w:lang w:val="en-US" w:eastAsia="zh-CN"/>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900" w:type="dxa"/>
            <w:noWrap w:val="0"/>
            <w:vAlign w:val="center"/>
          </w:tcPr>
          <w:p>
            <w:pPr>
              <w:pStyle w:val="22"/>
              <w:bidi w:val="0"/>
              <w:rPr>
                <w:rFonts w:hint="eastAsia"/>
                <w:lang w:val="en-US" w:eastAsia="zh-CN"/>
              </w:rPr>
            </w:pPr>
            <w:r>
              <w:rPr>
                <w:rFonts w:hint="eastAsia"/>
                <w:lang w:val="en-US" w:eastAsia="zh-CN"/>
              </w:rPr>
              <w:t>本项目属于允许开发建设项目</w:t>
            </w:r>
          </w:p>
        </w:tc>
        <w:tc>
          <w:tcPr>
            <w:tcW w:w="536" w:type="dxa"/>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YS5117222530001</w:t>
            </w:r>
          </w:p>
        </w:tc>
        <w:tc>
          <w:tcPr>
            <w:tcW w:w="720" w:type="dxa"/>
            <w:vMerge w:val="continue"/>
            <w:noWrap w:val="0"/>
            <w:vAlign w:val="center"/>
          </w:tcPr>
          <w:p>
            <w:pPr>
              <w:pStyle w:val="22"/>
              <w:bidi w:val="0"/>
              <w:rPr>
                <w:lang w:val="en-US" w:eastAsia="zh-CN"/>
              </w:rPr>
            </w:pPr>
            <w:r>
              <w:rPr>
                <w:rFonts w:hint="eastAsia"/>
                <w:lang w:val="en-US" w:eastAsia="zh-CN"/>
              </w:rPr>
              <w:t>宣汉县城镇开发边界</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污染物排放管控</w:t>
            </w:r>
          </w:p>
        </w:tc>
        <w:tc>
          <w:tcPr>
            <w:tcW w:w="4320" w:type="dxa"/>
            <w:vMerge w:val="restart"/>
            <w:noWrap w:val="0"/>
            <w:vAlign w:val="center"/>
          </w:tcPr>
          <w:p>
            <w:pPr>
              <w:pStyle w:val="22"/>
              <w:bidi w:val="0"/>
              <w:rPr>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w:t>
            </w:r>
          </w:p>
        </w:tc>
        <w:tc>
          <w:tcPr>
            <w:tcW w:w="536" w:type="dxa"/>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YS5117222530001</w:t>
            </w:r>
          </w:p>
        </w:tc>
        <w:tc>
          <w:tcPr>
            <w:tcW w:w="720" w:type="dxa"/>
            <w:vMerge w:val="continue"/>
            <w:noWrap w:val="0"/>
            <w:vAlign w:val="center"/>
          </w:tcPr>
          <w:p>
            <w:pPr>
              <w:pStyle w:val="22"/>
              <w:bidi w:val="0"/>
              <w:rPr>
                <w:lang w:val="en-US" w:eastAsia="zh-CN"/>
              </w:rPr>
            </w:pPr>
            <w:r>
              <w:rPr>
                <w:rFonts w:hint="eastAsia"/>
                <w:lang w:val="en-US" w:eastAsia="zh-CN"/>
              </w:rPr>
              <w:t>宣汉县城镇开发边界</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环境风险防控</w:t>
            </w:r>
          </w:p>
        </w:tc>
        <w:tc>
          <w:tcPr>
            <w:tcW w:w="4320" w:type="dxa"/>
            <w:vMerge w:val="continue"/>
            <w:noWrap w:val="0"/>
            <w:vAlign w:val="center"/>
          </w:tcPr>
          <w:p>
            <w:pPr>
              <w:pStyle w:val="22"/>
              <w:bidi w:val="0"/>
              <w:rPr>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w:t>
            </w:r>
          </w:p>
        </w:tc>
        <w:tc>
          <w:tcPr>
            <w:tcW w:w="536" w:type="dxa"/>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YS5117222530001</w:t>
            </w:r>
          </w:p>
        </w:tc>
        <w:tc>
          <w:tcPr>
            <w:tcW w:w="720" w:type="dxa"/>
            <w:vMerge w:val="continue"/>
            <w:noWrap w:val="0"/>
            <w:vAlign w:val="center"/>
          </w:tcPr>
          <w:p>
            <w:pPr>
              <w:pStyle w:val="22"/>
              <w:bidi w:val="0"/>
              <w:rPr>
                <w:lang w:val="en-US" w:eastAsia="zh-CN"/>
              </w:rPr>
            </w:pPr>
            <w:r>
              <w:rPr>
                <w:rFonts w:hint="eastAsia"/>
                <w:lang w:val="en-US" w:eastAsia="zh-CN"/>
              </w:rPr>
              <w:t>宣汉县城镇开发边界</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资源开发效率要求</w:t>
            </w:r>
          </w:p>
        </w:tc>
        <w:tc>
          <w:tcPr>
            <w:tcW w:w="4320" w:type="dxa"/>
            <w:noWrap w:val="0"/>
            <w:vAlign w:val="center"/>
          </w:tcPr>
          <w:p>
            <w:pPr>
              <w:pStyle w:val="22"/>
              <w:bidi w:val="0"/>
              <w:rPr>
                <w:lang w:val="en-US" w:eastAsia="zh-CN"/>
              </w:rPr>
            </w:pPr>
            <w:r>
              <w:rPr>
                <w:rFonts w:hint="eastAsia"/>
                <w:lang w:val="en-US" w:eastAsia="zh-CN"/>
              </w:rPr>
              <w:t>土地资源开发效率要求</w:t>
            </w:r>
          </w:p>
          <w:p>
            <w:pPr>
              <w:pStyle w:val="22"/>
              <w:bidi w:val="0"/>
              <w:rPr>
                <w:rFonts w:hint="eastAsia"/>
                <w:lang w:val="en-US" w:eastAsia="zh-CN"/>
              </w:rPr>
            </w:pPr>
            <w:r>
              <w:rPr>
                <w:rFonts w:hint="eastAsia"/>
                <w:lang w:val="en-US" w:eastAsia="zh-CN"/>
              </w:rPr>
              <w:t>土地资源开发利用量不得超过土地资源利用上线控制性指标。</w:t>
            </w:r>
          </w:p>
          <w:p>
            <w:pPr>
              <w:pStyle w:val="22"/>
              <w:bidi w:val="0"/>
              <w:rPr>
                <w:rFonts w:hint="eastAsia"/>
                <w:lang w:val="en-US" w:eastAsia="zh-CN"/>
              </w:rPr>
            </w:pPr>
            <w:r>
              <w:rPr>
                <w:rFonts w:hint="eastAsia"/>
                <w:lang w:val="en-US" w:eastAsia="zh-CN"/>
              </w:rPr>
              <w:t>能源资源开发效率要求</w:t>
            </w:r>
          </w:p>
          <w:p>
            <w:pPr>
              <w:pStyle w:val="22"/>
              <w:bidi w:val="0"/>
              <w:rPr>
                <w:rFonts w:hint="eastAsia"/>
                <w:lang w:val="en-US" w:eastAsia="zh-CN"/>
              </w:rPr>
            </w:pPr>
            <w:r>
              <w:rPr>
                <w:rFonts w:hint="eastAsia"/>
                <w:lang w:val="en-US" w:eastAsia="zh-CN"/>
              </w:rPr>
              <w:t>其他资源开发效率要求</w:t>
            </w:r>
          </w:p>
        </w:tc>
        <w:tc>
          <w:tcPr>
            <w:tcW w:w="900" w:type="dxa"/>
            <w:noWrap w:val="0"/>
            <w:vAlign w:val="center"/>
          </w:tcPr>
          <w:p>
            <w:pPr>
              <w:pStyle w:val="22"/>
              <w:bidi w:val="0"/>
              <w:rPr>
                <w:rFonts w:hint="default"/>
                <w:lang w:val="en-US" w:eastAsia="zh-CN"/>
              </w:rPr>
            </w:pPr>
            <w:r>
              <w:rPr>
                <w:rFonts w:hint="eastAsia"/>
                <w:lang w:val="en-US" w:eastAsia="zh-CN"/>
              </w:rPr>
              <w:t>本项目用地符合规划</w:t>
            </w:r>
          </w:p>
        </w:tc>
        <w:tc>
          <w:tcPr>
            <w:tcW w:w="536" w:type="dxa"/>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noWrap w:val="0"/>
            <w:vAlign w:val="center"/>
          </w:tcPr>
          <w:p>
            <w:pPr>
              <w:pStyle w:val="22"/>
              <w:bidi w:val="0"/>
              <w:rPr>
                <w:lang w:val="en-US" w:eastAsia="zh-CN"/>
              </w:rPr>
            </w:pPr>
            <w:r>
              <w:rPr>
                <w:rFonts w:hint="eastAsia"/>
                <w:lang w:val="en-US" w:eastAsia="zh-CN"/>
              </w:rPr>
              <w:t>YS5117222550001</w:t>
            </w:r>
          </w:p>
        </w:tc>
        <w:tc>
          <w:tcPr>
            <w:tcW w:w="720" w:type="dxa"/>
            <w:vMerge w:val="restart"/>
            <w:noWrap w:val="0"/>
            <w:vAlign w:val="center"/>
          </w:tcPr>
          <w:p>
            <w:pPr>
              <w:pStyle w:val="22"/>
              <w:bidi w:val="0"/>
              <w:rPr>
                <w:lang w:val="en-US" w:eastAsia="zh-CN"/>
              </w:rPr>
            </w:pPr>
            <w:r>
              <w:rPr>
                <w:rFonts w:hint="eastAsia"/>
                <w:lang w:val="en-US" w:eastAsia="zh-CN"/>
              </w:rPr>
              <w:t>宣汉县自然资源重点管控区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空间布局约束</w:t>
            </w:r>
          </w:p>
        </w:tc>
        <w:tc>
          <w:tcPr>
            <w:tcW w:w="4320" w:type="dxa"/>
            <w:vMerge w:val="restart"/>
            <w:noWrap w:val="0"/>
            <w:vAlign w:val="center"/>
          </w:tcPr>
          <w:p>
            <w:pPr>
              <w:pStyle w:val="22"/>
              <w:bidi w:val="0"/>
              <w:rPr>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w:t>
            </w:r>
          </w:p>
        </w:tc>
        <w:tc>
          <w:tcPr>
            <w:tcW w:w="536" w:type="dxa"/>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YS5117222550001</w:t>
            </w:r>
          </w:p>
        </w:tc>
        <w:tc>
          <w:tcPr>
            <w:tcW w:w="720" w:type="dxa"/>
            <w:vMerge w:val="continue"/>
            <w:noWrap w:val="0"/>
            <w:vAlign w:val="center"/>
          </w:tcPr>
          <w:p>
            <w:pPr>
              <w:pStyle w:val="22"/>
              <w:bidi w:val="0"/>
              <w:rPr>
                <w:lang w:val="en-US" w:eastAsia="zh-CN"/>
              </w:rPr>
            </w:pPr>
            <w:r>
              <w:rPr>
                <w:rFonts w:hint="eastAsia"/>
                <w:lang w:val="en-US" w:eastAsia="zh-CN"/>
              </w:rPr>
              <w:t>宣汉县自然资源重点管控区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污染物排放管控</w:t>
            </w:r>
          </w:p>
        </w:tc>
        <w:tc>
          <w:tcPr>
            <w:tcW w:w="4320" w:type="dxa"/>
            <w:vMerge w:val="continue"/>
            <w:noWrap w:val="0"/>
            <w:vAlign w:val="center"/>
          </w:tcPr>
          <w:p>
            <w:pPr>
              <w:pStyle w:val="22"/>
              <w:bidi w:val="0"/>
              <w:rPr>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w:t>
            </w:r>
          </w:p>
        </w:tc>
        <w:tc>
          <w:tcPr>
            <w:tcW w:w="536" w:type="dxa"/>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YS5117222550001</w:t>
            </w:r>
          </w:p>
        </w:tc>
        <w:tc>
          <w:tcPr>
            <w:tcW w:w="720" w:type="dxa"/>
            <w:vMerge w:val="continue"/>
            <w:noWrap w:val="0"/>
            <w:vAlign w:val="center"/>
          </w:tcPr>
          <w:p>
            <w:pPr>
              <w:pStyle w:val="22"/>
              <w:bidi w:val="0"/>
              <w:rPr>
                <w:lang w:val="en-US" w:eastAsia="zh-CN"/>
              </w:rPr>
            </w:pPr>
            <w:r>
              <w:rPr>
                <w:rFonts w:hint="eastAsia"/>
                <w:lang w:val="en-US" w:eastAsia="zh-CN"/>
              </w:rPr>
              <w:t>宣汉县自然资源重点管控区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环境风险防控</w:t>
            </w:r>
          </w:p>
        </w:tc>
        <w:tc>
          <w:tcPr>
            <w:tcW w:w="4320" w:type="dxa"/>
            <w:vMerge w:val="continue"/>
            <w:noWrap w:val="0"/>
            <w:vAlign w:val="center"/>
          </w:tcPr>
          <w:p>
            <w:pPr>
              <w:pStyle w:val="22"/>
              <w:bidi w:val="0"/>
              <w:rPr>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w:t>
            </w:r>
          </w:p>
        </w:tc>
        <w:tc>
          <w:tcPr>
            <w:tcW w:w="536" w:type="dxa"/>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YS5117222550001</w:t>
            </w:r>
          </w:p>
        </w:tc>
        <w:tc>
          <w:tcPr>
            <w:tcW w:w="720" w:type="dxa"/>
            <w:vMerge w:val="continue"/>
            <w:noWrap w:val="0"/>
            <w:vAlign w:val="center"/>
          </w:tcPr>
          <w:p>
            <w:pPr>
              <w:pStyle w:val="22"/>
              <w:bidi w:val="0"/>
              <w:rPr>
                <w:lang w:val="en-US" w:eastAsia="zh-CN"/>
              </w:rPr>
            </w:pPr>
            <w:r>
              <w:rPr>
                <w:rFonts w:hint="eastAsia"/>
                <w:lang w:val="en-US" w:eastAsia="zh-CN"/>
              </w:rPr>
              <w:t>宣汉县自然资源重点管控区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暂无</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暂无</w:t>
            </w:r>
          </w:p>
        </w:tc>
        <w:tc>
          <w:tcPr>
            <w:tcW w:w="680" w:type="dxa"/>
            <w:noWrap w:val="0"/>
            <w:vAlign w:val="center"/>
          </w:tcPr>
          <w:p>
            <w:pPr>
              <w:pStyle w:val="22"/>
              <w:bidi w:val="0"/>
              <w:rPr>
                <w:lang w:val="en-US" w:eastAsia="zh-CN"/>
              </w:rPr>
            </w:pPr>
            <w:r>
              <w:rPr>
                <w:rFonts w:hint="eastAsia"/>
                <w:lang w:val="en-US" w:eastAsia="zh-CN"/>
              </w:rPr>
              <w:t>资源开发效率要求</w:t>
            </w:r>
          </w:p>
        </w:tc>
        <w:tc>
          <w:tcPr>
            <w:tcW w:w="4320" w:type="dxa"/>
            <w:noWrap w:val="0"/>
            <w:vAlign w:val="center"/>
          </w:tcPr>
          <w:p>
            <w:pPr>
              <w:pStyle w:val="22"/>
              <w:bidi w:val="0"/>
              <w:rPr>
                <w:lang w:val="en-US" w:eastAsia="zh-CN"/>
              </w:rPr>
            </w:pPr>
            <w:r>
              <w:rPr>
                <w:rFonts w:hint="eastAsia"/>
                <w:lang w:val="en-US" w:eastAsia="zh-CN"/>
              </w:rPr>
              <w:t>土地资源开发效率要求</w:t>
            </w:r>
          </w:p>
          <w:p>
            <w:pPr>
              <w:pStyle w:val="22"/>
              <w:bidi w:val="0"/>
              <w:rPr>
                <w:rFonts w:hint="eastAsia"/>
                <w:lang w:val="en-US" w:eastAsia="zh-CN"/>
              </w:rPr>
            </w:pPr>
            <w:r>
              <w:rPr>
                <w:rFonts w:hint="eastAsia"/>
                <w:lang w:val="en-US" w:eastAsia="zh-CN"/>
              </w:rPr>
              <w:t>能源资源开发效率要求</w:t>
            </w:r>
          </w:p>
          <w:p>
            <w:pPr>
              <w:pStyle w:val="22"/>
              <w:bidi w:val="0"/>
              <w:rPr>
                <w:rFonts w:hint="eastAsia"/>
                <w:lang w:val="en-US" w:eastAsia="zh-CN"/>
              </w:rPr>
            </w:pPr>
            <w:r>
              <w:rPr>
                <w:rFonts w:hint="eastAsia"/>
                <w:lang w:val="en-US" w:eastAsia="zh-CN"/>
              </w:rPr>
              <w:t>其他资源开发效率要求</w:t>
            </w:r>
          </w:p>
        </w:tc>
        <w:tc>
          <w:tcPr>
            <w:tcW w:w="900" w:type="dxa"/>
            <w:noWrap w:val="0"/>
            <w:vAlign w:val="center"/>
          </w:tcPr>
          <w:p>
            <w:pPr>
              <w:pStyle w:val="22"/>
              <w:bidi w:val="0"/>
              <w:rPr>
                <w:rFonts w:hint="default"/>
                <w:lang w:val="en-US" w:eastAsia="zh-CN"/>
              </w:rPr>
            </w:pPr>
            <w:r>
              <w:rPr>
                <w:rFonts w:hint="eastAsia"/>
                <w:lang w:val="en-US" w:eastAsia="zh-CN"/>
              </w:rPr>
              <w:t>本项目符合要求</w:t>
            </w:r>
          </w:p>
        </w:tc>
        <w:tc>
          <w:tcPr>
            <w:tcW w:w="536" w:type="dxa"/>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restart"/>
            <w:noWrap w:val="0"/>
            <w:vAlign w:val="center"/>
          </w:tcPr>
          <w:p>
            <w:pPr>
              <w:pStyle w:val="22"/>
              <w:bidi w:val="0"/>
              <w:rPr>
                <w:lang w:val="en-US" w:eastAsia="zh-CN"/>
              </w:rPr>
            </w:pPr>
            <w:r>
              <w:rPr>
                <w:rFonts w:hint="eastAsia"/>
                <w:lang w:val="en-US" w:eastAsia="zh-CN"/>
              </w:rPr>
              <w:t>ZH51172220002</w:t>
            </w:r>
          </w:p>
        </w:tc>
        <w:tc>
          <w:tcPr>
            <w:tcW w:w="720" w:type="dxa"/>
            <w:vMerge w:val="restart"/>
            <w:noWrap w:val="0"/>
            <w:vAlign w:val="center"/>
          </w:tcPr>
          <w:p>
            <w:pPr>
              <w:pStyle w:val="22"/>
              <w:bidi w:val="0"/>
              <w:rPr>
                <w:lang w:val="en-US" w:eastAsia="zh-CN"/>
              </w:rPr>
            </w:pPr>
            <w:r>
              <w:rPr>
                <w:rFonts w:hint="eastAsia"/>
                <w:lang w:val="en-US" w:eastAsia="zh-CN"/>
              </w:rPr>
              <w:t>四川达州普光经济开发区</w:t>
            </w:r>
          </w:p>
        </w:tc>
        <w:tc>
          <w:tcPr>
            <w:tcW w:w="5720" w:type="dxa"/>
            <w:vMerge w:val="restart"/>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-禁止在长江干支流、重要湖泊岸线一公里范围内新建、扩建化工园区和化工项目，严控新建石油化工、煤化工、涉磷、造纸、印染、制革等项目。</w:t>
            </w:r>
          </w:p>
          <w:p>
            <w:pPr>
              <w:pStyle w:val="22"/>
              <w:bidi w:val="0"/>
              <w:rPr>
                <w:rFonts w:hint="eastAsia"/>
                <w:lang w:val="en-US" w:eastAsia="zh-CN"/>
              </w:rPr>
            </w:pPr>
            <w:r>
              <w:rPr>
                <w:rFonts w:hint="eastAsia"/>
                <w:lang w:val="en-US" w:eastAsia="zh-CN"/>
              </w:rPr>
              <w:t>-禁止从事《长江经济带发展负面清单指南（试行）》禁止准入类事项。</w:t>
            </w:r>
          </w:p>
          <w:p>
            <w:pPr>
              <w:pStyle w:val="22"/>
              <w:bidi w:val="0"/>
              <w:rPr>
                <w:rFonts w:hint="eastAsia"/>
                <w:lang w:val="en-US" w:eastAsia="zh-CN"/>
              </w:rPr>
            </w:pPr>
            <w:r>
              <w:rPr>
                <w:rFonts w:hint="eastAsia"/>
                <w:lang w:val="en-US" w:eastAsia="zh-CN"/>
              </w:rPr>
              <w:t>-引进项目应符合园区规划环评和区域产业准入及负面清单要求。</w:t>
            </w:r>
          </w:p>
          <w:p>
            <w:pPr>
              <w:pStyle w:val="22"/>
              <w:bidi w:val="0"/>
              <w:rPr>
                <w:rFonts w:hint="eastAsia"/>
                <w:lang w:val="en-US" w:eastAsia="zh-CN"/>
              </w:rPr>
            </w:pPr>
            <w:r>
              <w:rPr>
                <w:rFonts w:hint="eastAsia"/>
                <w:lang w:val="en-US" w:eastAsia="zh-CN"/>
              </w:rPr>
              <w:t>-禁止新建不符合国家产业政策和行业准入条件的高污染项目。</w:t>
            </w:r>
          </w:p>
          <w:p>
            <w:pPr>
              <w:pStyle w:val="22"/>
              <w:bidi w:val="0"/>
              <w:rPr>
                <w:rFonts w:hint="eastAsia"/>
                <w:lang w:val="en-US" w:eastAsia="zh-CN"/>
              </w:rPr>
            </w:pPr>
            <w:r>
              <w:rPr>
                <w:rFonts w:hint="eastAsia"/>
                <w:lang w:val="en-US" w:eastAsia="zh-CN"/>
              </w:rPr>
              <w:t>-工业园区禁止新建高污染燃料锅炉。</w:t>
            </w:r>
          </w:p>
          <w:p>
            <w:pPr>
              <w:pStyle w:val="22"/>
              <w:bidi w:val="0"/>
              <w:rPr>
                <w:rFonts w:hint="eastAsia"/>
                <w:lang w:val="en-US" w:eastAsia="zh-CN"/>
              </w:rPr>
            </w:pPr>
            <w:r>
              <w:rPr>
                <w:rFonts w:hint="eastAsia"/>
                <w:lang w:val="en-US" w:eastAsia="zh-CN"/>
              </w:rPr>
              <w:t>-禁止在长江流域河湖管理范围内倾倒、填埋、堆放、弃置、处理固体废物。</w:t>
            </w:r>
          </w:p>
          <w:p>
            <w:pPr>
              <w:pStyle w:val="22"/>
              <w:bidi w:val="0"/>
              <w:rPr>
                <w:rFonts w:hint="eastAsia"/>
                <w:lang w:val="en-US" w:eastAsia="zh-CN"/>
              </w:rPr>
            </w:pPr>
            <w:r>
              <w:rPr>
                <w:rFonts w:hint="eastAsia"/>
                <w:lang w:val="en-US" w:eastAsia="zh-CN"/>
              </w:rPr>
              <w:t>-未通过认定的化工园区，不得新建、改扩建化工项目（安全、环保、节能和智能化改造项目除外），按属地原则依法依规妥善做好未通过认定化工园区及园内企业的转型、关闭、处置及监管工作。</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-严格控制污染物新增排放量，对新建排放二氧化硫、氮氧化物、工业烟粉尘和 VOCS 的项目实施现役源 2 倍削减量替代。</w:t>
            </w:r>
          </w:p>
          <w:p>
            <w:pPr>
              <w:pStyle w:val="22"/>
              <w:bidi w:val="0"/>
              <w:rPr>
                <w:rFonts w:hint="eastAsia"/>
                <w:lang w:val="en-US" w:eastAsia="zh-CN"/>
              </w:rPr>
            </w:pPr>
            <w:r>
              <w:rPr>
                <w:rFonts w:hint="eastAsia"/>
                <w:lang w:val="en-US" w:eastAsia="zh-CN"/>
              </w:rPr>
              <w:t>-严格实施环评制度，将细颗粒物达标情况纳入规划环评和相关项目环评内容，加快制定颗粒物、VOCS排放总量管理配套政策。</w:t>
            </w:r>
          </w:p>
          <w:p>
            <w:pPr>
              <w:pStyle w:val="22"/>
              <w:bidi w:val="0"/>
              <w:rPr>
                <w:rFonts w:hint="eastAsia"/>
                <w:lang w:val="en-US" w:eastAsia="zh-CN"/>
              </w:rPr>
            </w:pPr>
            <w:r>
              <w:rPr>
                <w:rFonts w:hint="eastAsia"/>
                <w:lang w:val="en-US" w:eastAsia="zh-CN"/>
              </w:rPr>
              <w:t>-严格控制新建、扩建燃煤发电项目。</w:t>
            </w:r>
          </w:p>
          <w:p>
            <w:pPr>
              <w:pStyle w:val="22"/>
              <w:bidi w:val="0"/>
              <w:rPr>
                <w:rFonts w:hint="eastAsia"/>
                <w:lang w:val="en-US" w:eastAsia="zh-CN"/>
              </w:rPr>
            </w:pPr>
            <w:r>
              <w:rPr>
                <w:rFonts w:hint="eastAsia"/>
                <w:lang w:val="en-US" w:eastAsia="zh-CN"/>
              </w:rPr>
              <w:t>-严控达州市主城区上游沿岸地区新建石油化工、煤化工、涉磷、造纸、印染、制革等项目。</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-现有属于禁止引入产业门类的企业，应按相关规定限期整治或退出。</w:t>
            </w:r>
          </w:p>
          <w:p>
            <w:pPr>
              <w:pStyle w:val="22"/>
              <w:bidi w:val="0"/>
              <w:rPr>
                <w:rFonts w:hint="eastAsia"/>
                <w:lang w:val="en-US" w:eastAsia="zh-CN"/>
              </w:rPr>
            </w:pPr>
            <w:r>
              <w:rPr>
                <w:rFonts w:hint="eastAsia"/>
                <w:lang w:val="en-US" w:eastAsia="zh-CN"/>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22"/>
              <w:bidi w:val="0"/>
              <w:rPr>
                <w:rFonts w:hint="eastAsia"/>
                <w:lang w:val="en-US" w:eastAsia="zh-CN"/>
              </w:rPr>
            </w:pPr>
            <w:r>
              <w:rPr>
                <w:rFonts w:hint="eastAsia"/>
                <w:lang w:val="en-US" w:eastAsia="zh-CN"/>
              </w:rPr>
              <w:t>-引导重污染产业退出或搬迁、企业分类退城入园，逐步打破近水靠城的历史工业布局。加大城市区域现有装备水平低、环保设施差的微小企业“关、停、并、转”实施力度，清理建成区上风向重点涉气项目。</w:t>
            </w:r>
          </w:p>
          <w:p>
            <w:pPr>
              <w:pStyle w:val="22"/>
              <w:bidi w:val="0"/>
              <w:rPr>
                <w:rFonts w:hint="eastAsia"/>
                <w:lang w:val="en-US" w:eastAsia="zh-CN"/>
              </w:rPr>
            </w:pPr>
            <w:r>
              <w:rPr>
                <w:rFonts w:hint="eastAsia"/>
                <w:lang w:val="en-US" w:eastAsia="zh-CN"/>
              </w:rPr>
              <w:t>-石化、现代煤化工项目应纳入国家产业规划。新建、扩建石化、化工、焦化、有色金属冶炼、平板玻璃项目应布设在依法合规设立并经规划环评的产业园区。</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达州市2025年水污染物允许排放量COD4396.41t，氨氮418.7t，TP45.36t；达州市2025年大气污染物一次PM2.5 5805t、SO2 12773t、NOx11892t、VOCs 13969t</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-污水收集处理率达100%；</w:t>
            </w:r>
          </w:p>
          <w:p>
            <w:pPr>
              <w:pStyle w:val="22"/>
              <w:bidi w:val="0"/>
              <w:rPr>
                <w:rFonts w:hint="eastAsia"/>
                <w:lang w:val="en-US" w:eastAsia="zh-CN"/>
              </w:rPr>
            </w:pPr>
            <w:r>
              <w:rPr>
                <w:rFonts w:hint="eastAsia"/>
                <w:lang w:val="en-US" w:eastAsia="zh-CN"/>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22"/>
              <w:bidi w:val="0"/>
              <w:rPr>
                <w:rFonts w:hint="eastAsia"/>
                <w:lang w:val="en-US" w:eastAsia="zh-CN"/>
              </w:rPr>
            </w:pPr>
            <w:r>
              <w:rPr>
                <w:rFonts w:hint="eastAsia"/>
                <w:lang w:val="en-US" w:eastAsia="zh-CN"/>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22"/>
              <w:bidi w:val="0"/>
              <w:rPr>
                <w:rFonts w:hint="eastAsia"/>
                <w:lang w:val="en-US" w:eastAsia="zh-CN"/>
              </w:rPr>
            </w:pPr>
            <w:r>
              <w:rPr>
                <w:rFonts w:hint="eastAsia"/>
                <w:lang w:val="en-US" w:eastAsia="zh-CN"/>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新增源等量或倍量替代:上一年度水环境质量未完成目标的，新建排放水污染的建设项目按照总量管控要求进行倍量削减替代。</w:t>
            </w:r>
          </w:p>
          <w:p>
            <w:pPr>
              <w:pStyle w:val="22"/>
              <w:bidi w:val="0"/>
              <w:rPr>
                <w:rFonts w:hint="eastAsia"/>
                <w:lang w:val="en-US" w:eastAsia="zh-CN"/>
              </w:rPr>
            </w:pPr>
            <w:r>
              <w:rPr>
                <w:rFonts w:hint="eastAsia"/>
                <w:lang w:val="en-US" w:eastAsia="zh-CN"/>
              </w:rPr>
              <w:t xml:space="preserve">上一年度空气质量年平均浓度不达标的城市，建设项目新增相关污染物按照总量管控要求进行倍量削减替代。                </w:t>
            </w:r>
          </w:p>
          <w:p>
            <w:pPr>
              <w:pStyle w:val="22"/>
              <w:bidi w:val="0"/>
              <w:rPr>
                <w:rFonts w:hint="eastAsia"/>
                <w:lang w:val="en-US" w:eastAsia="zh-CN"/>
              </w:rPr>
            </w:pPr>
            <w:r>
              <w:rPr>
                <w:rFonts w:hint="eastAsia"/>
                <w:lang w:val="en-US" w:eastAsia="zh-CN"/>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22"/>
              <w:bidi w:val="0"/>
              <w:rPr>
                <w:rFonts w:hint="eastAsia"/>
                <w:lang w:val="en-US" w:eastAsia="zh-CN"/>
              </w:rPr>
            </w:pPr>
            <w:r>
              <w:rPr>
                <w:rFonts w:hint="eastAsia"/>
                <w:lang w:val="en-US" w:eastAsia="zh-CN"/>
              </w:rPr>
              <w:t xml:space="preserve">污染物排放绩效水平准入要求:新、改扩建项目污染排放指标满足《四川省省级生态工业园区指标》综合类生态工业园区要求。工业固体废弃物利用处置率达100%，危险废物处置率达100%。          </w:t>
            </w:r>
          </w:p>
          <w:p>
            <w:pPr>
              <w:pStyle w:val="22"/>
              <w:bidi w:val="0"/>
              <w:rPr>
                <w:rFonts w:hint="eastAsia"/>
                <w:lang w:val="en-US" w:eastAsia="zh-CN"/>
              </w:rPr>
            </w:pPr>
            <w:r>
              <w:rPr>
                <w:rFonts w:hint="eastAsia"/>
                <w:lang w:val="en-US" w:eastAsia="zh-CN"/>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22"/>
              <w:bidi w:val="0"/>
              <w:rPr>
                <w:rFonts w:hint="eastAsia"/>
                <w:lang w:val="en-US" w:eastAsia="zh-CN"/>
              </w:rPr>
            </w:pPr>
            <w:r>
              <w:rPr>
                <w:rFonts w:hint="eastAsia"/>
                <w:lang w:val="en-US" w:eastAsia="zh-CN"/>
              </w:rPr>
              <w:t xml:space="preserve">钢铁行业新建应参考达州市“三线一单”生态环境分区管控中钢铁行业资源环境绩效准入门槛。                         </w:t>
            </w:r>
          </w:p>
          <w:p>
            <w:pPr>
              <w:pStyle w:val="22"/>
              <w:bidi w:val="0"/>
              <w:rPr>
                <w:rFonts w:hint="eastAsia"/>
                <w:lang w:val="en-US" w:eastAsia="zh-CN"/>
              </w:rPr>
            </w:pPr>
            <w:r>
              <w:rPr>
                <w:rFonts w:hint="eastAsia"/>
                <w:lang w:val="en-US" w:eastAsia="zh-CN"/>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22"/>
              <w:bidi w:val="0"/>
              <w:rPr>
                <w:rFonts w:hint="eastAsia"/>
                <w:lang w:val="en-US" w:eastAsia="zh-CN"/>
              </w:rPr>
            </w:pPr>
            <w:r>
              <w:rPr>
                <w:rFonts w:hint="eastAsia"/>
                <w:lang w:val="en-US" w:eastAsia="zh-CN"/>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22"/>
              <w:bidi w:val="0"/>
              <w:rPr>
                <w:rFonts w:hint="eastAsia"/>
                <w:lang w:val="en-US" w:eastAsia="zh-CN"/>
              </w:rPr>
            </w:pPr>
            <w:r>
              <w:rPr>
                <w:rFonts w:hint="eastAsia"/>
                <w:lang w:val="en-US" w:eastAsia="zh-CN"/>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22"/>
              <w:bidi w:val="0"/>
              <w:rPr>
                <w:rFonts w:hint="eastAsia"/>
                <w:lang w:val="en-US" w:eastAsia="zh-CN"/>
              </w:rPr>
            </w:pPr>
            <w:r>
              <w:rPr>
                <w:rFonts w:hint="eastAsia"/>
                <w:lang w:val="en-US" w:eastAsia="zh-CN"/>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22"/>
              <w:bidi w:val="0"/>
              <w:rPr>
                <w:rFonts w:hint="eastAsia"/>
                <w:lang w:val="en-US" w:eastAsia="zh-CN"/>
              </w:rPr>
            </w:pPr>
            <w:r>
              <w:rPr>
                <w:rFonts w:hint="eastAsia"/>
                <w:lang w:val="en-US" w:eastAsia="zh-CN"/>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22"/>
              <w:bidi w:val="0"/>
              <w:rPr>
                <w:rFonts w:hint="eastAsia"/>
                <w:lang w:val="en-US" w:eastAsia="zh-CN"/>
              </w:rPr>
            </w:pPr>
            <w:r>
              <w:rPr>
                <w:rFonts w:hint="eastAsia"/>
                <w:lang w:val="en-US" w:eastAsia="zh-CN"/>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新、改扩建项目污染水耗指标满足《四川省省级生态工业园区指标》综合类生态工业园区要求；到2022年，万元国内生产总值用水量、万元工业增加值用水量较2015年分别下降30%和28%。</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以省市下发指标为准</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川东北区域实施新建项目与煤炭消费总量控制挂钩机制，耗煤建设项目实行煤炭消耗等量减量替代。提高煤炭利用效率和天然气利用占比，工业领域有序推进“煤改电”和有序推进“煤改气”。</w:t>
            </w:r>
          </w:p>
          <w:p>
            <w:pPr>
              <w:pStyle w:val="22"/>
              <w:bidi w:val="0"/>
              <w:rPr>
                <w:rFonts w:hint="eastAsia"/>
                <w:lang w:val="en-US" w:eastAsia="zh-CN"/>
              </w:rPr>
            </w:pPr>
            <w:r>
              <w:rPr>
                <w:rFonts w:hint="eastAsia"/>
                <w:lang w:val="en-US" w:eastAsia="zh-CN"/>
              </w:rPr>
              <w:t>-大力实施和推广以电代煤、以电代油工程，重点在城市交通、工商业等领域实施以电代油、以电代煤。</w:t>
            </w:r>
          </w:p>
          <w:p>
            <w:pPr>
              <w:pStyle w:val="22"/>
              <w:bidi w:val="0"/>
              <w:rPr>
                <w:rFonts w:hint="eastAsia"/>
                <w:lang w:val="en-US" w:eastAsia="zh-CN"/>
              </w:rPr>
            </w:pPr>
            <w:r>
              <w:rPr>
                <w:rFonts w:hint="eastAsia"/>
                <w:lang w:val="en-US" w:eastAsia="zh-CN"/>
              </w:rPr>
              <w:t>-增加天然气对煤炭和石油的替代，提高天然气民用、交通、发电、工业领域天然气消费比重。</w:t>
            </w:r>
          </w:p>
          <w:p>
            <w:pPr>
              <w:pStyle w:val="22"/>
              <w:bidi w:val="0"/>
              <w:rPr>
                <w:rFonts w:hint="eastAsia"/>
                <w:lang w:val="en-US" w:eastAsia="zh-CN"/>
              </w:rPr>
            </w:pPr>
            <w:r>
              <w:rPr>
                <w:rFonts w:hint="eastAsia"/>
                <w:lang w:val="en-US" w:eastAsia="zh-CN"/>
              </w:rPr>
              <w:t>-实施煤炭消费总量控制：严格控制煤炭消费总量；严格控制新建、改建、扩建耗煤项目，新增耗煤项目实行煤炭消耗减量倍量替代。</w:t>
            </w:r>
          </w:p>
          <w:p>
            <w:pPr>
              <w:pStyle w:val="22"/>
              <w:bidi w:val="0"/>
              <w:rPr>
                <w:rFonts w:hint="eastAsia"/>
                <w:lang w:val="en-US" w:eastAsia="zh-CN"/>
              </w:rPr>
            </w:pPr>
            <w:r>
              <w:rPr>
                <w:rFonts w:hint="eastAsia"/>
                <w:lang w:val="en-US" w:eastAsia="zh-CN"/>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22"/>
              <w:bidi w:val="0"/>
              <w:rPr>
                <w:rFonts w:hint="eastAsia"/>
                <w:lang w:val="en-US" w:eastAsia="zh-CN"/>
              </w:rPr>
            </w:pPr>
            <w:r>
              <w:rPr>
                <w:rFonts w:hint="eastAsia"/>
                <w:lang w:val="en-US" w:eastAsia="zh-CN"/>
              </w:rPr>
              <w:t>-推进清洁能源的推广使用，全面推进散煤清洁化整治；</w:t>
            </w:r>
          </w:p>
          <w:p>
            <w:pPr>
              <w:pStyle w:val="22"/>
              <w:bidi w:val="0"/>
              <w:rPr>
                <w:rFonts w:hint="eastAsia"/>
                <w:lang w:val="en-US" w:eastAsia="zh-CN"/>
              </w:rPr>
            </w:pPr>
            <w:r>
              <w:rPr>
                <w:rFonts w:hint="eastAsia"/>
                <w:lang w:val="en-US" w:eastAsia="zh-CN"/>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22"/>
              <w:bidi w:val="0"/>
              <w:rPr>
                <w:rFonts w:hint="eastAsia"/>
                <w:lang w:val="en-US" w:eastAsia="zh-CN"/>
              </w:rPr>
            </w:pPr>
            <w:r>
              <w:rPr>
                <w:rFonts w:hint="eastAsia"/>
                <w:lang w:val="en-US" w:eastAsia="zh-CN"/>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22"/>
              <w:bidi w:val="0"/>
              <w:rPr>
                <w:rFonts w:hint="eastAsia"/>
                <w:lang w:val="en-US" w:eastAsia="zh-CN"/>
              </w:rPr>
            </w:pPr>
            <w:r>
              <w:rPr>
                <w:rFonts w:hint="eastAsia"/>
                <w:lang w:val="en-US" w:eastAsia="zh-CN"/>
              </w:rPr>
              <w:t>-禁燃区内禁止销售、燃用高污染燃料；禁止新建、改建、扩建燃用高污染燃料的设施和设备。</w:t>
            </w:r>
          </w:p>
          <w:p>
            <w:pPr>
              <w:pStyle w:val="22"/>
              <w:bidi w:val="0"/>
              <w:rPr>
                <w:rFonts w:hint="eastAsia"/>
                <w:lang w:val="en-US" w:eastAsia="zh-CN"/>
              </w:rPr>
            </w:pPr>
            <w:r>
              <w:rPr>
                <w:rFonts w:hint="eastAsia"/>
                <w:lang w:val="en-US" w:eastAsia="zh-CN"/>
              </w:rPr>
              <w:t>-禁燃区内已建成的高污染燃料燃用设施由辖区人民政府制定限期改造计划，改用天然气、页岩气、液化石油气、电或其他清洁能源。</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w:t>
            </w:r>
          </w:p>
        </w:tc>
        <w:tc>
          <w:tcPr>
            <w:tcW w:w="680" w:type="dxa"/>
            <w:noWrap w:val="0"/>
            <w:vAlign w:val="center"/>
          </w:tcPr>
          <w:p>
            <w:pPr>
              <w:pStyle w:val="22"/>
              <w:bidi w:val="0"/>
              <w:rPr>
                <w:lang w:val="en-US" w:eastAsia="zh-CN"/>
              </w:rPr>
            </w:pPr>
            <w:r>
              <w:rPr>
                <w:rFonts w:hint="eastAsia"/>
                <w:lang w:val="en-US" w:eastAsia="zh-CN"/>
              </w:rPr>
              <w:t>空间布局约束</w:t>
            </w:r>
          </w:p>
        </w:tc>
        <w:tc>
          <w:tcPr>
            <w:tcW w:w="4320" w:type="dxa"/>
            <w:noWrap w:val="0"/>
            <w:vAlign w:val="center"/>
          </w:tcPr>
          <w:p>
            <w:pPr>
              <w:pStyle w:val="22"/>
              <w:bidi w:val="0"/>
              <w:rPr>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1、禁止引入有色金属冶炼（再生铝除外）、印染、皮革鞣制、制浆造纸、印制电路板、专业电镀等重污染项目；</w:t>
            </w:r>
          </w:p>
          <w:p>
            <w:pPr>
              <w:pStyle w:val="22"/>
              <w:bidi w:val="0"/>
              <w:rPr>
                <w:rFonts w:hint="eastAsia"/>
                <w:lang w:val="en-US" w:eastAsia="zh-CN"/>
              </w:rPr>
            </w:pPr>
            <w:r>
              <w:rPr>
                <w:rFonts w:hint="eastAsia"/>
                <w:lang w:val="en-US" w:eastAsia="zh-CN"/>
              </w:rPr>
              <w:t>2、宣汉县徐家坡饮用水源地准保护区撤销前，柳池功能区饮用水源准保护区内禁止新建、扩建对水体污染严重的建设项目，改建建设项目，不得增加排污量；</w:t>
            </w:r>
          </w:p>
          <w:p>
            <w:pPr>
              <w:pStyle w:val="22"/>
              <w:bidi w:val="0"/>
              <w:rPr>
                <w:rFonts w:hint="eastAsia"/>
                <w:lang w:val="en-US" w:eastAsia="zh-CN"/>
              </w:rPr>
            </w:pPr>
            <w:r>
              <w:rPr>
                <w:rFonts w:hint="eastAsia"/>
                <w:lang w:val="en-US" w:eastAsia="zh-CN"/>
              </w:rPr>
              <w:t>3、其它同达州市工业重点管控单元要求</w:t>
            </w: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1、涉及电镀的工序必须达到清洁生产一级水平</w:t>
            </w:r>
          </w:p>
          <w:p>
            <w:pPr>
              <w:pStyle w:val="22"/>
              <w:bidi w:val="0"/>
              <w:rPr>
                <w:rFonts w:hint="eastAsia"/>
                <w:lang w:val="en-US" w:eastAsia="zh-CN"/>
              </w:rPr>
            </w:pPr>
            <w:r>
              <w:rPr>
                <w:rFonts w:hint="eastAsia"/>
                <w:lang w:val="en-US" w:eastAsia="zh-CN"/>
              </w:rPr>
              <w:t>2、普光化工园区周边涉及永久基本农田区域，布局项目应充分考虑涉气特征污染物（氟化氢、氯气、硫酸雾、硫化氢、氯化氢等）对基本农田的影响，适当优化布局</w:t>
            </w:r>
          </w:p>
          <w:p>
            <w:pPr>
              <w:pStyle w:val="22"/>
              <w:bidi w:val="0"/>
              <w:rPr>
                <w:rFonts w:hint="eastAsia"/>
                <w:lang w:val="en-US" w:eastAsia="zh-CN"/>
              </w:rPr>
            </w:pPr>
            <w:r>
              <w:rPr>
                <w:rFonts w:hint="eastAsia"/>
                <w:lang w:val="en-US" w:eastAsia="zh-CN"/>
              </w:rPr>
              <w:t>3、其它同达州市工业重点管控单元要求</w:t>
            </w:r>
          </w:p>
          <w:p>
            <w:pPr>
              <w:pStyle w:val="22"/>
              <w:bidi w:val="0"/>
              <w:rPr>
                <w:rFonts w:hint="eastAsia"/>
                <w:lang w:val="en-US" w:eastAsia="zh-CN"/>
              </w:rPr>
            </w:pPr>
            <w:r>
              <w:rPr>
                <w:rFonts w:hint="eastAsia"/>
                <w:lang w:val="en-US" w:eastAsia="zh-CN"/>
              </w:rPr>
              <w:t>允许开发建设活动的要求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1、南坝功能区：1）中石油净化厂厂址用地可布局改性硫磺、天然气脱硫净化配套服务业、相关设备制造等环境影响较小的产业；2）该功能区不得在规划边界外现有或已规划的居住区等敏感目标的近距离范围内布设与敏感目标相禁忌的产业；不得入驻食品、医药成品等与该功能区主导产业相禁忌的产业</w:t>
            </w:r>
          </w:p>
          <w:p>
            <w:pPr>
              <w:pStyle w:val="22"/>
              <w:bidi w:val="0"/>
              <w:rPr>
                <w:rFonts w:hint="eastAsia"/>
                <w:lang w:val="en-US" w:eastAsia="zh-CN"/>
              </w:rPr>
            </w:pPr>
            <w:r>
              <w:rPr>
                <w:rFonts w:hint="eastAsia"/>
                <w:lang w:val="en-US" w:eastAsia="zh-CN"/>
              </w:rPr>
              <w:t>2、普光功能区：将天然气化工、硫化工、锂钾综合开发等符合相关规划的化工产业布局在达州普光化工园区内；改性硫磺、天然气脱硫净化、锂钾综合开发等化工产业的配套服务业、相关设备制造业等符合相关规划的产业优先布局在达州普光化工园区之外的工业用地上</w:t>
            </w:r>
          </w:p>
          <w:p>
            <w:pPr>
              <w:pStyle w:val="22"/>
              <w:bidi w:val="0"/>
              <w:rPr>
                <w:rFonts w:hint="eastAsia"/>
                <w:lang w:val="en-US" w:eastAsia="zh-CN"/>
              </w:rPr>
            </w:pPr>
            <w:r>
              <w:rPr>
                <w:rFonts w:hint="eastAsia"/>
                <w:lang w:val="en-US" w:eastAsia="zh-CN"/>
              </w:rPr>
              <w:t>3、方斗功能区：农副食品加工产业中涉及恶臭、异味的企业建议集中布局在方斗社区以西、国道210线以南的区域</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本项目属于允许类项目</w:t>
            </w:r>
          </w:p>
        </w:tc>
        <w:tc>
          <w:tcPr>
            <w:tcW w:w="536" w:type="dxa"/>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ZH51172220002</w:t>
            </w:r>
          </w:p>
        </w:tc>
        <w:tc>
          <w:tcPr>
            <w:tcW w:w="720" w:type="dxa"/>
            <w:vMerge w:val="continue"/>
            <w:noWrap w:val="0"/>
            <w:vAlign w:val="center"/>
          </w:tcPr>
          <w:p>
            <w:pPr>
              <w:pStyle w:val="22"/>
              <w:bidi w:val="0"/>
              <w:rPr>
                <w:lang w:val="en-US" w:eastAsia="zh-CN"/>
              </w:rPr>
            </w:pPr>
            <w:r>
              <w:rPr>
                <w:rFonts w:hint="eastAsia"/>
                <w:lang w:val="en-US" w:eastAsia="zh-CN"/>
              </w:rPr>
              <w:t>四川达州普光经济开发区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-禁止在长江干支流、重要湖泊岸线一公里范围内新建、扩建化工园区和化工项目，严控新建石油化工、煤化工、涉磷、造纸、印染、制革等项目。</w:t>
            </w:r>
          </w:p>
          <w:p>
            <w:pPr>
              <w:pStyle w:val="22"/>
              <w:bidi w:val="0"/>
              <w:rPr>
                <w:rFonts w:hint="eastAsia"/>
                <w:lang w:val="en-US" w:eastAsia="zh-CN"/>
              </w:rPr>
            </w:pPr>
            <w:r>
              <w:rPr>
                <w:rFonts w:hint="eastAsia"/>
                <w:lang w:val="en-US" w:eastAsia="zh-CN"/>
              </w:rPr>
              <w:t>-禁止从事《长江经济带发展负面清单指南（试行）》禁止准入类事项。</w:t>
            </w:r>
          </w:p>
          <w:p>
            <w:pPr>
              <w:pStyle w:val="22"/>
              <w:bidi w:val="0"/>
              <w:rPr>
                <w:rFonts w:hint="eastAsia"/>
                <w:lang w:val="en-US" w:eastAsia="zh-CN"/>
              </w:rPr>
            </w:pPr>
            <w:r>
              <w:rPr>
                <w:rFonts w:hint="eastAsia"/>
                <w:lang w:val="en-US" w:eastAsia="zh-CN"/>
              </w:rPr>
              <w:t>-引进项目应符合园区规划环评和区域产业准入及负面清单要求。</w:t>
            </w:r>
          </w:p>
          <w:p>
            <w:pPr>
              <w:pStyle w:val="22"/>
              <w:bidi w:val="0"/>
              <w:rPr>
                <w:rFonts w:hint="eastAsia"/>
                <w:lang w:val="en-US" w:eastAsia="zh-CN"/>
              </w:rPr>
            </w:pPr>
            <w:r>
              <w:rPr>
                <w:rFonts w:hint="eastAsia"/>
                <w:lang w:val="en-US" w:eastAsia="zh-CN"/>
              </w:rPr>
              <w:t>-禁止新建不符合国家产业政策和行业准入条件的高污染项目。</w:t>
            </w:r>
          </w:p>
          <w:p>
            <w:pPr>
              <w:pStyle w:val="22"/>
              <w:bidi w:val="0"/>
              <w:rPr>
                <w:rFonts w:hint="eastAsia"/>
                <w:lang w:val="en-US" w:eastAsia="zh-CN"/>
              </w:rPr>
            </w:pPr>
            <w:r>
              <w:rPr>
                <w:rFonts w:hint="eastAsia"/>
                <w:lang w:val="en-US" w:eastAsia="zh-CN"/>
              </w:rPr>
              <w:t>-工业园区禁止新建高污染燃料锅炉。</w:t>
            </w:r>
          </w:p>
          <w:p>
            <w:pPr>
              <w:pStyle w:val="22"/>
              <w:bidi w:val="0"/>
              <w:rPr>
                <w:rFonts w:hint="eastAsia"/>
                <w:lang w:val="en-US" w:eastAsia="zh-CN"/>
              </w:rPr>
            </w:pPr>
            <w:r>
              <w:rPr>
                <w:rFonts w:hint="eastAsia"/>
                <w:lang w:val="en-US" w:eastAsia="zh-CN"/>
              </w:rPr>
              <w:t>-禁止在长江流域河湖管理范围内倾倒、填埋、堆放、弃置、处理固体废物。</w:t>
            </w:r>
          </w:p>
          <w:p>
            <w:pPr>
              <w:pStyle w:val="22"/>
              <w:bidi w:val="0"/>
              <w:rPr>
                <w:rFonts w:hint="eastAsia"/>
                <w:lang w:val="en-US" w:eastAsia="zh-CN"/>
              </w:rPr>
            </w:pPr>
            <w:r>
              <w:rPr>
                <w:rFonts w:hint="eastAsia"/>
                <w:lang w:val="en-US" w:eastAsia="zh-CN"/>
              </w:rPr>
              <w:t>-未通过认定的化工园区，不得新建、改扩建化工项目（安全、环保、节能和智能化改造项目除外），按属地原则依法依规妥善做好未通过认定化工园区及园内企业的转型、关闭、处置及监管工作。</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-严格控制污染物新增排放量，对新建排放二氧化硫、氮氧化物、工业烟粉尘和 VOCS 的项目实施现役源 2 倍削减量替代。</w:t>
            </w:r>
          </w:p>
          <w:p>
            <w:pPr>
              <w:pStyle w:val="22"/>
              <w:bidi w:val="0"/>
              <w:rPr>
                <w:rFonts w:hint="eastAsia"/>
                <w:lang w:val="en-US" w:eastAsia="zh-CN"/>
              </w:rPr>
            </w:pPr>
            <w:r>
              <w:rPr>
                <w:rFonts w:hint="eastAsia"/>
                <w:lang w:val="en-US" w:eastAsia="zh-CN"/>
              </w:rPr>
              <w:t>-严格实施环评制度，将细颗粒物达标情况纳入规划环评和相关项目环评内容，加快制定颗粒物、VOCS排放总量管理配套政策。</w:t>
            </w:r>
          </w:p>
          <w:p>
            <w:pPr>
              <w:pStyle w:val="22"/>
              <w:bidi w:val="0"/>
              <w:rPr>
                <w:rFonts w:hint="eastAsia"/>
                <w:lang w:val="en-US" w:eastAsia="zh-CN"/>
              </w:rPr>
            </w:pPr>
            <w:r>
              <w:rPr>
                <w:rFonts w:hint="eastAsia"/>
                <w:lang w:val="en-US" w:eastAsia="zh-CN"/>
              </w:rPr>
              <w:t>-严格控制新建、扩建燃煤发电项目。</w:t>
            </w:r>
          </w:p>
          <w:p>
            <w:pPr>
              <w:pStyle w:val="22"/>
              <w:bidi w:val="0"/>
              <w:rPr>
                <w:rFonts w:hint="eastAsia"/>
                <w:lang w:val="en-US" w:eastAsia="zh-CN"/>
              </w:rPr>
            </w:pPr>
            <w:r>
              <w:rPr>
                <w:rFonts w:hint="eastAsia"/>
                <w:lang w:val="en-US" w:eastAsia="zh-CN"/>
              </w:rPr>
              <w:t>-严控达州市主城区上游沿岸地区新建石油化工、煤化工、涉磷、造纸、印染、制革等项目。</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-现有属于禁止引入产业门类的企业，应按相关规定限期整治或退出。</w:t>
            </w:r>
          </w:p>
          <w:p>
            <w:pPr>
              <w:pStyle w:val="22"/>
              <w:bidi w:val="0"/>
              <w:rPr>
                <w:rFonts w:hint="eastAsia"/>
                <w:lang w:val="en-US" w:eastAsia="zh-CN"/>
              </w:rPr>
            </w:pPr>
            <w:r>
              <w:rPr>
                <w:rFonts w:hint="eastAsia"/>
                <w:lang w:val="en-US" w:eastAsia="zh-CN"/>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22"/>
              <w:bidi w:val="0"/>
              <w:rPr>
                <w:rFonts w:hint="eastAsia"/>
                <w:lang w:val="en-US" w:eastAsia="zh-CN"/>
              </w:rPr>
            </w:pPr>
            <w:r>
              <w:rPr>
                <w:rFonts w:hint="eastAsia"/>
                <w:lang w:val="en-US" w:eastAsia="zh-CN"/>
              </w:rPr>
              <w:t>-引导重污染产业退出或搬迁、企业分类退城入园，逐步打破近水靠城的历史工业布局。加大城市区域现有装备水平低、环保设施差的微小企业“关、停、并、转”实施力度，清理建成区上风向重点涉气项目。</w:t>
            </w:r>
          </w:p>
          <w:p>
            <w:pPr>
              <w:pStyle w:val="22"/>
              <w:bidi w:val="0"/>
              <w:rPr>
                <w:rFonts w:hint="eastAsia"/>
                <w:lang w:val="en-US" w:eastAsia="zh-CN"/>
              </w:rPr>
            </w:pPr>
            <w:r>
              <w:rPr>
                <w:rFonts w:hint="eastAsia"/>
                <w:lang w:val="en-US" w:eastAsia="zh-CN"/>
              </w:rPr>
              <w:t>-石化、现代煤化工项目应纳入国家产业规划。新建、扩建石化、化工、焦化、有色金属冶炼、平板玻璃项目应布设在依法合规设立并经规划环评的产业园区。</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达州市2025年水污染物允许排放量COD4396.41t，氨氮418.7t，TP45.36t；达州市2025年大气污染物一次PM2.5 5805t、SO2 12773t、NOx11892t、VOCs 13969t</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-污水收集处理率达100%；</w:t>
            </w:r>
          </w:p>
          <w:p>
            <w:pPr>
              <w:pStyle w:val="22"/>
              <w:bidi w:val="0"/>
              <w:rPr>
                <w:rFonts w:hint="eastAsia"/>
                <w:lang w:val="en-US" w:eastAsia="zh-CN"/>
              </w:rPr>
            </w:pPr>
            <w:r>
              <w:rPr>
                <w:rFonts w:hint="eastAsia"/>
                <w:lang w:val="en-US" w:eastAsia="zh-CN"/>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22"/>
              <w:bidi w:val="0"/>
              <w:rPr>
                <w:rFonts w:hint="eastAsia"/>
                <w:lang w:val="en-US" w:eastAsia="zh-CN"/>
              </w:rPr>
            </w:pPr>
            <w:r>
              <w:rPr>
                <w:rFonts w:hint="eastAsia"/>
                <w:lang w:val="en-US" w:eastAsia="zh-CN"/>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22"/>
              <w:bidi w:val="0"/>
              <w:rPr>
                <w:rFonts w:hint="eastAsia"/>
                <w:lang w:val="en-US" w:eastAsia="zh-CN"/>
              </w:rPr>
            </w:pPr>
            <w:r>
              <w:rPr>
                <w:rFonts w:hint="eastAsia"/>
                <w:lang w:val="en-US" w:eastAsia="zh-CN"/>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新增源等量或倍量替代:上一年度水环境质量未完成目标的，新建排放水污染的建设项目按照总量管控要求进行倍量削减替代。</w:t>
            </w:r>
          </w:p>
          <w:p>
            <w:pPr>
              <w:pStyle w:val="22"/>
              <w:bidi w:val="0"/>
              <w:rPr>
                <w:rFonts w:hint="eastAsia"/>
                <w:lang w:val="en-US" w:eastAsia="zh-CN"/>
              </w:rPr>
            </w:pPr>
            <w:r>
              <w:rPr>
                <w:rFonts w:hint="eastAsia"/>
                <w:lang w:val="en-US" w:eastAsia="zh-CN"/>
              </w:rPr>
              <w:t xml:space="preserve">上一年度空气质量年平均浓度不达标的城市，建设项目新增相关污染物按照总量管控要求进行倍量削减替代。                </w:t>
            </w:r>
          </w:p>
          <w:p>
            <w:pPr>
              <w:pStyle w:val="22"/>
              <w:bidi w:val="0"/>
              <w:rPr>
                <w:rFonts w:hint="eastAsia"/>
                <w:lang w:val="en-US" w:eastAsia="zh-CN"/>
              </w:rPr>
            </w:pPr>
            <w:r>
              <w:rPr>
                <w:rFonts w:hint="eastAsia"/>
                <w:lang w:val="en-US" w:eastAsia="zh-CN"/>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22"/>
              <w:bidi w:val="0"/>
              <w:rPr>
                <w:rFonts w:hint="eastAsia"/>
                <w:lang w:val="en-US" w:eastAsia="zh-CN"/>
              </w:rPr>
            </w:pPr>
            <w:r>
              <w:rPr>
                <w:rFonts w:hint="eastAsia"/>
                <w:lang w:val="en-US" w:eastAsia="zh-CN"/>
              </w:rPr>
              <w:t xml:space="preserve">污染物排放绩效水平准入要求:新、改扩建项目污染排放指标满足《四川省省级生态工业园区指标》综合类生态工业园区要求。工业固体废弃物利用处置率达100%，危险废物处置率达100%。          </w:t>
            </w:r>
          </w:p>
          <w:p>
            <w:pPr>
              <w:pStyle w:val="22"/>
              <w:bidi w:val="0"/>
              <w:rPr>
                <w:rFonts w:hint="eastAsia"/>
                <w:lang w:val="en-US" w:eastAsia="zh-CN"/>
              </w:rPr>
            </w:pPr>
            <w:r>
              <w:rPr>
                <w:rFonts w:hint="eastAsia"/>
                <w:lang w:val="en-US" w:eastAsia="zh-CN"/>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22"/>
              <w:bidi w:val="0"/>
              <w:rPr>
                <w:rFonts w:hint="eastAsia"/>
                <w:lang w:val="en-US" w:eastAsia="zh-CN"/>
              </w:rPr>
            </w:pPr>
            <w:r>
              <w:rPr>
                <w:rFonts w:hint="eastAsia"/>
                <w:lang w:val="en-US" w:eastAsia="zh-CN"/>
              </w:rPr>
              <w:t xml:space="preserve">钢铁行业新建应参考达州市“三线一单”生态环境分区管控中钢铁行业资源环境绩效准入门槛。                         </w:t>
            </w:r>
          </w:p>
          <w:p>
            <w:pPr>
              <w:pStyle w:val="22"/>
              <w:bidi w:val="0"/>
              <w:rPr>
                <w:rFonts w:hint="eastAsia"/>
                <w:lang w:val="en-US" w:eastAsia="zh-CN"/>
              </w:rPr>
            </w:pPr>
            <w:r>
              <w:rPr>
                <w:rFonts w:hint="eastAsia"/>
                <w:lang w:val="en-US" w:eastAsia="zh-CN"/>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22"/>
              <w:bidi w:val="0"/>
              <w:rPr>
                <w:rFonts w:hint="eastAsia"/>
                <w:lang w:val="en-US" w:eastAsia="zh-CN"/>
              </w:rPr>
            </w:pPr>
            <w:r>
              <w:rPr>
                <w:rFonts w:hint="eastAsia"/>
                <w:lang w:val="en-US" w:eastAsia="zh-CN"/>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22"/>
              <w:bidi w:val="0"/>
              <w:rPr>
                <w:rFonts w:hint="eastAsia"/>
                <w:lang w:val="en-US" w:eastAsia="zh-CN"/>
              </w:rPr>
            </w:pPr>
            <w:r>
              <w:rPr>
                <w:rFonts w:hint="eastAsia"/>
                <w:lang w:val="en-US" w:eastAsia="zh-CN"/>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22"/>
              <w:bidi w:val="0"/>
              <w:rPr>
                <w:rFonts w:hint="eastAsia"/>
                <w:lang w:val="en-US" w:eastAsia="zh-CN"/>
              </w:rPr>
            </w:pPr>
            <w:r>
              <w:rPr>
                <w:rFonts w:hint="eastAsia"/>
                <w:lang w:val="en-US" w:eastAsia="zh-CN"/>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22"/>
              <w:bidi w:val="0"/>
              <w:rPr>
                <w:rFonts w:hint="eastAsia"/>
                <w:lang w:val="en-US" w:eastAsia="zh-CN"/>
              </w:rPr>
            </w:pPr>
            <w:r>
              <w:rPr>
                <w:rFonts w:hint="eastAsia"/>
                <w:lang w:val="en-US" w:eastAsia="zh-CN"/>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22"/>
              <w:bidi w:val="0"/>
              <w:rPr>
                <w:rFonts w:hint="eastAsia"/>
                <w:lang w:val="en-US" w:eastAsia="zh-CN"/>
              </w:rPr>
            </w:pPr>
            <w:r>
              <w:rPr>
                <w:rFonts w:hint="eastAsia"/>
                <w:lang w:val="en-US" w:eastAsia="zh-CN"/>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新、改扩建项目污染水耗指标满足《四川省省级生态工业园区指标》综合类生态工业园区要求；到2022年，万元国内生产总值用水量、万元工业增加值用水量较2015年分别下降30%和28%。</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以省市下发指标为准</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川东北区域实施新建项目与煤炭消费总量控制挂钩机制，耗煤建设项目实行煤炭消耗等量减量替代。提高煤炭利用效率和天然气利用占比，工业领域有序推进“煤改电”和有序推进“煤改气”。</w:t>
            </w:r>
          </w:p>
          <w:p>
            <w:pPr>
              <w:pStyle w:val="22"/>
              <w:bidi w:val="0"/>
              <w:rPr>
                <w:rFonts w:hint="eastAsia"/>
                <w:lang w:val="en-US" w:eastAsia="zh-CN"/>
              </w:rPr>
            </w:pPr>
            <w:r>
              <w:rPr>
                <w:rFonts w:hint="eastAsia"/>
                <w:lang w:val="en-US" w:eastAsia="zh-CN"/>
              </w:rPr>
              <w:t>-大力实施和推广以电代煤、以电代油工程，重点在城市交通、工商业等领域实施以电代油、以电代煤。</w:t>
            </w:r>
          </w:p>
          <w:p>
            <w:pPr>
              <w:pStyle w:val="22"/>
              <w:bidi w:val="0"/>
              <w:rPr>
                <w:rFonts w:hint="eastAsia"/>
                <w:lang w:val="en-US" w:eastAsia="zh-CN"/>
              </w:rPr>
            </w:pPr>
            <w:r>
              <w:rPr>
                <w:rFonts w:hint="eastAsia"/>
                <w:lang w:val="en-US" w:eastAsia="zh-CN"/>
              </w:rPr>
              <w:t>-增加天然气对煤炭和石油的替代，提高天然气民用、交通、发电、工业领域天然气消费比重。</w:t>
            </w:r>
          </w:p>
          <w:p>
            <w:pPr>
              <w:pStyle w:val="22"/>
              <w:bidi w:val="0"/>
              <w:rPr>
                <w:rFonts w:hint="eastAsia"/>
                <w:lang w:val="en-US" w:eastAsia="zh-CN"/>
              </w:rPr>
            </w:pPr>
            <w:r>
              <w:rPr>
                <w:rFonts w:hint="eastAsia"/>
                <w:lang w:val="en-US" w:eastAsia="zh-CN"/>
              </w:rPr>
              <w:t>-实施煤炭消费总量控制：严格控制煤炭消费总量；严格控制新建、改建、扩建耗煤项目，新增耗煤项目实行煤炭消耗减量倍量替代。</w:t>
            </w:r>
          </w:p>
          <w:p>
            <w:pPr>
              <w:pStyle w:val="22"/>
              <w:bidi w:val="0"/>
              <w:rPr>
                <w:rFonts w:hint="eastAsia"/>
                <w:lang w:val="en-US" w:eastAsia="zh-CN"/>
              </w:rPr>
            </w:pPr>
            <w:r>
              <w:rPr>
                <w:rFonts w:hint="eastAsia"/>
                <w:lang w:val="en-US" w:eastAsia="zh-CN"/>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22"/>
              <w:bidi w:val="0"/>
              <w:rPr>
                <w:rFonts w:hint="eastAsia"/>
                <w:lang w:val="en-US" w:eastAsia="zh-CN"/>
              </w:rPr>
            </w:pPr>
            <w:r>
              <w:rPr>
                <w:rFonts w:hint="eastAsia"/>
                <w:lang w:val="en-US" w:eastAsia="zh-CN"/>
              </w:rPr>
              <w:t>-推进清洁能源的推广使用，全面推进散煤清洁化整治；</w:t>
            </w:r>
          </w:p>
          <w:p>
            <w:pPr>
              <w:pStyle w:val="22"/>
              <w:bidi w:val="0"/>
              <w:rPr>
                <w:rFonts w:hint="eastAsia"/>
                <w:lang w:val="en-US" w:eastAsia="zh-CN"/>
              </w:rPr>
            </w:pPr>
            <w:r>
              <w:rPr>
                <w:rFonts w:hint="eastAsia"/>
                <w:lang w:val="en-US" w:eastAsia="zh-CN"/>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22"/>
              <w:bidi w:val="0"/>
              <w:rPr>
                <w:rFonts w:hint="eastAsia"/>
                <w:lang w:val="en-US" w:eastAsia="zh-CN"/>
              </w:rPr>
            </w:pPr>
            <w:r>
              <w:rPr>
                <w:rFonts w:hint="eastAsia"/>
                <w:lang w:val="en-US" w:eastAsia="zh-CN"/>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22"/>
              <w:bidi w:val="0"/>
              <w:rPr>
                <w:rFonts w:hint="eastAsia"/>
                <w:lang w:val="en-US" w:eastAsia="zh-CN"/>
              </w:rPr>
            </w:pPr>
            <w:r>
              <w:rPr>
                <w:rFonts w:hint="eastAsia"/>
                <w:lang w:val="en-US" w:eastAsia="zh-CN"/>
              </w:rPr>
              <w:t>-禁燃区内禁止销售、燃用高污染燃料；禁止新建、改建、扩建燃用高污染燃料的设施和设备。</w:t>
            </w:r>
          </w:p>
          <w:p>
            <w:pPr>
              <w:pStyle w:val="22"/>
              <w:bidi w:val="0"/>
              <w:rPr>
                <w:rFonts w:hint="eastAsia"/>
                <w:lang w:val="en-US" w:eastAsia="zh-CN"/>
              </w:rPr>
            </w:pPr>
            <w:r>
              <w:rPr>
                <w:rFonts w:hint="eastAsia"/>
                <w:lang w:val="en-US" w:eastAsia="zh-CN"/>
              </w:rPr>
              <w:t>-禁燃区内已建成的高污染燃料燃用设施由辖区人民政府制定限期改造计划，改用天然气、页岩气、液化石油气、电或其他清洁能源。</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w:t>
            </w:r>
          </w:p>
        </w:tc>
        <w:tc>
          <w:tcPr>
            <w:tcW w:w="680" w:type="dxa"/>
            <w:noWrap w:val="0"/>
            <w:vAlign w:val="center"/>
          </w:tcPr>
          <w:p>
            <w:pPr>
              <w:pStyle w:val="22"/>
              <w:bidi w:val="0"/>
              <w:rPr>
                <w:lang w:val="en-US" w:eastAsia="zh-CN"/>
              </w:rPr>
            </w:pPr>
            <w:r>
              <w:rPr>
                <w:rFonts w:hint="eastAsia"/>
                <w:lang w:val="en-US" w:eastAsia="zh-CN"/>
              </w:rPr>
              <w:t>污染物排放管控</w:t>
            </w:r>
          </w:p>
        </w:tc>
        <w:tc>
          <w:tcPr>
            <w:tcW w:w="4320" w:type="dxa"/>
            <w:noWrap w:val="0"/>
            <w:vAlign w:val="center"/>
          </w:tcPr>
          <w:p>
            <w:pPr>
              <w:pStyle w:val="22"/>
              <w:bidi w:val="0"/>
              <w:rPr>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除柳池—方斗功能区二区废水需经深度处理至主要水污染物指标达《地表水环境质量标准》III类水域水质标准，石柱槽功能区废水处理达到回用水质标准外，其他各功能区污水厂出水标准执行《城镇污水处理厂污染物排放标准》一级A标准。</w:t>
            </w:r>
          </w:p>
          <w:p>
            <w:pPr>
              <w:pStyle w:val="22"/>
              <w:bidi w:val="0"/>
              <w:rPr>
                <w:rFonts w:hint="eastAsia"/>
                <w:lang w:val="en-US" w:eastAsia="zh-CN"/>
              </w:rPr>
            </w:pPr>
            <w:r>
              <w:rPr>
                <w:rFonts w:hint="eastAsia"/>
                <w:lang w:val="en-US" w:eastAsia="zh-CN"/>
              </w:rPr>
              <w:t>-含五类重点控制的重金属（汞、镉、铅、砷、铬）废水实现零排放。其他同达州市工业重点总体准入要求</w:t>
            </w:r>
          </w:p>
          <w:p>
            <w:pPr>
              <w:pStyle w:val="22"/>
              <w:bidi w:val="0"/>
              <w:rPr>
                <w:rFonts w:hint="eastAsia"/>
                <w:lang w:val="en-US" w:eastAsia="zh-CN"/>
              </w:rPr>
            </w:pPr>
            <w:r>
              <w:rPr>
                <w:rFonts w:hint="eastAsia"/>
                <w:lang w:val="en-US" w:eastAsia="zh-CN"/>
              </w:rPr>
              <w:t>新增源等量或倍量替代</w:t>
            </w:r>
          </w:p>
          <w:p>
            <w:pPr>
              <w:pStyle w:val="22"/>
              <w:bidi w:val="0"/>
              <w:rPr>
                <w:rFonts w:hint="eastAsia"/>
                <w:lang w:val="en-US" w:eastAsia="zh-CN"/>
              </w:rPr>
            </w:pPr>
            <w:r>
              <w:rPr>
                <w:rFonts w:hint="eastAsia"/>
                <w:lang w:val="en-US" w:eastAsia="zh-CN"/>
              </w:rPr>
              <w:t>执行达州市工业重点管控单元总体准入要求</w:t>
            </w:r>
          </w:p>
          <w:p>
            <w:pPr>
              <w:pStyle w:val="22"/>
              <w:bidi w:val="0"/>
              <w:rPr>
                <w:rFonts w:hint="eastAsia"/>
                <w:lang w:val="en-US" w:eastAsia="zh-CN"/>
              </w:rPr>
            </w:pPr>
            <w:r>
              <w:rPr>
                <w:rFonts w:hint="eastAsia"/>
                <w:lang w:val="en-US" w:eastAsia="zh-CN"/>
              </w:rPr>
              <w:t>新增源排放标准限值</w:t>
            </w:r>
          </w:p>
          <w:p>
            <w:pPr>
              <w:pStyle w:val="22"/>
              <w:bidi w:val="0"/>
              <w:rPr>
                <w:rFonts w:hint="eastAsia"/>
                <w:lang w:val="en-US" w:eastAsia="zh-CN"/>
              </w:rPr>
            </w:pPr>
            <w:r>
              <w:rPr>
                <w:rFonts w:hint="eastAsia"/>
                <w:lang w:val="en-US" w:eastAsia="zh-CN"/>
              </w:rPr>
              <w:t>同达州市工业重点总体准入要求</w:t>
            </w:r>
          </w:p>
          <w:p>
            <w:pPr>
              <w:pStyle w:val="22"/>
              <w:bidi w:val="0"/>
              <w:rPr>
                <w:rFonts w:hint="eastAsia"/>
                <w:lang w:val="en-US" w:eastAsia="zh-CN"/>
              </w:rPr>
            </w:pPr>
            <w:r>
              <w:rPr>
                <w:rFonts w:hint="eastAsia"/>
                <w:lang w:val="en-US" w:eastAsia="zh-CN"/>
              </w:rPr>
              <w:t>污染物排放绩效水平准入要求</w:t>
            </w:r>
          </w:p>
          <w:p>
            <w:pPr>
              <w:pStyle w:val="22"/>
              <w:bidi w:val="0"/>
              <w:rPr>
                <w:rFonts w:hint="eastAsia"/>
                <w:lang w:val="en-US" w:eastAsia="zh-CN"/>
              </w:rPr>
            </w:pPr>
            <w:r>
              <w:rPr>
                <w:rFonts w:hint="eastAsia"/>
                <w:lang w:val="en-US" w:eastAsia="zh-CN"/>
              </w:rPr>
              <w:t>针对该区域重点发展行业提出大气和水污染物排放约束性和建议性准入指标，逐步构建绿色化工等产业园区。其他同达州市工业重点总体准入要求</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w:t>
            </w:r>
          </w:p>
        </w:tc>
        <w:tc>
          <w:tcPr>
            <w:tcW w:w="900" w:type="dxa"/>
            <w:noWrap w:val="0"/>
            <w:vAlign w:val="center"/>
          </w:tcPr>
          <w:p>
            <w:pPr>
              <w:pStyle w:val="22"/>
              <w:bidi w:val="0"/>
              <w:rPr>
                <w:rFonts w:hint="eastAsia"/>
                <w:lang w:val="en-US" w:eastAsia="zh-CN"/>
              </w:rPr>
            </w:pPr>
            <w:r>
              <w:rPr>
                <w:rFonts w:hint="eastAsia"/>
                <w:lang w:val="en-US" w:eastAsia="zh-CN"/>
              </w:rPr>
              <w:t>本项目废水经处理达标后排入园区管网，经园区污水处理厂处理达标后排放。本项目VOCs经治理后，排放量较小</w:t>
            </w:r>
          </w:p>
        </w:tc>
        <w:tc>
          <w:tcPr>
            <w:tcW w:w="536" w:type="dxa"/>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vMerge w:val="continue"/>
            <w:noWrap w:val="0"/>
            <w:vAlign w:val="center"/>
          </w:tcPr>
          <w:p>
            <w:pPr>
              <w:pStyle w:val="22"/>
              <w:bidi w:val="0"/>
              <w:rPr>
                <w:lang w:val="en-US" w:eastAsia="zh-CN"/>
              </w:rPr>
            </w:pPr>
            <w:r>
              <w:rPr>
                <w:rFonts w:hint="eastAsia"/>
                <w:lang w:val="en-US" w:eastAsia="zh-CN"/>
              </w:rPr>
              <w:t>ZH51172220002</w:t>
            </w:r>
          </w:p>
        </w:tc>
        <w:tc>
          <w:tcPr>
            <w:tcW w:w="720" w:type="dxa"/>
            <w:vMerge w:val="continue"/>
            <w:noWrap w:val="0"/>
            <w:vAlign w:val="center"/>
          </w:tcPr>
          <w:p>
            <w:pPr>
              <w:pStyle w:val="22"/>
              <w:bidi w:val="0"/>
              <w:rPr>
                <w:lang w:val="en-US" w:eastAsia="zh-CN"/>
              </w:rPr>
            </w:pPr>
            <w:r>
              <w:rPr>
                <w:rFonts w:hint="eastAsia"/>
                <w:lang w:val="en-US" w:eastAsia="zh-CN"/>
              </w:rPr>
              <w:t>四川达州普光经济开发区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-禁止在长江干支流、重要湖泊岸线一公里范围内新建、扩建化工园区和化工项目，严控新建石油化工、煤化工、涉磷、造纸、印染、制革等项目。</w:t>
            </w:r>
          </w:p>
          <w:p>
            <w:pPr>
              <w:pStyle w:val="22"/>
              <w:bidi w:val="0"/>
              <w:rPr>
                <w:rFonts w:hint="eastAsia"/>
                <w:lang w:val="en-US" w:eastAsia="zh-CN"/>
              </w:rPr>
            </w:pPr>
            <w:r>
              <w:rPr>
                <w:rFonts w:hint="eastAsia"/>
                <w:lang w:val="en-US" w:eastAsia="zh-CN"/>
              </w:rPr>
              <w:t>-禁止从事《长江经济带发展负面清单指南（试行）》禁止准入类事项。</w:t>
            </w:r>
          </w:p>
          <w:p>
            <w:pPr>
              <w:pStyle w:val="22"/>
              <w:bidi w:val="0"/>
              <w:rPr>
                <w:rFonts w:hint="eastAsia"/>
                <w:lang w:val="en-US" w:eastAsia="zh-CN"/>
              </w:rPr>
            </w:pPr>
            <w:r>
              <w:rPr>
                <w:rFonts w:hint="eastAsia"/>
                <w:lang w:val="en-US" w:eastAsia="zh-CN"/>
              </w:rPr>
              <w:t>-引进项目应符合园区规划环评和区域产业准入及负面清单要求。</w:t>
            </w:r>
          </w:p>
          <w:p>
            <w:pPr>
              <w:pStyle w:val="22"/>
              <w:bidi w:val="0"/>
              <w:rPr>
                <w:rFonts w:hint="eastAsia"/>
                <w:lang w:val="en-US" w:eastAsia="zh-CN"/>
              </w:rPr>
            </w:pPr>
            <w:r>
              <w:rPr>
                <w:rFonts w:hint="eastAsia"/>
                <w:lang w:val="en-US" w:eastAsia="zh-CN"/>
              </w:rPr>
              <w:t>-禁止新建不符合国家产业政策和行业准入条件的高污染项目。</w:t>
            </w:r>
          </w:p>
          <w:p>
            <w:pPr>
              <w:pStyle w:val="22"/>
              <w:bidi w:val="0"/>
              <w:rPr>
                <w:rFonts w:hint="eastAsia"/>
                <w:lang w:val="en-US" w:eastAsia="zh-CN"/>
              </w:rPr>
            </w:pPr>
            <w:r>
              <w:rPr>
                <w:rFonts w:hint="eastAsia"/>
                <w:lang w:val="en-US" w:eastAsia="zh-CN"/>
              </w:rPr>
              <w:t>-工业园区禁止新建高污染燃料锅炉。</w:t>
            </w:r>
          </w:p>
          <w:p>
            <w:pPr>
              <w:pStyle w:val="22"/>
              <w:bidi w:val="0"/>
              <w:rPr>
                <w:rFonts w:hint="eastAsia"/>
                <w:lang w:val="en-US" w:eastAsia="zh-CN"/>
              </w:rPr>
            </w:pPr>
            <w:r>
              <w:rPr>
                <w:rFonts w:hint="eastAsia"/>
                <w:lang w:val="en-US" w:eastAsia="zh-CN"/>
              </w:rPr>
              <w:t>-禁止在长江流域河湖管理范围内倾倒、填埋、堆放、弃置、处理固体废物。</w:t>
            </w:r>
          </w:p>
          <w:p>
            <w:pPr>
              <w:pStyle w:val="22"/>
              <w:bidi w:val="0"/>
              <w:rPr>
                <w:rFonts w:hint="eastAsia"/>
                <w:lang w:val="en-US" w:eastAsia="zh-CN"/>
              </w:rPr>
            </w:pPr>
            <w:r>
              <w:rPr>
                <w:rFonts w:hint="eastAsia"/>
                <w:lang w:val="en-US" w:eastAsia="zh-CN"/>
              </w:rPr>
              <w:t>-未通过认定的化工园区，不得新建、改扩建化工项目（安全、环保、节能和智能化改造项目除外），按属地原则依法依规妥善做好未通过认定化工园区及园内企业的转型、关闭、处置及监管工作。</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-严格控制污染物新增排放量，对新建排放二氧化硫、氮氧化物、工业烟粉尘和 VOCS 的项目实施现役源 2 倍削减量替代。</w:t>
            </w:r>
          </w:p>
          <w:p>
            <w:pPr>
              <w:pStyle w:val="22"/>
              <w:bidi w:val="0"/>
              <w:rPr>
                <w:rFonts w:hint="eastAsia"/>
                <w:lang w:val="en-US" w:eastAsia="zh-CN"/>
              </w:rPr>
            </w:pPr>
            <w:r>
              <w:rPr>
                <w:rFonts w:hint="eastAsia"/>
                <w:lang w:val="en-US" w:eastAsia="zh-CN"/>
              </w:rPr>
              <w:t>-严格实施环评制度，将细颗粒物达标情况纳入规划环评和相关项目环评内容，加快制定颗粒物、VOCS排放总量管理配套政策。</w:t>
            </w:r>
          </w:p>
          <w:p>
            <w:pPr>
              <w:pStyle w:val="22"/>
              <w:bidi w:val="0"/>
              <w:rPr>
                <w:rFonts w:hint="eastAsia"/>
                <w:lang w:val="en-US" w:eastAsia="zh-CN"/>
              </w:rPr>
            </w:pPr>
            <w:r>
              <w:rPr>
                <w:rFonts w:hint="eastAsia"/>
                <w:lang w:val="en-US" w:eastAsia="zh-CN"/>
              </w:rPr>
              <w:t>-严格控制新建、扩建燃煤发电项目。</w:t>
            </w:r>
          </w:p>
          <w:p>
            <w:pPr>
              <w:pStyle w:val="22"/>
              <w:bidi w:val="0"/>
              <w:rPr>
                <w:rFonts w:hint="eastAsia"/>
                <w:lang w:val="en-US" w:eastAsia="zh-CN"/>
              </w:rPr>
            </w:pPr>
            <w:r>
              <w:rPr>
                <w:rFonts w:hint="eastAsia"/>
                <w:lang w:val="en-US" w:eastAsia="zh-CN"/>
              </w:rPr>
              <w:t>-严控达州市主城区上游沿岸地区新建石油化工、煤化工、涉磷、造纸、印染、制革等项目。</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-现有属于禁止引入产业门类的企业，应按相关规定限期整治或退出。</w:t>
            </w:r>
          </w:p>
          <w:p>
            <w:pPr>
              <w:pStyle w:val="22"/>
              <w:bidi w:val="0"/>
              <w:rPr>
                <w:rFonts w:hint="eastAsia"/>
                <w:lang w:val="en-US" w:eastAsia="zh-CN"/>
              </w:rPr>
            </w:pPr>
            <w:r>
              <w:rPr>
                <w:rFonts w:hint="eastAsia"/>
                <w:lang w:val="en-US" w:eastAsia="zh-CN"/>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22"/>
              <w:bidi w:val="0"/>
              <w:rPr>
                <w:rFonts w:hint="eastAsia"/>
                <w:lang w:val="en-US" w:eastAsia="zh-CN"/>
              </w:rPr>
            </w:pPr>
            <w:r>
              <w:rPr>
                <w:rFonts w:hint="eastAsia"/>
                <w:lang w:val="en-US" w:eastAsia="zh-CN"/>
              </w:rPr>
              <w:t>-引导重污染产业退出或搬迁、企业分类退城入园，逐步打破近水靠城的历史工业布局。加大城市区域现有装备水平低、环保设施差的微小企业“关、停、并、转”实施力度，清理建成区上风向重点涉气项目。</w:t>
            </w:r>
          </w:p>
          <w:p>
            <w:pPr>
              <w:pStyle w:val="22"/>
              <w:bidi w:val="0"/>
              <w:rPr>
                <w:rFonts w:hint="eastAsia"/>
                <w:lang w:val="en-US" w:eastAsia="zh-CN"/>
              </w:rPr>
            </w:pPr>
            <w:r>
              <w:rPr>
                <w:rFonts w:hint="eastAsia"/>
                <w:lang w:val="en-US" w:eastAsia="zh-CN"/>
              </w:rPr>
              <w:t>-石化、现代煤化工项目应纳入国家产业规划。新建、扩建石化、化工、焦化、有色金属冶炼、平板玻璃项目应布设在依法合规设立并经规划环评的产业园区。</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达州市2025年水污染物允许排放量COD4396.41t，氨氮418.7t，TP45.36t；达州市2025年大气污染物一次PM2.5 5805t、SO2 12773t、NOx11892t、VOCs 13969t</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-污水收集处理率达100%；</w:t>
            </w:r>
          </w:p>
          <w:p>
            <w:pPr>
              <w:pStyle w:val="22"/>
              <w:bidi w:val="0"/>
              <w:rPr>
                <w:rFonts w:hint="eastAsia"/>
                <w:lang w:val="en-US" w:eastAsia="zh-CN"/>
              </w:rPr>
            </w:pPr>
            <w:r>
              <w:rPr>
                <w:rFonts w:hint="eastAsia"/>
                <w:lang w:val="en-US" w:eastAsia="zh-CN"/>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22"/>
              <w:bidi w:val="0"/>
              <w:rPr>
                <w:rFonts w:hint="eastAsia"/>
                <w:lang w:val="en-US" w:eastAsia="zh-CN"/>
              </w:rPr>
            </w:pPr>
            <w:r>
              <w:rPr>
                <w:rFonts w:hint="eastAsia"/>
                <w:lang w:val="en-US" w:eastAsia="zh-CN"/>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22"/>
              <w:bidi w:val="0"/>
              <w:rPr>
                <w:rFonts w:hint="eastAsia"/>
                <w:lang w:val="en-US" w:eastAsia="zh-CN"/>
              </w:rPr>
            </w:pPr>
            <w:r>
              <w:rPr>
                <w:rFonts w:hint="eastAsia"/>
                <w:lang w:val="en-US" w:eastAsia="zh-CN"/>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新增源等量或倍量替代:上一年度水环境质量未完成目标的，新建排放水污染的建设项目按照总量管控要求进行倍量削减替代。</w:t>
            </w:r>
          </w:p>
          <w:p>
            <w:pPr>
              <w:pStyle w:val="22"/>
              <w:bidi w:val="0"/>
              <w:rPr>
                <w:rFonts w:hint="eastAsia"/>
                <w:lang w:val="en-US" w:eastAsia="zh-CN"/>
              </w:rPr>
            </w:pPr>
            <w:r>
              <w:rPr>
                <w:rFonts w:hint="eastAsia"/>
                <w:lang w:val="en-US" w:eastAsia="zh-CN"/>
              </w:rPr>
              <w:t xml:space="preserve">上一年度空气质量年平均浓度不达标的城市，建设项目新增相关污染物按照总量管控要求进行倍量削减替代。                </w:t>
            </w:r>
          </w:p>
          <w:p>
            <w:pPr>
              <w:pStyle w:val="22"/>
              <w:bidi w:val="0"/>
              <w:rPr>
                <w:rFonts w:hint="eastAsia"/>
                <w:lang w:val="en-US" w:eastAsia="zh-CN"/>
              </w:rPr>
            </w:pPr>
            <w:r>
              <w:rPr>
                <w:rFonts w:hint="eastAsia"/>
                <w:lang w:val="en-US" w:eastAsia="zh-CN"/>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22"/>
              <w:bidi w:val="0"/>
              <w:rPr>
                <w:rFonts w:hint="eastAsia"/>
                <w:lang w:val="en-US" w:eastAsia="zh-CN"/>
              </w:rPr>
            </w:pPr>
            <w:r>
              <w:rPr>
                <w:rFonts w:hint="eastAsia"/>
                <w:lang w:val="en-US" w:eastAsia="zh-CN"/>
              </w:rPr>
              <w:t xml:space="preserve">污染物排放绩效水平准入要求:新、改扩建项目污染排放指标满足《四川省省级生态工业园区指标》综合类生态工业园区要求。工业固体废弃物利用处置率达100%，危险废物处置率达100%。          </w:t>
            </w:r>
          </w:p>
          <w:p>
            <w:pPr>
              <w:pStyle w:val="22"/>
              <w:bidi w:val="0"/>
              <w:rPr>
                <w:rFonts w:hint="eastAsia"/>
                <w:lang w:val="en-US" w:eastAsia="zh-CN"/>
              </w:rPr>
            </w:pPr>
            <w:r>
              <w:rPr>
                <w:rFonts w:hint="eastAsia"/>
                <w:lang w:val="en-US" w:eastAsia="zh-CN"/>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22"/>
              <w:bidi w:val="0"/>
              <w:rPr>
                <w:rFonts w:hint="eastAsia"/>
                <w:lang w:val="en-US" w:eastAsia="zh-CN"/>
              </w:rPr>
            </w:pPr>
            <w:r>
              <w:rPr>
                <w:rFonts w:hint="eastAsia"/>
                <w:lang w:val="en-US" w:eastAsia="zh-CN"/>
              </w:rPr>
              <w:t xml:space="preserve">钢铁行业新建应参考达州市“三线一单”生态环境分区管控中钢铁行业资源环境绩效准入门槛。                         </w:t>
            </w:r>
          </w:p>
          <w:p>
            <w:pPr>
              <w:pStyle w:val="22"/>
              <w:bidi w:val="0"/>
              <w:rPr>
                <w:rFonts w:hint="eastAsia"/>
                <w:lang w:val="en-US" w:eastAsia="zh-CN"/>
              </w:rPr>
            </w:pPr>
            <w:r>
              <w:rPr>
                <w:rFonts w:hint="eastAsia"/>
                <w:lang w:val="en-US" w:eastAsia="zh-CN"/>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22"/>
              <w:bidi w:val="0"/>
              <w:rPr>
                <w:rFonts w:hint="eastAsia"/>
                <w:lang w:val="en-US" w:eastAsia="zh-CN"/>
              </w:rPr>
            </w:pPr>
            <w:r>
              <w:rPr>
                <w:rFonts w:hint="eastAsia"/>
                <w:lang w:val="en-US" w:eastAsia="zh-CN"/>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22"/>
              <w:bidi w:val="0"/>
              <w:rPr>
                <w:rFonts w:hint="eastAsia"/>
                <w:lang w:val="en-US" w:eastAsia="zh-CN"/>
              </w:rPr>
            </w:pPr>
            <w:r>
              <w:rPr>
                <w:rFonts w:hint="eastAsia"/>
                <w:lang w:val="en-US" w:eastAsia="zh-CN"/>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22"/>
              <w:bidi w:val="0"/>
              <w:rPr>
                <w:rFonts w:hint="eastAsia"/>
                <w:lang w:val="en-US" w:eastAsia="zh-CN"/>
              </w:rPr>
            </w:pPr>
            <w:r>
              <w:rPr>
                <w:rFonts w:hint="eastAsia"/>
                <w:lang w:val="en-US" w:eastAsia="zh-CN"/>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22"/>
              <w:bidi w:val="0"/>
              <w:rPr>
                <w:rFonts w:hint="eastAsia"/>
                <w:lang w:val="en-US" w:eastAsia="zh-CN"/>
              </w:rPr>
            </w:pPr>
            <w:r>
              <w:rPr>
                <w:rFonts w:hint="eastAsia"/>
                <w:lang w:val="en-US" w:eastAsia="zh-CN"/>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22"/>
              <w:bidi w:val="0"/>
              <w:rPr>
                <w:rFonts w:hint="eastAsia"/>
                <w:lang w:val="en-US" w:eastAsia="zh-CN"/>
              </w:rPr>
            </w:pPr>
            <w:r>
              <w:rPr>
                <w:rFonts w:hint="eastAsia"/>
                <w:lang w:val="en-US" w:eastAsia="zh-CN"/>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新、改扩建项目污染水耗指标满足《四川省省级生态工业园区指标》综合类生态工业园区要求；到2022年，万元国内生产总值用水量、万元工业增加值用水量较2015年分别下降30%和28%。</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以省市下发指标为准</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川东北区域实施新建项目与煤炭消费总量控制挂钩机制，耗煤建设项目实行煤炭消耗等量减量替代。提高煤炭利用效率和天然气利用占比，工业领域有序推进“煤改电”和有序推进“煤改气”。</w:t>
            </w:r>
          </w:p>
          <w:p>
            <w:pPr>
              <w:pStyle w:val="22"/>
              <w:bidi w:val="0"/>
              <w:rPr>
                <w:rFonts w:hint="eastAsia"/>
                <w:lang w:val="en-US" w:eastAsia="zh-CN"/>
              </w:rPr>
            </w:pPr>
            <w:r>
              <w:rPr>
                <w:rFonts w:hint="eastAsia"/>
                <w:lang w:val="en-US" w:eastAsia="zh-CN"/>
              </w:rPr>
              <w:t>-大力实施和推广以电代煤、以电代油工程，重点在城市交通、工商业等领域实施以电代油、以电代煤。</w:t>
            </w:r>
          </w:p>
          <w:p>
            <w:pPr>
              <w:pStyle w:val="22"/>
              <w:bidi w:val="0"/>
              <w:rPr>
                <w:rFonts w:hint="eastAsia"/>
                <w:lang w:val="en-US" w:eastAsia="zh-CN"/>
              </w:rPr>
            </w:pPr>
            <w:r>
              <w:rPr>
                <w:rFonts w:hint="eastAsia"/>
                <w:lang w:val="en-US" w:eastAsia="zh-CN"/>
              </w:rPr>
              <w:t>-增加天然气对煤炭和石油的替代，提高天然气民用、交通、发电、工业领域天然气消费比重。</w:t>
            </w:r>
          </w:p>
          <w:p>
            <w:pPr>
              <w:pStyle w:val="22"/>
              <w:bidi w:val="0"/>
              <w:rPr>
                <w:rFonts w:hint="eastAsia"/>
                <w:lang w:val="en-US" w:eastAsia="zh-CN"/>
              </w:rPr>
            </w:pPr>
            <w:r>
              <w:rPr>
                <w:rFonts w:hint="eastAsia"/>
                <w:lang w:val="en-US" w:eastAsia="zh-CN"/>
              </w:rPr>
              <w:t>-实施煤炭消费总量控制：严格控制煤炭消费总量；严格控制新建、改建、扩建耗煤项目，新增耗煤项目实行煤炭消耗减量倍量替代。</w:t>
            </w:r>
          </w:p>
          <w:p>
            <w:pPr>
              <w:pStyle w:val="22"/>
              <w:bidi w:val="0"/>
              <w:rPr>
                <w:rFonts w:hint="eastAsia"/>
                <w:lang w:val="en-US" w:eastAsia="zh-CN"/>
              </w:rPr>
            </w:pPr>
            <w:r>
              <w:rPr>
                <w:rFonts w:hint="eastAsia"/>
                <w:lang w:val="en-US" w:eastAsia="zh-CN"/>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22"/>
              <w:bidi w:val="0"/>
              <w:rPr>
                <w:rFonts w:hint="eastAsia"/>
                <w:lang w:val="en-US" w:eastAsia="zh-CN"/>
              </w:rPr>
            </w:pPr>
            <w:r>
              <w:rPr>
                <w:rFonts w:hint="eastAsia"/>
                <w:lang w:val="en-US" w:eastAsia="zh-CN"/>
              </w:rPr>
              <w:t>-推进清洁能源的推广使用，全面推进散煤清洁化整治；</w:t>
            </w:r>
          </w:p>
          <w:p>
            <w:pPr>
              <w:pStyle w:val="22"/>
              <w:bidi w:val="0"/>
              <w:rPr>
                <w:rFonts w:hint="eastAsia"/>
                <w:lang w:val="en-US" w:eastAsia="zh-CN"/>
              </w:rPr>
            </w:pPr>
            <w:r>
              <w:rPr>
                <w:rFonts w:hint="eastAsia"/>
                <w:lang w:val="en-US" w:eastAsia="zh-CN"/>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22"/>
              <w:bidi w:val="0"/>
              <w:rPr>
                <w:rFonts w:hint="eastAsia"/>
                <w:lang w:val="en-US" w:eastAsia="zh-CN"/>
              </w:rPr>
            </w:pPr>
            <w:r>
              <w:rPr>
                <w:rFonts w:hint="eastAsia"/>
                <w:lang w:val="en-US" w:eastAsia="zh-CN"/>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22"/>
              <w:bidi w:val="0"/>
              <w:rPr>
                <w:rFonts w:hint="eastAsia"/>
                <w:lang w:val="en-US" w:eastAsia="zh-CN"/>
              </w:rPr>
            </w:pPr>
            <w:r>
              <w:rPr>
                <w:rFonts w:hint="eastAsia"/>
                <w:lang w:val="en-US" w:eastAsia="zh-CN"/>
              </w:rPr>
              <w:t>-禁燃区内禁止销售、燃用高污染燃料；禁止新建、改建、扩建燃用高污染燃料的设施和设备。</w:t>
            </w:r>
          </w:p>
          <w:p>
            <w:pPr>
              <w:pStyle w:val="22"/>
              <w:bidi w:val="0"/>
              <w:rPr>
                <w:rFonts w:hint="eastAsia"/>
                <w:lang w:val="en-US" w:eastAsia="zh-CN"/>
              </w:rPr>
            </w:pPr>
            <w:r>
              <w:rPr>
                <w:rFonts w:hint="eastAsia"/>
                <w:lang w:val="en-US" w:eastAsia="zh-CN"/>
              </w:rPr>
              <w:t>-禁燃区内已建成的高污染燃料燃用设施由辖区人民政府制定限期改造计划，改用天然气、页岩气、液化石油气、电或其他清洁能源。</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w:t>
            </w:r>
          </w:p>
        </w:tc>
        <w:tc>
          <w:tcPr>
            <w:tcW w:w="680" w:type="dxa"/>
            <w:noWrap w:val="0"/>
            <w:vAlign w:val="center"/>
          </w:tcPr>
          <w:p>
            <w:pPr>
              <w:pStyle w:val="22"/>
              <w:bidi w:val="0"/>
              <w:rPr>
                <w:lang w:val="en-US" w:eastAsia="zh-CN"/>
              </w:rPr>
            </w:pPr>
            <w:r>
              <w:rPr>
                <w:rFonts w:hint="eastAsia"/>
                <w:lang w:val="en-US" w:eastAsia="zh-CN"/>
              </w:rPr>
              <w:t>环境风险防控</w:t>
            </w:r>
          </w:p>
        </w:tc>
        <w:tc>
          <w:tcPr>
            <w:tcW w:w="4320" w:type="dxa"/>
            <w:noWrap w:val="0"/>
            <w:vAlign w:val="center"/>
          </w:tcPr>
          <w:p>
            <w:pPr>
              <w:pStyle w:val="22"/>
              <w:bidi w:val="0"/>
              <w:rPr>
                <w:lang w:val="en-US" w:eastAsia="zh-CN"/>
              </w:rPr>
            </w:pPr>
            <w:r>
              <w:rPr>
                <w:rFonts w:hint="eastAsia"/>
                <w:lang w:val="en-US" w:eastAsia="zh-CN"/>
              </w:rPr>
              <w:t>严格管控类农用地管控要求</w:t>
            </w:r>
          </w:p>
          <w:p>
            <w:pPr>
              <w:pStyle w:val="22"/>
              <w:bidi w:val="0"/>
              <w:rPr>
                <w:rFonts w:hint="eastAsia"/>
                <w:lang w:val="en-US" w:eastAsia="zh-CN"/>
              </w:rPr>
            </w:pPr>
            <w:r>
              <w:rPr>
                <w:rFonts w:hint="eastAsia"/>
                <w:lang w:val="en-US" w:eastAsia="zh-CN"/>
              </w:rPr>
              <w:t>1、优先保护类耕地集中区域现有可能造成土壤污染的相关行业企业要采用新技术、新工艺，加快提标升级改造步伐，定期开展土壤污染隐患排查与风险管控，防止对耕地造成污染；</w:t>
            </w:r>
          </w:p>
          <w:p>
            <w:pPr>
              <w:pStyle w:val="22"/>
              <w:bidi w:val="0"/>
              <w:rPr>
                <w:rFonts w:hint="eastAsia"/>
                <w:lang w:val="en-US" w:eastAsia="zh-CN"/>
              </w:rPr>
            </w:pPr>
            <w:r>
              <w:rPr>
                <w:rFonts w:hint="eastAsia"/>
                <w:lang w:val="en-US" w:eastAsia="zh-CN"/>
              </w:rPr>
              <w:t>2、排放污染物的企业事业单位和其他生产经营者应当采取有效措施，确保废水、废气排放和固体废物处理、处置符合国家有关规定要求，强化土壤环境污染治理及风险管控，防止对周边农用地土壤造成污染。</w:t>
            </w:r>
          </w:p>
          <w:p>
            <w:pPr>
              <w:pStyle w:val="22"/>
              <w:bidi w:val="0"/>
              <w:rPr>
                <w:rFonts w:hint="eastAsia"/>
                <w:lang w:val="en-US" w:eastAsia="zh-CN"/>
              </w:rPr>
            </w:pPr>
            <w:r>
              <w:rPr>
                <w:rFonts w:hint="eastAsia"/>
                <w:lang w:val="en-US" w:eastAsia="zh-CN"/>
              </w:rPr>
              <w:t>其他同达州市工业重点总体准入要求</w:t>
            </w:r>
          </w:p>
          <w:p>
            <w:pPr>
              <w:pStyle w:val="22"/>
              <w:bidi w:val="0"/>
              <w:rPr>
                <w:rFonts w:hint="eastAsia"/>
                <w:lang w:val="en-US" w:eastAsia="zh-CN"/>
              </w:rPr>
            </w:pPr>
            <w:r>
              <w:rPr>
                <w:rFonts w:hint="eastAsia"/>
                <w:lang w:val="en-US" w:eastAsia="zh-CN"/>
              </w:rPr>
              <w:t>安全利用类农用地管控要求</w:t>
            </w:r>
          </w:p>
          <w:p>
            <w:pPr>
              <w:pStyle w:val="22"/>
              <w:bidi w:val="0"/>
              <w:rPr>
                <w:rFonts w:hint="eastAsia"/>
                <w:lang w:val="en-US" w:eastAsia="zh-CN"/>
              </w:rPr>
            </w:pPr>
            <w:r>
              <w:rPr>
                <w:rFonts w:hint="eastAsia"/>
                <w:lang w:val="en-US" w:eastAsia="zh-CN"/>
              </w:rPr>
              <w:t>天然气化工、硫化工等污染排放较大且环境风险防范要求较高的产业应避开下风向近距离场镇等人群集中居住区，其他同达州市工业重点总体准入要求</w:t>
            </w:r>
          </w:p>
          <w:p>
            <w:pPr>
              <w:pStyle w:val="22"/>
              <w:bidi w:val="0"/>
              <w:rPr>
                <w:rFonts w:hint="eastAsia"/>
                <w:lang w:val="en-US" w:eastAsia="zh-CN"/>
              </w:rPr>
            </w:pPr>
            <w:r>
              <w:rPr>
                <w:rFonts w:hint="eastAsia"/>
                <w:lang w:val="en-US" w:eastAsia="zh-CN"/>
              </w:rPr>
              <w:t>污染地块管控要求</w:t>
            </w:r>
          </w:p>
          <w:p>
            <w:pPr>
              <w:pStyle w:val="22"/>
              <w:bidi w:val="0"/>
              <w:rPr>
                <w:rFonts w:hint="eastAsia"/>
                <w:lang w:val="en-US" w:eastAsia="zh-CN"/>
              </w:rPr>
            </w:pPr>
            <w:r>
              <w:rPr>
                <w:rFonts w:hint="eastAsia"/>
                <w:lang w:val="en-US" w:eastAsia="zh-CN"/>
              </w:rPr>
              <w:t>执行达州市工业重点管控单元总体要求</w:t>
            </w:r>
          </w:p>
          <w:p>
            <w:pPr>
              <w:pStyle w:val="22"/>
              <w:bidi w:val="0"/>
              <w:rPr>
                <w:rFonts w:hint="eastAsia"/>
                <w:lang w:val="en-US" w:eastAsia="zh-CN"/>
              </w:rPr>
            </w:pPr>
            <w:r>
              <w:rPr>
                <w:rFonts w:hint="eastAsia"/>
                <w:lang w:val="en-US" w:eastAsia="zh-CN"/>
              </w:rPr>
              <w:t>园区环境风险防控要求</w:t>
            </w:r>
          </w:p>
          <w:p>
            <w:pPr>
              <w:pStyle w:val="22"/>
              <w:bidi w:val="0"/>
              <w:rPr>
                <w:rFonts w:hint="eastAsia"/>
                <w:lang w:val="en-US" w:eastAsia="zh-CN"/>
              </w:rPr>
            </w:pPr>
            <w:r>
              <w:rPr>
                <w:rFonts w:hint="eastAsia"/>
                <w:lang w:val="en-US" w:eastAsia="zh-CN"/>
              </w:rPr>
              <w:t>1、化工园区：建立污染源头、过程处理和最终排放的“三级防控”机制。高度重视化工园区的环境安全工作，构建“企业-园区-流域”三级防控体系，实现“事故废水不出涉事企业、不出园区管网、不进园区周边水系”的风险防控目标。</w:t>
            </w:r>
          </w:p>
          <w:p>
            <w:pPr>
              <w:pStyle w:val="22"/>
              <w:bidi w:val="0"/>
              <w:rPr>
                <w:rFonts w:hint="eastAsia"/>
                <w:lang w:val="en-US" w:eastAsia="zh-CN"/>
              </w:rPr>
            </w:pPr>
            <w:r>
              <w:rPr>
                <w:rFonts w:hint="eastAsia"/>
                <w:lang w:val="en-US" w:eastAsia="zh-CN"/>
              </w:rPr>
              <w:t>其他同达州市工业重点总体准入要求</w:t>
            </w:r>
          </w:p>
          <w:p>
            <w:pPr>
              <w:pStyle w:val="22"/>
              <w:bidi w:val="0"/>
              <w:rPr>
                <w:rFonts w:hint="eastAsia"/>
                <w:lang w:val="en-US" w:eastAsia="zh-CN"/>
              </w:rPr>
            </w:pPr>
            <w:r>
              <w:rPr>
                <w:rFonts w:hint="eastAsia"/>
                <w:lang w:val="en-US" w:eastAsia="zh-CN"/>
              </w:rPr>
              <w:t>企业环境风险防控要求</w:t>
            </w:r>
          </w:p>
          <w:p>
            <w:pPr>
              <w:pStyle w:val="22"/>
              <w:bidi w:val="0"/>
              <w:rPr>
                <w:rFonts w:hint="eastAsia"/>
                <w:lang w:val="en-US" w:eastAsia="zh-CN"/>
              </w:rPr>
            </w:pPr>
            <w:r>
              <w:rPr>
                <w:rFonts w:hint="eastAsia"/>
                <w:lang w:val="en-US" w:eastAsia="zh-CN"/>
              </w:rPr>
              <w:t>-天然气化工、硫化工等污染排放较大且环境风险防范要求较高的产业应避开下风向近距离场镇等人群集中居住区。</w:t>
            </w:r>
          </w:p>
          <w:p>
            <w:pPr>
              <w:pStyle w:val="22"/>
              <w:bidi w:val="0"/>
              <w:rPr>
                <w:rFonts w:hint="eastAsia"/>
                <w:lang w:val="en-US" w:eastAsia="zh-CN"/>
              </w:rPr>
            </w:pPr>
            <w:r>
              <w:rPr>
                <w:rFonts w:hint="eastAsia"/>
                <w:lang w:val="en-US" w:eastAsia="zh-CN"/>
              </w:rPr>
              <w:t>-在化工园区外禁止设置存储大宗危险化学物质的仓储项目，化工园区内设置存储大宗危险化学物质的仓储项目应充分论证其必要性。</w:t>
            </w:r>
          </w:p>
          <w:p>
            <w:pPr>
              <w:pStyle w:val="22"/>
              <w:bidi w:val="0"/>
              <w:rPr>
                <w:rFonts w:hint="eastAsia"/>
                <w:lang w:val="en-US" w:eastAsia="zh-CN"/>
              </w:rPr>
            </w:pPr>
            <w:r>
              <w:rPr>
                <w:rFonts w:hint="eastAsia"/>
                <w:lang w:val="en-US" w:eastAsia="zh-CN"/>
              </w:rPr>
              <w:t>其他同达州市工业重点总体准入要求</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本项目符合园区要求</w:t>
            </w:r>
          </w:p>
        </w:tc>
        <w:tc>
          <w:tcPr>
            <w:tcW w:w="536" w:type="dxa"/>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9" w:hRule="atLeast"/>
        </w:trPr>
        <w:tc>
          <w:tcPr>
            <w:tcW w:w="776" w:type="dxa"/>
            <w:vMerge w:val="continue"/>
            <w:noWrap w:val="0"/>
            <w:vAlign w:val="center"/>
          </w:tcPr>
          <w:p>
            <w:pPr>
              <w:pStyle w:val="22"/>
              <w:bidi w:val="0"/>
              <w:rPr>
                <w:lang w:val="en-US" w:eastAsia="zh-CN"/>
              </w:rPr>
            </w:pPr>
            <w:r>
              <w:rPr>
                <w:rFonts w:hint="eastAsia"/>
                <w:lang w:val="en-US" w:eastAsia="zh-CN"/>
              </w:rPr>
              <w:t>ZH51172220002</w:t>
            </w:r>
          </w:p>
        </w:tc>
        <w:tc>
          <w:tcPr>
            <w:tcW w:w="720" w:type="dxa"/>
            <w:vMerge w:val="continue"/>
            <w:noWrap w:val="0"/>
            <w:vAlign w:val="center"/>
          </w:tcPr>
          <w:p>
            <w:pPr>
              <w:pStyle w:val="22"/>
              <w:bidi w:val="0"/>
              <w:rPr>
                <w:lang w:val="en-US" w:eastAsia="zh-CN"/>
              </w:rPr>
            </w:pPr>
            <w:r>
              <w:rPr>
                <w:rFonts w:hint="eastAsia"/>
                <w:lang w:val="en-US" w:eastAsia="zh-CN"/>
              </w:rPr>
              <w:t>四川达州普光经济开发区</w:t>
            </w:r>
          </w:p>
        </w:tc>
        <w:tc>
          <w:tcPr>
            <w:tcW w:w="5720" w:type="dxa"/>
            <w:vMerge w:val="continue"/>
            <w:noWrap w:val="0"/>
            <w:vAlign w:val="top"/>
          </w:tcPr>
          <w:p>
            <w:pPr>
              <w:pStyle w:val="22"/>
              <w:bidi w:val="0"/>
              <w:rPr>
                <w:lang w:val="en-US" w:eastAsia="zh-CN"/>
              </w:rPr>
            </w:pPr>
            <w:r>
              <w:rPr>
                <w:rFonts w:hint="eastAsia"/>
                <w:lang w:val="en-US" w:eastAsia="zh-CN"/>
              </w:rPr>
              <w:t>空间布局约束：</w:t>
            </w:r>
          </w:p>
          <w:p>
            <w:pPr>
              <w:pStyle w:val="22"/>
              <w:bidi w:val="0"/>
              <w:rPr>
                <w:rFonts w:hint="eastAsia"/>
                <w:lang w:val="en-US" w:eastAsia="zh-CN"/>
              </w:rPr>
            </w:pPr>
            <w:r>
              <w:rPr>
                <w:rFonts w:hint="eastAsia"/>
                <w:lang w:val="en-US" w:eastAsia="zh-CN"/>
              </w:rPr>
              <w:t>禁止开发建设活动的要求</w:t>
            </w:r>
          </w:p>
          <w:p>
            <w:pPr>
              <w:pStyle w:val="22"/>
              <w:bidi w:val="0"/>
              <w:rPr>
                <w:rFonts w:hint="eastAsia"/>
                <w:lang w:val="en-US" w:eastAsia="zh-CN"/>
              </w:rPr>
            </w:pPr>
            <w:r>
              <w:rPr>
                <w:rFonts w:hint="eastAsia"/>
                <w:lang w:val="en-US" w:eastAsia="zh-CN"/>
              </w:rPr>
              <w:t>-禁止在长江干支流、重要湖泊岸线一公里范围内新建、扩建化工园区和化工项目，严控新建石油化工、煤化工、涉磷、造纸、印染、制革等项目。</w:t>
            </w:r>
          </w:p>
          <w:p>
            <w:pPr>
              <w:pStyle w:val="22"/>
              <w:bidi w:val="0"/>
              <w:rPr>
                <w:rFonts w:hint="eastAsia"/>
                <w:lang w:val="en-US" w:eastAsia="zh-CN"/>
              </w:rPr>
            </w:pPr>
            <w:r>
              <w:rPr>
                <w:rFonts w:hint="eastAsia"/>
                <w:lang w:val="en-US" w:eastAsia="zh-CN"/>
              </w:rPr>
              <w:t>-禁止从事《长江经济带发展负面清单指南（试行）》禁止准入类事项。</w:t>
            </w:r>
          </w:p>
          <w:p>
            <w:pPr>
              <w:pStyle w:val="22"/>
              <w:bidi w:val="0"/>
              <w:rPr>
                <w:rFonts w:hint="eastAsia"/>
                <w:lang w:val="en-US" w:eastAsia="zh-CN"/>
              </w:rPr>
            </w:pPr>
            <w:r>
              <w:rPr>
                <w:rFonts w:hint="eastAsia"/>
                <w:lang w:val="en-US" w:eastAsia="zh-CN"/>
              </w:rPr>
              <w:t>-引进项目应符合园区规划环评和区域产业准入及负面清单要求。</w:t>
            </w:r>
          </w:p>
          <w:p>
            <w:pPr>
              <w:pStyle w:val="22"/>
              <w:bidi w:val="0"/>
              <w:rPr>
                <w:rFonts w:hint="eastAsia"/>
                <w:lang w:val="en-US" w:eastAsia="zh-CN"/>
              </w:rPr>
            </w:pPr>
            <w:r>
              <w:rPr>
                <w:rFonts w:hint="eastAsia"/>
                <w:lang w:val="en-US" w:eastAsia="zh-CN"/>
              </w:rPr>
              <w:t>-禁止新建不符合国家产业政策和行业准入条件的高污染项目。</w:t>
            </w:r>
          </w:p>
          <w:p>
            <w:pPr>
              <w:pStyle w:val="22"/>
              <w:bidi w:val="0"/>
              <w:rPr>
                <w:rFonts w:hint="eastAsia"/>
                <w:lang w:val="en-US" w:eastAsia="zh-CN"/>
              </w:rPr>
            </w:pPr>
            <w:r>
              <w:rPr>
                <w:rFonts w:hint="eastAsia"/>
                <w:lang w:val="en-US" w:eastAsia="zh-CN"/>
              </w:rPr>
              <w:t>-工业园区禁止新建高污染燃料锅炉。</w:t>
            </w:r>
          </w:p>
          <w:p>
            <w:pPr>
              <w:pStyle w:val="22"/>
              <w:bidi w:val="0"/>
              <w:rPr>
                <w:rFonts w:hint="eastAsia"/>
                <w:lang w:val="en-US" w:eastAsia="zh-CN"/>
              </w:rPr>
            </w:pPr>
            <w:r>
              <w:rPr>
                <w:rFonts w:hint="eastAsia"/>
                <w:lang w:val="en-US" w:eastAsia="zh-CN"/>
              </w:rPr>
              <w:t>-禁止在长江流域河湖管理范围内倾倒、填埋、堆放、弃置、处理固体废物。</w:t>
            </w:r>
          </w:p>
          <w:p>
            <w:pPr>
              <w:pStyle w:val="22"/>
              <w:bidi w:val="0"/>
              <w:rPr>
                <w:rFonts w:hint="eastAsia"/>
                <w:lang w:val="en-US" w:eastAsia="zh-CN"/>
              </w:rPr>
            </w:pPr>
            <w:r>
              <w:rPr>
                <w:rFonts w:hint="eastAsia"/>
                <w:lang w:val="en-US" w:eastAsia="zh-CN"/>
              </w:rPr>
              <w:t>-未通过认定的化工园区，不得新建、改扩建化工项目（安全、环保、节能和智能化改造项目除外），按属地原则依法依规妥善做好未通过认定化工园区及园内企业的转型、关闭、处置及监管工作。</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限制开发建设活动的要求</w:t>
            </w:r>
          </w:p>
          <w:p>
            <w:pPr>
              <w:pStyle w:val="22"/>
              <w:bidi w:val="0"/>
              <w:rPr>
                <w:rFonts w:hint="eastAsia"/>
                <w:lang w:val="en-US" w:eastAsia="zh-CN"/>
              </w:rPr>
            </w:pPr>
            <w:r>
              <w:rPr>
                <w:rFonts w:hint="eastAsia"/>
                <w:lang w:val="en-US" w:eastAsia="zh-CN"/>
              </w:rPr>
              <w:t>-严格控制污染物新增排放量，对新建排放二氧化硫、氮氧化物、工业烟粉尘和 VOCS 的项目实施现役源 2 倍削减量替代。</w:t>
            </w:r>
          </w:p>
          <w:p>
            <w:pPr>
              <w:pStyle w:val="22"/>
              <w:bidi w:val="0"/>
              <w:rPr>
                <w:rFonts w:hint="eastAsia"/>
                <w:lang w:val="en-US" w:eastAsia="zh-CN"/>
              </w:rPr>
            </w:pPr>
            <w:r>
              <w:rPr>
                <w:rFonts w:hint="eastAsia"/>
                <w:lang w:val="en-US" w:eastAsia="zh-CN"/>
              </w:rPr>
              <w:t>-严格实施环评制度，将细颗粒物达标情况纳入规划环评和相关项目环评内容，加快制定颗粒物、VOCS排放总量管理配套政策。</w:t>
            </w:r>
          </w:p>
          <w:p>
            <w:pPr>
              <w:pStyle w:val="22"/>
              <w:bidi w:val="0"/>
              <w:rPr>
                <w:rFonts w:hint="eastAsia"/>
                <w:lang w:val="en-US" w:eastAsia="zh-CN"/>
              </w:rPr>
            </w:pPr>
            <w:r>
              <w:rPr>
                <w:rFonts w:hint="eastAsia"/>
                <w:lang w:val="en-US" w:eastAsia="zh-CN"/>
              </w:rPr>
              <w:t>-严格控制新建、扩建燃煤发电项目。</w:t>
            </w:r>
          </w:p>
          <w:p>
            <w:pPr>
              <w:pStyle w:val="22"/>
              <w:bidi w:val="0"/>
              <w:rPr>
                <w:rFonts w:hint="eastAsia"/>
                <w:lang w:val="en-US" w:eastAsia="zh-CN"/>
              </w:rPr>
            </w:pPr>
            <w:r>
              <w:rPr>
                <w:rFonts w:hint="eastAsia"/>
                <w:lang w:val="en-US" w:eastAsia="zh-CN"/>
              </w:rPr>
              <w:t>-严控达州市主城区上游沿岸地区新建石油化工、煤化工、涉磷、造纸、印染、制革等项目。</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不符合空间布局要求活动的退出要求</w:t>
            </w:r>
          </w:p>
          <w:p>
            <w:pPr>
              <w:pStyle w:val="22"/>
              <w:bidi w:val="0"/>
              <w:rPr>
                <w:rFonts w:hint="eastAsia"/>
                <w:lang w:val="en-US" w:eastAsia="zh-CN"/>
              </w:rPr>
            </w:pPr>
            <w:r>
              <w:rPr>
                <w:rFonts w:hint="eastAsia"/>
                <w:lang w:val="en-US" w:eastAsia="zh-CN"/>
              </w:rPr>
              <w:t>-现有属于禁止引入产业门类的企业，应按相关规定限期整治或退出。</w:t>
            </w:r>
          </w:p>
          <w:p>
            <w:pPr>
              <w:pStyle w:val="22"/>
              <w:bidi w:val="0"/>
              <w:rPr>
                <w:rFonts w:hint="eastAsia"/>
                <w:lang w:val="en-US" w:eastAsia="zh-CN"/>
              </w:rPr>
            </w:pPr>
            <w:r>
              <w:rPr>
                <w:rFonts w:hint="eastAsia"/>
                <w:lang w:val="en-US" w:eastAsia="zh-CN"/>
              </w:rPr>
              <w:t xml:space="preserve">-重点区域城市钢铁企业要切实采取彻底关停、转型发展、就地改造、域外搬迁等方式。四川省达州钢铁集团有限责任公司处于四川省大气污染防治重点区域，属于“彻底关停、转型发展、就地改造、域外搬迁”企业； </w:t>
            </w:r>
          </w:p>
          <w:p>
            <w:pPr>
              <w:pStyle w:val="22"/>
              <w:bidi w:val="0"/>
              <w:rPr>
                <w:rFonts w:hint="eastAsia"/>
                <w:lang w:val="en-US" w:eastAsia="zh-CN"/>
              </w:rPr>
            </w:pPr>
            <w:r>
              <w:rPr>
                <w:rFonts w:hint="eastAsia"/>
                <w:lang w:val="en-US" w:eastAsia="zh-CN"/>
              </w:rPr>
              <w:t>-引导重污染产业退出或搬迁、企业分类退城入园，逐步打破近水靠城的历史工业布局。加大城市区域现有装备水平低、环保设施差的微小企业“关、停、并、转”实施力度，清理建成区上风向重点涉气项目。</w:t>
            </w:r>
          </w:p>
          <w:p>
            <w:pPr>
              <w:pStyle w:val="22"/>
              <w:bidi w:val="0"/>
              <w:rPr>
                <w:rFonts w:hint="eastAsia"/>
                <w:lang w:val="en-US" w:eastAsia="zh-CN"/>
              </w:rPr>
            </w:pPr>
            <w:r>
              <w:rPr>
                <w:rFonts w:hint="eastAsia"/>
                <w:lang w:val="en-US" w:eastAsia="zh-CN"/>
              </w:rPr>
              <w:t>-石化、现代煤化工项目应纳入国家产业规划。新建、扩建石化、化工、焦化、有色金属冶炼、平板玻璃项目应布设在依法合规设立并经规划环评的产业园区。</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其他空间布局约束要求</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污染物排放管控：</w:t>
            </w:r>
          </w:p>
          <w:p>
            <w:pPr>
              <w:pStyle w:val="22"/>
              <w:bidi w:val="0"/>
              <w:rPr>
                <w:rFonts w:hint="eastAsia"/>
                <w:lang w:val="en-US" w:eastAsia="zh-CN"/>
              </w:rPr>
            </w:pPr>
            <w:r>
              <w:rPr>
                <w:rFonts w:hint="eastAsia"/>
                <w:lang w:val="en-US" w:eastAsia="zh-CN"/>
              </w:rPr>
              <w:t>允许排放量要求</w:t>
            </w:r>
          </w:p>
          <w:p>
            <w:pPr>
              <w:pStyle w:val="22"/>
              <w:bidi w:val="0"/>
              <w:rPr>
                <w:rFonts w:hint="eastAsia"/>
                <w:lang w:val="en-US" w:eastAsia="zh-CN"/>
              </w:rPr>
            </w:pPr>
            <w:r>
              <w:rPr>
                <w:rFonts w:hint="eastAsia"/>
                <w:lang w:val="en-US" w:eastAsia="zh-CN"/>
              </w:rPr>
              <w:t>达州市2025年水污染物允许排放量COD4396.41t，氨氮418.7t，TP45.36t；达州市2025年大气污染物一次PM2.5 5805t、SO2 12773t、NOx11892t、VOCs 13969t</w:t>
            </w:r>
          </w:p>
          <w:p>
            <w:pPr>
              <w:pStyle w:val="22"/>
              <w:bidi w:val="0"/>
              <w:rPr>
                <w:rFonts w:hint="eastAsia"/>
                <w:lang w:val="en-US" w:eastAsia="zh-CN"/>
              </w:rPr>
            </w:pPr>
            <w:r>
              <w:rPr>
                <w:rFonts w:hint="eastAsia"/>
                <w:lang w:val="en-US" w:eastAsia="zh-CN"/>
              </w:rPr>
              <w:t>现有源提标升级改造</w:t>
            </w:r>
          </w:p>
          <w:p>
            <w:pPr>
              <w:pStyle w:val="22"/>
              <w:bidi w:val="0"/>
              <w:rPr>
                <w:rFonts w:hint="eastAsia"/>
                <w:lang w:val="en-US" w:eastAsia="zh-CN"/>
              </w:rPr>
            </w:pPr>
            <w:r>
              <w:rPr>
                <w:rFonts w:hint="eastAsia"/>
                <w:lang w:val="en-US" w:eastAsia="zh-CN"/>
              </w:rPr>
              <w:t>-污水收集处理率达100%；</w:t>
            </w:r>
          </w:p>
          <w:p>
            <w:pPr>
              <w:pStyle w:val="22"/>
              <w:bidi w:val="0"/>
              <w:rPr>
                <w:rFonts w:hint="eastAsia"/>
                <w:lang w:val="en-US" w:eastAsia="zh-CN"/>
              </w:rPr>
            </w:pPr>
            <w:r>
              <w:rPr>
                <w:rFonts w:hint="eastAsia"/>
                <w:lang w:val="en-US" w:eastAsia="zh-CN"/>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pPr>
              <w:pStyle w:val="22"/>
              <w:bidi w:val="0"/>
              <w:rPr>
                <w:rFonts w:hint="eastAsia"/>
                <w:lang w:val="en-US" w:eastAsia="zh-CN"/>
              </w:rPr>
            </w:pPr>
            <w:r>
              <w:rPr>
                <w:rFonts w:hint="eastAsia"/>
                <w:lang w:val="en-US" w:eastAsia="zh-CN"/>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22"/>
              <w:bidi w:val="0"/>
              <w:rPr>
                <w:rFonts w:hint="eastAsia"/>
                <w:lang w:val="en-US" w:eastAsia="zh-CN"/>
              </w:rPr>
            </w:pPr>
            <w:r>
              <w:rPr>
                <w:rFonts w:hint="eastAsia"/>
                <w:lang w:val="en-US" w:eastAsia="zh-CN"/>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pPr>
              <w:pStyle w:val="22"/>
              <w:bidi w:val="0"/>
              <w:rPr>
                <w:rFonts w:hint="eastAsia"/>
                <w:lang w:val="en-US" w:eastAsia="zh-CN"/>
              </w:rPr>
            </w:pPr>
            <w:r>
              <w:rPr>
                <w:rFonts w:hint="eastAsia"/>
                <w:lang w:val="en-US" w:eastAsia="zh-CN"/>
              </w:rPr>
              <w:t>其他污染物排放管控要求</w:t>
            </w:r>
          </w:p>
          <w:p>
            <w:pPr>
              <w:pStyle w:val="22"/>
              <w:bidi w:val="0"/>
              <w:rPr>
                <w:rFonts w:hint="eastAsia"/>
                <w:lang w:val="en-US" w:eastAsia="zh-CN"/>
              </w:rPr>
            </w:pPr>
            <w:r>
              <w:rPr>
                <w:rFonts w:hint="eastAsia"/>
                <w:lang w:val="en-US" w:eastAsia="zh-CN"/>
              </w:rPr>
              <w:t>新增源等量或倍量替代:上一年度水环境质量未完成目标的，新建排放水污染的建设项目按照总量管控要求进行倍量削减替代。</w:t>
            </w:r>
          </w:p>
          <w:p>
            <w:pPr>
              <w:pStyle w:val="22"/>
              <w:bidi w:val="0"/>
              <w:rPr>
                <w:rFonts w:hint="eastAsia"/>
                <w:lang w:val="en-US" w:eastAsia="zh-CN"/>
              </w:rPr>
            </w:pPr>
            <w:r>
              <w:rPr>
                <w:rFonts w:hint="eastAsia"/>
                <w:lang w:val="en-US" w:eastAsia="zh-CN"/>
              </w:rPr>
              <w:t xml:space="preserve">上一年度空气质量年平均浓度不达标的城市，建设项目新增相关污染物按照总量管控要求进行倍量削减替代。                </w:t>
            </w:r>
          </w:p>
          <w:p>
            <w:pPr>
              <w:pStyle w:val="22"/>
              <w:bidi w:val="0"/>
              <w:rPr>
                <w:rFonts w:hint="eastAsia"/>
                <w:lang w:val="en-US" w:eastAsia="zh-CN"/>
              </w:rPr>
            </w:pPr>
            <w:r>
              <w:rPr>
                <w:rFonts w:hint="eastAsia"/>
                <w:lang w:val="en-US" w:eastAsia="zh-CN"/>
              </w:rPr>
              <w:t xml:space="preserve">对新建排放二氧化硫、氮氧化物、工业烟粉尘和VOCs的项目实施现役源倍量削减量替代。严禁钢铁、水泥、电解铝、平板玻璃等行业新增产能，对确有必要新建的必须实施等量或减量置换，防范过剩和落后产能跨地区转移.                                         </w:t>
            </w:r>
          </w:p>
          <w:p>
            <w:pPr>
              <w:pStyle w:val="22"/>
              <w:bidi w:val="0"/>
              <w:rPr>
                <w:rFonts w:hint="eastAsia"/>
                <w:lang w:val="en-US" w:eastAsia="zh-CN"/>
              </w:rPr>
            </w:pPr>
            <w:r>
              <w:rPr>
                <w:rFonts w:hint="eastAsia"/>
                <w:lang w:val="en-US" w:eastAsia="zh-CN"/>
              </w:rPr>
              <w:t xml:space="preserve">污染物排放绩效水平准入要求:新、改扩建项目污染排放指标满足《四川省省级生态工业园区指标》综合类生态工业园区要求。工业固体废弃物利用处置率达100%，危险废物处置率达100%。          </w:t>
            </w:r>
          </w:p>
          <w:p>
            <w:pPr>
              <w:pStyle w:val="22"/>
              <w:bidi w:val="0"/>
              <w:rPr>
                <w:rFonts w:hint="eastAsia"/>
                <w:lang w:val="en-US" w:eastAsia="zh-CN"/>
              </w:rPr>
            </w:pPr>
            <w:r>
              <w:rPr>
                <w:rFonts w:hint="eastAsia"/>
                <w:lang w:val="en-US" w:eastAsia="zh-CN"/>
              </w:rPr>
              <w:t xml:space="preserve">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22"/>
              <w:bidi w:val="0"/>
              <w:rPr>
                <w:rFonts w:hint="eastAsia"/>
                <w:lang w:val="en-US" w:eastAsia="zh-CN"/>
              </w:rPr>
            </w:pPr>
            <w:r>
              <w:rPr>
                <w:rFonts w:hint="eastAsia"/>
                <w:lang w:val="en-US" w:eastAsia="zh-CN"/>
              </w:rPr>
              <w:t xml:space="preserve">钢铁行业新建应参考达州市“三线一单”生态环境分区管控中钢铁行业资源环境绩效准入门槛。                         </w:t>
            </w:r>
          </w:p>
          <w:p>
            <w:pPr>
              <w:pStyle w:val="22"/>
              <w:bidi w:val="0"/>
              <w:rPr>
                <w:rFonts w:hint="eastAsia"/>
                <w:lang w:val="en-US" w:eastAsia="zh-CN"/>
              </w:rPr>
            </w:pPr>
            <w:r>
              <w:rPr>
                <w:rFonts w:hint="eastAsia"/>
                <w:lang w:val="en-US" w:eastAsia="zh-CN"/>
              </w:rPr>
              <w:t xml:space="preserve">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pPr>
              <w:pStyle w:val="22"/>
              <w:bidi w:val="0"/>
              <w:rPr>
                <w:rFonts w:hint="eastAsia"/>
                <w:lang w:val="en-US" w:eastAsia="zh-CN"/>
              </w:rPr>
            </w:pPr>
            <w:r>
              <w:rPr>
                <w:rFonts w:hint="eastAsia"/>
                <w:lang w:val="en-US" w:eastAsia="zh-CN"/>
              </w:rPr>
              <w:t>化工园区应按照分类收集，分质处理的要求，配备专业化工生产废水集中处理设施（独立建设或依托骨干企业）及专管或明管输送的配套管网，化工生产废水纳管率达到100%。入河排污口设置应符合相关规定。</w:t>
            </w:r>
          </w:p>
          <w:p>
            <w:pPr>
              <w:pStyle w:val="22"/>
              <w:bidi w:val="0"/>
              <w:rPr>
                <w:rFonts w:hint="eastAsia"/>
                <w:lang w:val="en-US" w:eastAsia="zh-CN"/>
              </w:rPr>
            </w:pPr>
            <w:r>
              <w:rPr>
                <w:rFonts w:hint="eastAsia"/>
                <w:lang w:val="en-US" w:eastAsia="zh-CN"/>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pPr>
              <w:pStyle w:val="22"/>
              <w:bidi w:val="0"/>
              <w:rPr>
                <w:rFonts w:hint="eastAsia"/>
                <w:lang w:val="en-US" w:eastAsia="zh-CN"/>
              </w:rPr>
            </w:pPr>
            <w:r>
              <w:rPr>
                <w:rFonts w:hint="eastAsia"/>
                <w:lang w:val="en-US" w:eastAsia="zh-CN"/>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pPr>
              <w:pStyle w:val="22"/>
              <w:bidi w:val="0"/>
              <w:rPr>
                <w:rFonts w:hint="eastAsia"/>
                <w:lang w:val="en-US" w:eastAsia="zh-CN"/>
              </w:rPr>
            </w:pPr>
            <w:r>
              <w:rPr>
                <w:rFonts w:hint="eastAsia"/>
                <w:lang w:val="en-US" w:eastAsia="zh-CN"/>
              </w:rPr>
              <w:t>环境风险防控：</w:t>
            </w:r>
          </w:p>
          <w:p>
            <w:pPr>
              <w:pStyle w:val="22"/>
              <w:bidi w:val="0"/>
              <w:rPr>
                <w:rFonts w:hint="eastAsia"/>
                <w:lang w:val="en-US" w:eastAsia="zh-CN"/>
              </w:rPr>
            </w:pPr>
            <w:r>
              <w:rPr>
                <w:rFonts w:hint="eastAsia"/>
                <w:lang w:val="en-US" w:eastAsia="zh-CN"/>
              </w:rPr>
              <w:t>联防联控要求</w:t>
            </w:r>
          </w:p>
          <w:p>
            <w:pPr>
              <w:pStyle w:val="22"/>
              <w:bidi w:val="0"/>
              <w:rPr>
                <w:rFonts w:hint="eastAsia"/>
                <w:lang w:val="en-US" w:eastAsia="zh-CN"/>
              </w:rPr>
            </w:pPr>
            <w:r>
              <w:rPr>
                <w:rFonts w:hint="eastAsia"/>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22"/>
              <w:bidi w:val="0"/>
              <w:rPr>
                <w:rFonts w:hint="eastAsia"/>
                <w:lang w:val="en-US" w:eastAsia="zh-CN"/>
              </w:rPr>
            </w:pPr>
            <w:r>
              <w:rPr>
                <w:rFonts w:hint="eastAsia"/>
                <w:lang w:val="en-US" w:eastAsia="zh-CN"/>
              </w:rPr>
              <w:t>其他环境风险防控要求</w:t>
            </w:r>
          </w:p>
          <w:p>
            <w:pPr>
              <w:pStyle w:val="22"/>
              <w:bidi w:val="0"/>
              <w:rPr>
                <w:rFonts w:hint="eastAsia"/>
                <w:lang w:val="en-US" w:eastAsia="zh-CN"/>
              </w:rPr>
            </w:pPr>
            <w:r>
              <w:rPr>
                <w:rFonts w:hint="eastAsia"/>
                <w:lang w:val="en-US" w:eastAsia="zh-CN"/>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w:t>
            </w:r>
          </w:p>
          <w:p>
            <w:pPr>
              <w:pStyle w:val="22"/>
              <w:bidi w:val="0"/>
              <w:rPr>
                <w:rFonts w:hint="eastAsia"/>
                <w:lang w:val="en-US" w:eastAsia="zh-CN"/>
              </w:rPr>
            </w:pPr>
            <w:r>
              <w:rPr>
                <w:rFonts w:hint="eastAsia"/>
                <w:lang w:val="en-US" w:eastAsia="zh-CN"/>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pPr>
              <w:pStyle w:val="22"/>
              <w:bidi w:val="0"/>
              <w:rPr>
                <w:rFonts w:hint="eastAsia"/>
                <w:lang w:val="en-US" w:eastAsia="zh-CN"/>
              </w:rPr>
            </w:pPr>
            <w:r>
              <w:rPr>
                <w:rFonts w:hint="eastAsia"/>
                <w:lang w:val="en-US" w:eastAsia="zh-CN"/>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pPr>
              <w:pStyle w:val="22"/>
              <w:bidi w:val="0"/>
              <w:rPr>
                <w:rFonts w:hint="eastAsia"/>
                <w:lang w:val="en-US" w:eastAsia="zh-CN"/>
              </w:rPr>
            </w:pPr>
            <w:r>
              <w:rPr>
                <w:rFonts w:hint="eastAsia"/>
                <w:lang w:val="en-US" w:eastAsia="zh-CN"/>
              </w:rPr>
              <w:t>资源开发利用效率要求：</w:t>
            </w:r>
          </w:p>
          <w:p>
            <w:pPr>
              <w:pStyle w:val="22"/>
              <w:bidi w:val="0"/>
              <w:rPr>
                <w:rFonts w:hint="eastAsia"/>
                <w:lang w:val="en-US" w:eastAsia="zh-CN"/>
              </w:rPr>
            </w:pPr>
            <w:r>
              <w:rPr>
                <w:rFonts w:hint="eastAsia"/>
                <w:lang w:val="en-US" w:eastAsia="zh-CN"/>
              </w:rPr>
              <w:t>水资源利用总量要求</w:t>
            </w:r>
          </w:p>
          <w:p>
            <w:pPr>
              <w:pStyle w:val="22"/>
              <w:bidi w:val="0"/>
              <w:rPr>
                <w:rFonts w:hint="eastAsia"/>
                <w:lang w:val="en-US" w:eastAsia="zh-CN"/>
              </w:rPr>
            </w:pPr>
            <w:r>
              <w:rPr>
                <w:rFonts w:hint="eastAsia"/>
                <w:lang w:val="en-US" w:eastAsia="zh-CN"/>
              </w:rPr>
              <w:t>新、改扩建项目污染水耗指标满足《四川省省级生态工业园区指标》综合类生态工业园区要求；到2022年，万元国内生产总值用水量、万元工业增加值用水量较2015年分别下降30%和28%。</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以省市下发指标为准</w:t>
            </w:r>
          </w:p>
          <w:p>
            <w:pPr>
              <w:pStyle w:val="22"/>
              <w:bidi w:val="0"/>
              <w:rPr>
                <w:rFonts w:hint="eastAsia"/>
                <w:lang w:val="en-US" w:eastAsia="zh-CN"/>
              </w:rPr>
            </w:pPr>
            <w:r>
              <w:rPr>
                <w:rFonts w:hint="eastAsia"/>
                <w:lang w:val="en-US" w:eastAsia="zh-CN"/>
              </w:rPr>
              <w:t>能源利用总量及效率要求</w:t>
            </w:r>
          </w:p>
          <w:p>
            <w:pPr>
              <w:pStyle w:val="22"/>
              <w:bidi w:val="0"/>
              <w:rPr>
                <w:rFonts w:hint="eastAsia"/>
                <w:lang w:val="en-US" w:eastAsia="zh-CN"/>
              </w:rPr>
            </w:pPr>
            <w:r>
              <w:rPr>
                <w:rFonts w:hint="eastAsia"/>
                <w:lang w:val="en-US" w:eastAsia="zh-CN"/>
              </w:rPr>
              <w:t>川东北区域实施新建项目与煤炭消费总量控制挂钩机制，耗煤建设项目实行煤炭消耗等量减量替代。提高煤炭利用效率和天然气利用占比，工业领域有序推进“煤改电”和有序推进“煤改气”。</w:t>
            </w:r>
          </w:p>
          <w:p>
            <w:pPr>
              <w:pStyle w:val="22"/>
              <w:bidi w:val="0"/>
              <w:rPr>
                <w:rFonts w:hint="eastAsia"/>
                <w:lang w:val="en-US" w:eastAsia="zh-CN"/>
              </w:rPr>
            </w:pPr>
            <w:r>
              <w:rPr>
                <w:rFonts w:hint="eastAsia"/>
                <w:lang w:val="en-US" w:eastAsia="zh-CN"/>
              </w:rPr>
              <w:t>-大力实施和推广以电代煤、以电代油工程，重点在城市交通、工商业等领域实施以电代油、以电代煤。</w:t>
            </w:r>
          </w:p>
          <w:p>
            <w:pPr>
              <w:pStyle w:val="22"/>
              <w:bidi w:val="0"/>
              <w:rPr>
                <w:rFonts w:hint="eastAsia"/>
                <w:lang w:val="en-US" w:eastAsia="zh-CN"/>
              </w:rPr>
            </w:pPr>
            <w:r>
              <w:rPr>
                <w:rFonts w:hint="eastAsia"/>
                <w:lang w:val="en-US" w:eastAsia="zh-CN"/>
              </w:rPr>
              <w:t>-增加天然气对煤炭和石油的替代，提高天然气民用、交通、发电、工业领域天然气消费比重。</w:t>
            </w:r>
          </w:p>
          <w:p>
            <w:pPr>
              <w:pStyle w:val="22"/>
              <w:bidi w:val="0"/>
              <w:rPr>
                <w:rFonts w:hint="eastAsia"/>
                <w:lang w:val="en-US" w:eastAsia="zh-CN"/>
              </w:rPr>
            </w:pPr>
            <w:r>
              <w:rPr>
                <w:rFonts w:hint="eastAsia"/>
                <w:lang w:val="en-US" w:eastAsia="zh-CN"/>
              </w:rPr>
              <w:t>-实施煤炭消费总量控制：严格控制煤炭消费总量；严格控制新建、改建、扩建耗煤项目，新增耗煤项目实行煤炭消耗减量倍量替代。</w:t>
            </w:r>
          </w:p>
          <w:p>
            <w:pPr>
              <w:pStyle w:val="22"/>
              <w:bidi w:val="0"/>
              <w:rPr>
                <w:rFonts w:hint="eastAsia"/>
                <w:lang w:val="en-US" w:eastAsia="zh-CN"/>
              </w:rPr>
            </w:pPr>
            <w:r>
              <w:rPr>
                <w:rFonts w:hint="eastAsia"/>
                <w:lang w:val="en-US" w:eastAsia="zh-CN"/>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pPr>
              <w:pStyle w:val="22"/>
              <w:bidi w:val="0"/>
              <w:rPr>
                <w:rFonts w:hint="eastAsia"/>
                <w:lang w:val="en-US" w:eastAsia="zh-CN"/>
              </w:rPr>
            </w:pPr>
            <w:r>
              <w:rPr>
                <w:rFonts w:hint="eastAsia"/>
                <w:lang w:val="en-US" w:eastAsia="zh-CN"/>
              </w:rPr>
              <w:t>-推进清洁能源的推广使用，全面推进散煤清洁化整治；</w:t>
            </w:r>
          </w:p>
          <w:p>
            <w:pPr>
              <w:pStyle w:val="22"/>
              <w:bidi w:val="0"/>
              <w:rPr>
                <w:rFonts w:hint="eastAsia"/>
                <w:lang w:val="en-US" w:eastAsia="zh-CN"/>
              </w:rPr>
            </w:pPr>
            <w:r>
              <w:rPr>
                <w:rFonts w:hint="eastAsia"/>
                <w:lang w:val="en-US" w:eastAsia="zh-CN"/>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pPr>
              <w:pStyle w:val="22"/>
              <w:bidi w:val="0"/>
              <w:rPr>
                <w:rFonts w:hint="eastAsia"/>
                <w:lang w:val="en-US" w:eastAsia="zh-CN"/>
              </w:rPr>
            </w:pPr>
            <w:r>
              <w:rPr>
                <w:rFonts w:hint="eastAsia"/>
                <w:lang w:val="en-US" w:eastAsia="zh-CN"/>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22"/>
              <w:bidi w:val="0"/>
              <w:rPr>
                <w:rFonts w:hint="eastAsia"/>
                <w:lang w:val="en-US" w:eastAsia="zh-CN"/>
              </w:rPr>
            </w:pPr>
            <w:r>
              <w:rPr>
                <w:rFonts w:hint="eastAsia"/>
                <w:lang w:val="en-US" w:eastAsia="zh-CN"/>
              </w:rPr>
              <w:t>。</w:t>
            </w:r>
          </w:p>
          <w:p>
            <w:pPr>
              <w:pStyle w:val="22"/>
              <w:bidi w:val="0"/>
              <w:rPr>
                <w:rFonts w:hint="eastAsia"/>
                <w:lang w:val="en-US" w:eastAsia="zh-CN"/>
              </w:rPr>
            </w:pPr>
            <w:r>
              <w:rPr>
                <w:rFonts w:hint="eastAsia"/>
                <w:lang w:val="en-US" w:eastAsia="zh-CN"/>
              </w:rPr>
              <w:t>禁燃区要求</w:t>
            </w:r>
          </w:p>
          <w:p>
            <w:pPr>
              <w:pStyle w:val="22"/>
              <w:bidi w:val="0"/>
              <w:rPr>
                <w:rFonts w:hint="eastAsia"/>
                <w:lang w:val="en-US" w:eastAsia="zh-CN"/>
              </w:rPr>
            </w:pPr>
            <w:r>
              <w:rPr>
                <w:rFonts w:hint="eastAsia"/>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22"/>
              <w:bidi w:val="0"/>
              <w:rPr>
                <w:rFonts w:hint="eastAsia"/>
                <w:lang w:val="en-US" w:eastAsia="zh-CN"/>
              </w:rPr>
            </w:pPr>
            <w:r>
              <w:rPr>
                <w:rFonts w:hint="eastAsia"/>
                <w:lang w:val="en-US" w:eastAsia="zh-CN"/>
              </w:rPr>
              <w:t>-禁燃区内禁止销售、燃用高污染燃料；禁止新建、改建、扩建燃用高污染燃料的设施和设备。</w:t>
            </w:r>
          </w:p>
          <w:p>
            <w:pPr>
              <w:pStyle w:val="22"/>
              <w:bidi w:val="0"/>
              <w:rPr>
                <w:rFonts w:hint="eastAsia"/>
                <w:lang w:val="en-US" w:eastAsia="zh-CN"/>
              </w:rPr>
            </w:pPr>
            <w:r>
              <w:rPr>
                <w:rFonts w:hint="eastAsia"/>
                <w:lang w:val="en-US" w:eastAsia="zh-CN"/>
              </w:rPr>
              <w:t>-禁燃区内已建成的高污染燃料燃用设施由辖区人民政府制定限期改造计划，改用天然气、页岩气、液化石油气、电或其他清洁能源。</w:t>
            </w:r>
          </w:p>
          <w:p>
            <w:pPr>
              <w:pStyle w:val="22"/>
              <w:bidi w:val="0"/>
              <w:rPr>
                <w:rFonts w:hint="eastAsia"/>
                <w:lang w:val="en-US" w:eastAsia="zh-CN"/>
              </w:rPr>
            </w:pP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w:t>
            </w:r>
          </w:p>
        </w:tc>
        <w:tc>
          <w:tcPr>
            <w:tcW w:w="680" w:type="dxa"/>
            <w:noWrap w:val="0"/>
            <w:vAlign w:val="center"/>
          </w:tcPr>
          <w:p>
            <w:pPr>
              <w:pStyle w:val="22"/>
              <w:bidi w:val="0"/>
              <w:rPr>
                <w:lang w:val="en-US" w:eastAsia="zh-CN"/>
              </w:rPr>
            </w:pPr>
            <w:r>
              <w:rPr>
                <w:rFonts w:hint="eastAsia"/>
                <w:lang w:val="en-US" w:eastAsia="zh-CN"/>
              </w:rPr>
              <w:t>资源开发效率要求</w:t>
            </w:r>
          </w:p>
        </w:tc>
        <w:tc>
          <w:tcPr>
            <w:tcW w:w="4320" w:type="dxa"/>
            <w:noWrap w:val="0"/>
            <w:vAlign w:val="center"/>
          </w:tcPr>
          <w:p>
            <w:pPr>
              <w:pStyle w:val="22"/>
              <w:bidi w:val="0"/>
              <w:rPr>
                <w:lang w:val="en-US" w:eastAsia="zh-CN"/>
              </w:rPr>
            </w:pPr>
            <w:r>
              <w:rPr>
                <w:rFonts w:hint="eastAsia"/>
                <w:lang w:val="en-US" w:eastAsia="zh-CN"/>
              </w:rPr>
              <w:t>水资源利用效率要求</w:t>
            </w:r>
          </w:p>
          <w:p>
            <w:pPr>
              <w:pStyle w:val="22"/>
              <w:bidi w:val="0"/>
              <w:rPr>
                <w:rFonts w:hint="eastAsia"/>
                <w:lang w:val="en-US" w:eastAsia="zh-CN"/>
              </w:rPr>
            </w:pPr>
            <w:r>
              <w:rPr>
                <w:rFonts w:hint="eastAsia"/>
                <w:lang w:val="en-US" w:eastAsia="zh-CN"/>
              </w:rPr>
              <w:t>执行达州市工业重点管控单元总体要求</w:t>
            </w:r>
          </w:p>
          <w:p>
            <w:pPr>
              <w:pStyle w:val="22"/>
              <w:bidi w:val="0"/>
              <w:rPr>
                <w:rFonts w:hint="eastAsia"/>
                <w:lang w:val="en-US" w:eastAsia="zh-CN"/>
              </w:rPr>
            </w:pPr>
            <w:r>
              <w:rPr>
                <w:rFonts w:hint="eastAsia"/>
                <w:lang w:val="en-US" w:eastAsia="zh-CN"/>
              </w:rPr>
              <w:t>地下水开采要求</w:t>
            </w:r>
          </w:p>
          <w:p>
            <w:pPr>
              <w:pStyle w:val="22"/>
              <w:bidi w:val="0"/>
              <w:rPr>
                <w:rFonts w:hint="eastAsia"/>
                <w:lang w:val="en-US" w:eastAsia="zh-CN"/>
              </w:rPr>
            </w:pPr>
            <w:r>
              <w:rPr>
                <w:rFonts w:hint="eastAsia"/>
                <w:lang w:val="en-US" w:eastAsia="zh-CN"/>
              </w:rPr>
              <w:t>执行达州市工业重点管控单元总体要求</w:t>
            </w:r>
          </w:p>
          <w:p>
            <w:pPr>
              <w:pStyle w:val="22"/>
              <w:bidi w:val="0"/>
              <w:rPr>
                <w:rFonts w:hint="eastAsia"/>
                <w:lang w:val="en-US" w:eastAsia="zh-CN"/>
              </w:rPr>
            </w:pPr>
            <w:r>
              <w:rPr>
                <w:rFonts w:hint="eastAsia"/>
                <w:lang w:val="en-US" w:eastAsia="zh-CN"/>
              </w:rPr>
              <w:t>能源利用效率要求</w:t>
            </w:r>
          </w:p>
          <w:p>
            <w:pPr>
              <w:pStyle w:val="22"/>
              <w:bidi w:val="0"/>
              <w:rPr>
                <w:rFonts w:hint="eastAsia"/>
                <w:lang w:val="en-US" w:eastAsia="zh-CN"/>
              </w:rPr>
            </w:pPr>
            <w:r>
              <w:rPr>
                <w:rFonts w:hint="eastAsia"/>
                <w:lang w:val="en-US" w:eastAsia="zh-CN"/>
              </w:rPr>
              <w:t>执行达州市工业重点管控单元总体要求</w:t>
            </w:r>
          </w:p>
          <w:p>
            <w:pPr>
              <w:pStyle w:val="22"/>
              <w:bidi w:val="0"/>
              <w:rPr>
                <w:rFonts w:hint="eastAsia"/>
                <w:lang w:val="en-US" w:eastAsia="zh-CN"/>
              </w:rPr>
            </w:pPr>
            <w:r>
              <w:rPr>
                <w:rFonts w:hint="eastAsia"/>
                <w:lang w:val="en-US" w:eastAsia="zh-CN"/>
              </w:rPr>
              <w:t>其他资源利用效率要求</w:t>
            </w:r>
          </w:p>
          <w:p>
            <w:pPr>
              <w:pStyle w:val="22"/>
              <w:bidi w:val="0"/>
              <w:rPr>
                <w:rFonts w:hint="eastAsia"/>
                <w:lang w:val="en-US" w:eastAsia="zh-CN"/>
              </w:rPr>
            </w:pPr>
            <w:r>
              <w:rPr>
                <w:rFonts w:hint="eastAsia"/>
                <w:lang w:val="en-US" w:eastAsia="zh-CN"/>
              </w:rPr>
              <w:t>/</w:t>
            </w:r>
          </w:p>
        </w:tc>
        <w:tc>
          <w:tcPr>
            <w:tcW w:w="900" w:type="dxa"/>
            <w:noWrap w:val="0"/>
            <w:vAlign w:val="center"/>
          </w:tcPr>
          <w:p>
            <w:pPr>
              <w:pStyle w:val="22"/>
              <w:bidi w:val="0"/>
              <w:rPr>
                <w:rFonts w:hint="default"/>
                <w:lang w:val="en-US" w:eastAsia="zh-CN"/>
              </w:rPr>
            </w:pPr>
            <w:r>
              <w:rPr>
                <w:rFonts w:hint="eastAsia"/>
                <w:lang w:val="en-US" w:eastAsia="zh-CN"/>
              </w:rPr>
              <w:t>本项目符合管控要求</w:t>
            </w:r>
          </w:p>
        </w:tc>
        <w:tc>
          <w:tcPr>
            <w:tcW w:w="536" w:type="dxa"/>
            <w:noWrap w:val="0"/>
            <w:vAlign w:val="center"/>
          </w:tcPr>
          <w:p>
            <w:pPr>
              <w:pStyle w:val="22"/>
              <w:bidi w:val="0"/>
              <w:rPr>
                <w:rFonts w:hint="default"/>
                <w:lang w:val="en-US" w:eastAsia="zh-CN"/>
              </w:rPr>
            </w:pPr>
            <w:r>
              <w:rPr>
                <w:rFonts w:hint="eastAsia"/>
                <w:lang w:val="en-US" w:eastAsia="zh-CN"/>
              </w:rPr>
              <w:t>符合</w:t>
            </w:r>
          </w:p>
        </w:tc>
      </w:tr>
    </w:tbl>
    <w:p>
      <w:pPr>
        <w:rPr>
          <w:rFonts w:hint="default"/>
          <w:lang w:eastAsia="zh-CN"/>
        </w:rPr>
      </w:pPr>
      <w:r>
        <w:rPr>
          <w:rFonts w:hint="eastAsia"/>
          <w:sz w:val="24"/>
          <w:szCs w:val="24"/>
          <w:lang w:val="en-US" w:eastAsia="zh-CN"/>
        </w:rPr>
        <w:t>综上，本项目与</w:t>
      </w:r>
      <w:r>
        <w:rPr>
          <w:rFonts w:hint="default"/>
          <w:lang w:val="en-US" w:eastAsia="zh-CN"/>
        </w:rPr>
        <w:t>《达州市人民政府办公室关于加强生态环境分区管控的通知》</w:t>
      </w:r>
      <w:r>
        <w:rPr>
          <w:rFonts w:hint="eastAsia"/>
          <w:lang w:val="en-US" w:eastAsia="zh-CN"/>
        </w:rPr>
        <w:t>（达市府办函〔2024〕31号）相关管控要求是</w:t>
      </w:r>
      <w:r>
        <w:rPr>
          <w:rFonts w:hint="eastAsia"/>
          <w:sz w:val="24"/>
          <w:szCs w:val="24"/>
          <w:lang w:val="en-US" w:eastAsia="zh-CN"/>
        </w:rPr>
        <w:t>相符。</w:t>
      </w:r>
    </w:p>
    <w:p>
      <w:pPr>
        <w:rPr>
          <w:rFonts w:hint="default"/>
          <w:lang w:eastAsia="zh-CN"/>
        </w:rPr>
      </w:pPr>
    </w:p>
    <w:p>
      <w:pPr>
        <w:rPr>
          <w:rFonts w:hint="default"/>
          <w:lang w:eastAsia="zh-CN"/>
        </w:rPr>
      </w:pPr>
    </w:p>
    <w:p>
      <w:pPr>
        <w:rPr>
          <w:rFonts w:hint="default"/>
          <w:lang w:eastAsia="zh-CN"/>
        </w:rPr>
        <w:sectPr>
          <w:pgSz w:w="16838" w:h="11906" w:orient="landscape"/>
          <w:pgMar w:top="1800" w:right="1440" w:bottom="1800" w:left="1440" w:header="851" w:footer="992" w:gutter="0"/>
          <w:pgNumType w:fmt="decimal"/>
          <w:cols w:space="425" w:num="1"/>
          <w:docGrid w:type="lines" w:linePitch="312" w:charSpace="0"/>
        </w:sectPr>
      </w:pPr>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78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color w:val="auto"/>
                <w:kern w:val="0"/>
                <w:sz w:val="24"/>
                <w:szCs w:val="24"/>
              </w:rPr>
            </w:pPr>
            <w:r>
              <w:rPr>
                <w:rFonts w:hint="default" w:ascii="Times New Roman" w:hAnsi="Times New Roman" w:eastAsia="宋体" w:cs="Times New Roman"/>
                <w:color w:val="auto"/>
                <w:kern w:val="0"/>
                <w:sz w:val="24"/>
                <w:szCs w:val="24"/>
              </w:rPr>
              <w:t>其他符合性分析</w:t>
            </w:r>
          </w:p>
        </w:tc>
        <w:tc>
          <w:tcPr>
            <w:tcW w:w="4626" w:type="pct"/>
            <w:noWrap w:val="0"/>
            <w:vAlign w:val="center"/>
          </w:tcPr>
          <w:p>
            <w:pPr>
              <w:pStyle w:val="36"/>
              <w:bidi w:val="0"/>
              <w:rPr>
                <w:rFonts w:hint="eastAsia"/>
                <w:lang w:val="en-US" w:eastAsia="zh-CN"/>
              </w:rPr>
            </w:pPr>
            <w:r>
              <w:rPr>
                <w:rFonts w:hint="eastAsia"/>
                <w:lang w:val="en-US" w:eastAsia="zh-CN"/>
              </w:rPr>
              <w:t>4、与《四川省、重庆市长江经济带发展负面清单实施细则（试行，2022年版）》符合性分析</w:t>
            </w:r>
          </w:p>
          <w:p>
            <w:pPr>
              <w:pStyle w:val="26"/>
              <w:bidi w:val="0"/>
              <w:rPr>
                <w:rFonts w:hint="eastAsia"/>
                <w:lang w:val="en-US" w:eastAsia="zh-CN"/>
              </w:rPr>
            </w:pPr>
            <w:r>
              <w:rPr>
                <w:rFonts w:hint="eastAsia"/>
                <w:lang w:val="en-US" w:eastAsia="zh-CN"/>
              </w:rPr>
              <w:t>表1-6 与四川省、重庆市长江经济带发展负面清单实施细则符合性</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4571"/>
              <w:gridCol w:w="1834"/>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noWrap w:val="0"/>
                  <w:vAlign w:val="center"/>
                </w:tcPr>
                <w:p>
                  <w:pPr>
                    <w:pStyle w:val="22"/>
                    <w:bidi w:val="0"/>
                    <w:rPr>
                      <w:rFonts w:hint="eastAsia"/>
                      <w:lang w:val="en-US" w:eastAsia="zh-CN"/>
                    </w:rPr>
                  </w:pPr>
                  <w:r>
                    <w:rPr>
                      <w:rFonts w:hint="eastAsia"/>
                      <w:lang w:val="en-US" w:eastAsia="zh-CN"/>
                    </w:rPr>
                    <w:t>序号</w:t>
                  </w:r>
                </w:p>
              </w:tc>
              <w:tc>
                <w:tcPr>
                  <w:tcW w:w="4582" w:type="dxa"/>
                  <w:noWrap w:val="0"/>
                  <w:vAlign w:val="center"/>
                </w:tcPr>
                <w:p>
                  <w:pPr>
                    <w:pStyle w:val="22"/>
                    <w:bidi w:val="0"/>
                    <w:rPr>
                      <w:rFonts w:hint="eastAsia"/>
                      <w:lang w:val="en-US" w:eastAsia="zh-CN"/>
                    </w:rPr>
                  </w:pPr>
                  <w:r>
                    <w:rPr>
                      <w:rFonts w:hint="eastAsia"/>
                      <w:lang w:val="en-US" w:eastAsia="zh-CN"/>
                    </w:rPr>
                    <w:t>负面清单</w:t>
                  </w:r>
                </w:p>
              </w:tc>
              <w:tc>
                <w:tcPr>
                  <w:tcW w:w="1838" w:type="dxa"/>
                  <w:noWrap w:val="0"/>
                  <w:vAlign w:val="center"/>
                </w:tcPr>
                <w:p>
                  <w:pPr>
                    <w:pStyle w:val="22"/>
                    <w:bidi w:val="0"/>
                    <w:rPr>
                      <w:rFonts w:hint="eastAsia"/>
                      <w:lang w:val="en-US" w:eastAsia="zh-CN"/>
                    </w:rPr>
                  </w:pPr>
                  <w:r>
                    <w:rPr>
                      <w:rFonts w:hint="eastAsia"/>
                      <w:lang w:val="en-US" w:eastAsia="zh-CN"/>
                    </w:rPr>
                    <w:t>项目情况</w:t>
                  </w:r>
                </w:p>
              </w:tc>
              <w:tc>
                <w:tcPr>
                  <w:tcW w:w="620" w:type="dxa"/>
                  <w:noWrap w:val="0"/>
                  <w:vAlign w:val="center"/>
                </w:tcPr>
                <w:p>
                  <w:pPr>
                    <w:pStyle w:val="22"/>
                    <w:bidi w:val="0"/>
                    <w:rPr>
                      <w:rFonts w:hint="eastAsia"/>
                      <w:lang w:val="en-US" w:eastAsia="zh-CN"/>
                    </w:rPr>
                  </w:pPr>
                  <w:r>
                    <w:rPr>
                      <w:rFonts w:hint="eastAsia"/>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noWrap w:val="0"/>
                  <w:vAlign w:val="center"/>
                </w:tcPr>
                <w:p>
                  <w:pPr>
                    <w:pStyle w:val="22"/>
                    <w:bidi w:val="0"/>
                    <w:rPr>
                      <w:rFonts w:hint="default"/>
                      <w:lang w:val="en-US" w:eastAsia="zh-CN"/>
                    </w:rPr>
                  </w:pPr>
                  <w:r>
                    <w:rPr>
                      <w:rFonts w:hint="eastAsia"/>
                      <w:lang w:val="en-US" w:eastAsia="zh-CN"/>
                    </w:rPr>
                    <w:t>1</w:t>
                  </w:r>
                </w:p>
              </w:tc>
              <w:tc>
                <w:tcPr>
                  <w:tcW w:w="4582" w:type="dxa"/>
                  <w:noWrap w:val="0"/>
                  <w:vAlign w:val="center"/>
                </w:tcPr>
                <w:p>
                  <w:pPr>
                    <w:pStyle w:val="22"/>
                    <w:bidi w:val="0"/>
                    <w:rPr>
                      <w:rFonts w:hint="eastAsia"/>
                      <w:lang w:val="en-US" w:eastAsia="zh-CN"/>
                    </w:rPr>
                  </w:pPr>
                  <w:r>
                    <w:rPr>
                      <w:rFonts w:hint="default"/>
                      <w:lang w:val="en-US" w:eastAsia="zh-CN"/>
                    </w:rPr>
                    <w:t>禁止新建、改建和扩建不符合全国港口布局规划以及《四川省内河水运发展规划》《泸州一宜宾一乐山港口群布局规划》《重庆港总体规划</w:t>
                  </w:r>
                  <w:r>
                    <w:rPr>
                      <w:rFonts w:hint="eastAsia"/>
                      <w:lang w:val="en-US" w:eastAsia="zh-CN"/>
                    </w:rPr>
                    <w:t>（</w:t>
                  </w:r>
                  <w:r>
                    <w:rPr>
                      <w:rFonts w:hint="default"/>
                      <w:lang w:val="en-US" w:eastAsia="zh-CN"/>
                    </w:rPr>
                    <w:t>2035年</w:t>
                  </w:r>
                  <w:r>
                    <w:rPr>
                      <w:rFonts w:hint="eastAsia"/>
                      <w:lang w:val="en-US" w:eastAsia="zh-CN"/>
                    </w:rPr>
                    <w:t>）</w:t>
                  </w:r>
                  <w:r>
                    <w:rPr>
                      <w:rFonts w:hint="default"/>
                      <w:lang w:val="en-US" w:eastAsia="zh-CN"/>
                    </w:rPr>
                    <w:t>》等省级港口布局规划及市级港口总体规划的码头项目。</w:t>
                  </w:r>
                </w:p>
              </w:tc>
              <w:tc>
                <w:tcPr>
                  <w:tcW w:w="1838" w:type="dxa"/>
                  <w:noWrap w:val="0"/>
                  <w:vAlign w:val="center"/>
                </w:tcPr>
                <w:p>
                  <w:pPr>
                    <w:pStyle w:val="22"/>
                    <w:bidi w:val="0"/>
                    <w:rPr>
                      <w:rFonts w:hint="eastAsia"/>
                      <w:lang w:val="en-US" w:eastAsia="zh-CN"/>
                    </w:rPr>
                  </w:pPr>
                  <w:r>
                    <w:rPr>
                      <w:rFonts w:hint="eastAsia"/>
                      <w:lang w:val="en-US" w:eastAsia="zh-CN"/>
                    </w:rPr>
                    <w:t>本项目不属于码头项目</w:t>
                  </w:r>
                </w:p>
              </w:tc>
              <w:tc>
                <w:tcPr>
                  <w:tcW w:w="620" w:type="dxa"/>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2</w:t>
                  </w:r>
                </w:p>
              </w:tc>
              <w:tc>
                <w:tcPr>
                  <w:tcW w:w="4582" w:type="dxa"/>
                  <w:noWrap w:val="0"/>
                  <w:vAlign w:val="center"/>
                </w:tcPr>
                <w:p>
                  <w:pPr>
                    <w:pStyle w:val="22"/>
                    <w:bidi w:val="0"/>
                    <w:rPr>
                      <w:rFonts w:hint="eastAsia"/>
                      <w:lang w:val="en-US" w:eastAsia="zh-CN"/>
                    </w:rPr>
                  </w:pPr>
                  <w:r>
                    <w:rPr>
                      <w:rFonts w:hint="default"/>
                      <w:lang w:val="en-US" w:eastAsia="zh-CN"/>
                    </w:rPr>
                    <w:t>禁止新建、改建和扩建不符合《长江干线过江通道布局规划</w:t>
                  </w:r>
                  <w:r>
                    <w:rPr>
                      <w:rFonts w:hint="eastAsia"/>
                      <w:lang w:val="en-US" w:eastAsia="zh-CN"/>
                    </w:rPr>
                    <w:t>（</w:t>
                  </w:r>
                  <w:r>
                    <w:rPr>
                      <w:rFonts w:hint="default"/>
                      <w:lang w:val="en-US" w:eastAsia="zh-CN"/>
                    </w:rPr>
                    <w:t>2020-2035年</w:t>
                  </w:r>
                  <w:r>
                    <w:rPr>
                      <w:rFonts w:hint="eastAsia"/>
                      <w:lang w:val="en-US" w:eastAsia="zh-CN"/>
                    </w:rPr>
                    <w:t>）</w:t>
                  </w:r>
                  <w:r>
                    <w:rPr>
                      <w:rFonts w:hint="default"/>
                      <w:lang w:val="en-US" w:eastAsia="zh-CN"/>
                    </w:rPr>
                    <w:t>》的过长江通道项目</w:t>
                  </w:r>
                  <w:r>
                    <w:rPr>
                      <w:rFonts w:hint="eastAsia"/>
                      <w:lang w:val="en-US" w:eastAsia="zh-CN"/>
                    </w:rPr>
                    <w:t>（</w:t>
                  </w:r>
                  <w:r>
                    <w:rPr>
                      <w:rFonts w:hint="default"/>
                      <w:lang w:val="en-US" w:eastAsia="zh-CN"/>
                    </w:rPr>
                    <w:t>含桥梁、隧道</w:t>
                  </w:r>
                  <w:r>
                    <w:rPr>
                      <w:rFonts w:hint="eastAsia"/>
                      <w:lang w:val="en-US" w:eastAsia="zh-CN"/>
                    </w:rPr>
                    <w:t>）</w:t>
                  </w:r>
                  <w:r>
                    <w:rPr>
                      <w:rFonts w:hint="default"/>
                      <w:lang w:val="en-US" w:eastAsia="zh-CN"/>
                    </w:rPr>
                    <w:t>，国家发展改革委同意过长江通道线位调整的除外。</w:t>
                  </w:r>
                </w:p>
              </w:tc>
              <w:tc>
                <w:tcPr>
                  <w:tcW w:w="1838" w:type="dxa"/>
                  <w:noWrap w:val="0"/>
                  <w:vAlign w:val="center"/>
                </w:tcPr>
                <w:p>
                  <w:pPr>
                    <w:pStyle w:val="22"/>
                    <w:bidi w:val="0"/>
                    <w:rPr>
                      <w:rFonts w:hint="eastAsia"/>
                      <w:lang w:val="en-US" w:eastAsia="zh-CN"/>
                    </w:rPr>
                  </w:pPr>
                  <w:r>
                    <w:rPr>
                      <w:rFonts w:hint="eastAsia"/>
                      <w:lang w:val="en-US" w:eastAsia="zh-CN"/>
                    </w:rPr>
                    <w:t>本项目不属于</w:t>
                  </w:r>
                  <w:r>
                    <w:rPr>
                      <w:rFonts w:hint="default"/>
                      <w:lang w:val="en-US" w:eastAsia="zh-CN"/>
                    </w:rPr>
                    <w:t>过长江通道项目</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3</w:t>
                  </w:r>
                </w:p>
              </w:tc>
              <w:tc>
                <w:tcPr>
                  <w:tcW w:w="4582" w:type="dxa"/>
                  <w:noWrap w:val="0"/>
                  <w:vAlign w:val="center"/>
                </w:tcPr>
                <w:p>
                  <w:pPr>
                    <w:pStyle w:val="22"/>
                    <w:bidi w:val="0"/>
                    <w:rPr>
                      <w:rFonts w:hint="eastAsia"/>
                      <w:lang w:val="en-US" w:eastAsia="zh-CN"/>
                    </w:rPr>
                  </w:pPr>
                  <w:r>
                    <w:rPr>
                      <w:rFonts w:hint="default"/>
                      <w:lang w:val="en-US" w:eastAsia="zh-CN"/>
                    </w:rPr>
                    <w:t>禁止在自然保护区核心区、缓冲区的岸线和河段范围内投资建设旅游和生产经营项目。自然保护区的内部未分区的，依照核心区和</w:t>
                  </w:r>
                  <w:r>
                    <w:rPr>
                      <w:rFonts w:hint="eastAsia"/>
                      <w:lang w:val="en-US" w:eastAsia="zh-CN"/>
                    </w:rPr>
                    <w:t>缓冲</w:t>
                  </w:r>
                  <w:r>
                    <w:rPr>
                      <w:rFonts w:hint="default"/>
                      <w:lang w:val="en-US" w:eastAsia="zh-CN"/>
                    </w:rPr>
                    <w:t>区的规定管控。</w:t>
                  </w:r>
                </w:p>
              </w:tc>
              <w:tc>
                <w:tcPr>
                  <w:tcW w:w="1838" w:type="dxa"/>
                  <w:noWrap w:val="0"/>
                  <w:vAlign w:val="center"/>
                </w:tcPr>
                <w:p>
                  <w:pPr>
                    <w:pStyle w:val="22"/>
                    <w:bidi w:val="0"/>
                    <w:rPr>
                      <w:rFonts w:hint="eastAsia"/>
                      <w:lang w:val="en-US" w:eastAsia="zh-CN"/>
                    </w:rPr>
                  </w:pPr>
                  <w:r>
                    <w:rPr>
                      <w:rFonts w:hint="eastAsia"/>
                      <w:lang w:val="en-US" w:eastAsia="zh-CN"/>
                    </w:rPr>
                    <w:t>本项目位于四川达州普光经济开发区，不涉及</w:t>
                  </w:r>
                  <w:r>
                    <w:rPr>
                      <w:rFonts w:hint="default"/>
                      <w:lang w:val="en-US" w:eastAsia="zh-CN"/>
                    </w:rPr>
                    <w:t>自然保护区核心区、缓冲区</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4</w:t>
                  </w:r>
                </w:p>
              </w:tc>
              <w:tc>
                <w:tcPr>
                  <w:tcW w:w="4582" w:type="dxa"/>
                  <w:noWrap w:val="0"/>
                  <w:vAlign w:val="center"/>
                </w:tcPr>
                <w:p>
                  <w:pPr>
                    <w:pStyle w:val="22"/>
                    <w:bidi w:val="0"/>
                    <w:rPr>
                      <w:rFonts w:hint="eastAsia"/>
                      <w:lang w:val="en-US" w:eastAsia="zh-CN"/>
                    </w:rPr>
                  </w:pPr>
                  <w:r>
                    <w:rPr>
                      <w:rFonts w:hint="default"/>
                      <w:lang w:val="en-US" w:eastAsia="zh-CN"/>
                    </w:rPr>
                    <w:t>禁止违反风景名胜区规划，在风景名胜区内设立各类开发区。禁止在风景名胜区核心景区的岸线和河段范围内建设宾馆、招待所、培训中心、疗养院以及与风景名胜资源保护无关的项目。</w:t>
                  </w:r>
                </w:p>
              </w:tc>
              <w:tc>
                <w:tcPr>
                  <w:tcW w:w="1838" w:type="dxa"/>
                  <w:noWrap w:val="0"/>
                  <w:vAlign w:val="center"/>
                </w:tcPr>
                <w:p>
                  <w:pPr>
                    <w:pStyle w:val="22"/>
                    <w:bidi w:val="0"/>
                    <w:rPr>
                      <w:rFonts w:hint="eastAsia"/>
                      <w:lang w:val="en-US" w:eastAsia="zh-CN"/>
                    </w:rPr>
                  </w:pPr>
                  <w:r>
                    <w:rPr>
                      <w:rFonts w:hint="eastAsia"/>
                      <w:lang w:val="en-US" w:eastAsia="zh-CN"/>
                    </w:rPr>
                    <w:t>本项目位四川达州普光经济开发区内，不涉及</w:t>
                  </w:r>
                  <w:r>
                    <w:rPr>
                      <w:rFonts w:hint="default"/>
                      <w:lang w:val="en-US" w:eastAsia="zh-CN"/>
                    </w:rPr>
                    <w:t>风景名胜区</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5</w:t>
                  </w:r>
                </w:p>
              </w:tc>
              <w:tc>
                <w:tcPr>
                  <w:tcW w:w="4582" w:type="dxa"/>
                  <w:noWrap w:val="0"/>
                  <w:vAlign w:val="center"/>
                </w:tcPr>
                <w:p>
                  <w:pPr>
                    <w:pStyle w:val="22"/>
                    <w:bidi w:val="0"/>
                    <w:rPr>
                      <w:rFonts w:hint="eastAsia"/>
                      <w:lang w:val="en-US" w:eastAsia="zh-CN"/>
                    </w:rPr>
                  </w:pPr>
                  <w:r>
                    <w:rPr>
                      <w:rFonts w:hint="default"/>
                      <w:lang w:val="en-US" w:eastAsia="zh-CN"/>
                    </w:rPr>
                    <w:t>禁止在饮用水水源准保护区的岸线和河段范围内新建、扩建对水体污染严重的建设项目，禁止改建增加排污量的建设项目</w:t>
                  </w:r>
                  <w:r>
                    <w:rPr>
                      <w:rFonts w:hint="eastAsia"/>
                      <w:lang w:val="en-US" w:eastAsia="zh-CN"/>
                    </w:rPr>
                    <w:t>。</w:t>
                  </w:r>
                </w:p>
              </w:tc>
              <w:tc>
                <w:tcPr>
                  <w:tcW w:w="1838" w:type="dxa"/>
                  <w:noWrap w:val="0"/>
                  <w:vAlign w:val="center"/>
                </w:tcPr>
                <w:p>
                  <w:pPr>
                    <w:pStyle w:val="22"/>
                    <w:bidi w:val="0"/>
                    <w:rPr>
                      <w:rFonts w:hint="eastAsia"/>
                      <w:lang w:val="en-US" w:eastAsia="zh-CN"/>
                    </w:rPr>
                  </w:pPr>
                  <w:r>
                    <w:rPr>
                      <w:rFonts w:hint="eastAsia"/>
                      <w:lang w:val="en-US" w:eastAsia="zh-CN"/>
                    </w:rPr>
                    <w:t>本项目四川达州普光经济开发区内，不涉及</w:t>
                  </w:r>
                  <w:r>
                    <w:rPr>
                      <w:rFonts w:hint="default"/>
                      <w:lang w:val="en-US" w:eastAsia="zh-CN"/>
                    </w:rPr>
                    <w:t>饮用水水源准保护区</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6</w:t>
                  </w:r>
                </w:p>
              </w:tc>
              <w:tc>
                <w:tcPr>
                  <w:tcW w:w="4582" w:type="dxa"/>
                  <w:noWrap w:val="0"/>
                  <w:vAlign w:val="center"/>
                </w:tcPr>
                <w:p>
                  <w:pPr>
                    <w:pStyle w:val="22"/>
                    <w:bidi w:val="0"/>
                    <w:rPr>
                      <w:rFonts w:hint="eastAsia"/>
                      <w:lang w:val="en-US" w:eastAsia="zh-CN"/>
                    </w:rPr>
                  </w:pPr>
                  <w:r>
                    <w:rPr>
                      <w:rFonts w:hint="default"/>
                      <w:lang w:val="en-US" w:eastAsia="zh-CN"/>
                    </w:rPr>
                    <w:t>饮用水水源二级保护区的岸线和河段范围内，除遵守准保护区规定外，禁止新建、改建、扩建排放污染物的投资建设项目</w:t>
                  </w:r>
                  <w:r>
                    <w:rPr>
                      <w:rFonts w:hint="eastAsia"/>
                      <w:lang w:val="en-US" w:eastAsia="zh-CN"/>
                    </w:rPr>
                    <w:t>；</w:t>
                  </w:r>
                  <w:r>
                    <w:rPr>
                      <w:rFonts w:hint="default"/>
                      <w:lang w:val="en-US" w:eastAsia="zh-CN"/>
                    </w:rPr>
                    <w:t>禁止从事对水体有污染的水产养殖等活动</w:t>
                  </w:r>
                  <w:r>
                    <w:rPr>
                      <w:rFonts w:hint="eastAsia"/>
                      <w:lang w:val="en-US" w:eastAsia="zh-CN"/>
                    </w:rPr>
                    <w:t>。</w:t>
                  </w:r>
                </w:p>
              </w:tc>
              <w:tc>
                <w:tcPr>
                  <w:tcW w:w="1838" w:type="dxa"/>
                  <w:noWrap w:val="0"/>
                  <w:vAlign w:val="center"/>
                </w:tcPr>
                <w:p>
                  <w:pPr>
                    <w:pStyle w:val="22"/>
                    <w:bidi w:val="0"/>
                    <w:rPr>
                      <w:rFonts w:hint="eastAsia"/>
                      <w:lang w:val="en-US" w:eastAsia="zh-CN"/>
                    </w:rPr>
                  </w:pPr>
                  <w:r>
                    <w:rPr>
                      <w:rFonts w:hint="eastAsia"/>
                      <w:lang w:val="en-US" w:eastAsia="zh-CN"/>
                    </w:rPr>
                    <w:t>本项目位于四川达州普光经济开发区内，不涉及</w:t>
                  </w:r>
                  <w:r>
                    <w:rPr>
                      <w:rFonts w:hint="default"/>
                      <w:lang w:val="en-US" w:eastAsia="zh-CN"/>
                    </w:rPr>
                    <w:t>饮用水水源二级保护区</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7</w:t>
                  </w:r>
                </w:p>
              </w:tc>
              <w:tc>
                <w:tcPr>
                  <w:tcW w:w="4582" w:type="dxa"/>
                  <w:noWrap w:val="0"/>
                  <w:vAlign w:val="center"/>
                </w:tcPr>
                <w:p>
                  <w:pPr>
                    <w:pStyle w:val="22"/>
                    <w:bidi w:val="0"/>
                    <w:rPr>
                      <w:rFonts w:hint="eastAsia"/>
                      <w:lang w:val="en-US" w:eastAsia="zh-CN"/>
                    </w:rPr>
                  </w:pPr>
                  <w:r>
                    <w:rPr>
                      <w:rFonts w:hint="default"/>
                      <w:lang w:val="en-US" w:eastAsia="zh-CN"/>
                    </w:rPr>
                    <w:t>饮用水水源一级保护区的岸线和河段范围内</w:t>
                  </w:r>
                  <w:r>
                    <w:rPr>
                      <w:rFonts w:hint="eastAsia"/>
                      <w:lang w:val="en-US" w:eastAsia="zh-CN"/>
                    </w:rPr>
                    <w:t>，</w:t>
                  </w:r>
                  <w:r>
                    <w:rPr>
                      <w:rFonts w:hint="default"/>
                      <w:lang w:val="en-US" w:eastAsia="zh-CN"/>
                    </w:rPr>
                    <w:t>除遵守二级保护区规定外，禁止新建、改建、扩建与供水设施和保护水源无关的项目，以及网箱养殖、畜禽养殖、旅游等可能污染饮用水水体的投资建设项目。</w:t>
                  </w:r>
                </w:p>
              </w:tc>
              <w:tc>
                <w:tcPr>
                  <w:tcW w:w="1838" w:type="dxa"/>
                  <w:noWrap w:val="0"/>
                  <w:vAlign w:val="center"/>
                </w:tcPr>
                <w:p>
                  <w:pPr>
                    <w:pStyle w:val="22"/>
                    <w:bidi w:val="0"/>
                    <w:rPr>
                      <w:rFonts w:hint="eastAsia"/>
                      <w:lang w:val="en-US" w:eastAsia="zh-CN"/>
                    </w:rPr>
                  </w:pPr>
                  <w:r>
                    <w:rPr>
                      <w:rFonts w:hint="eastAsia"/>
                      <w:lang w:val="en-US" w:eastAsia="zh-CN"/>
                    </w:rPr>
                    <w:t>本项目位于四川达州普光经济开发区内，不涉及</w:t>
                  </w:r>
                  <w:r>
                    <w:rPr>
                      <w:rFonts w:hint="default"/>
                      <w:lang w:val="en-US" w:eastAsia="zh-CN"/>
                    </w:rPr>
                    <w:t>饮用水水源</w:t>
                  </w:r>
                  <w:r>
                    <w:rPr>
                      <w:rFonts w:hint="eastAsia"/>
                      <w:lang w:val="en-US" w:eastAsia="zh-CN"/>
                    </w:rPr>
                    <w:t>保护区</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8</w:t>
                  </w:r>
                </w:p>
              </w:tc>
              <w:tc>
                <w:tcPr>
                  <w:tcW w:w="4582" w:type="dxa"/>
                  <w:noWrap w:val="0"/>
                  <w:vAlign w:val="center"/>
                </w:tcPr>
                <w:p>
                  <w:pPr>
                    <w:pStyle w:val="22"/>
                    <w:bidi w:val="0"/>
                    <w:rPr>
                      <w:rFonts w:hint="eastAsia"/>
                      <w:lang w:val="en-US" w:eastAsia="zh-CN"/>
                    </w:rPr>
                  </w:pPr>
                  <w:r>
                    <w:rPr>
                      <w:rFonts w:hint="default"/>
                      <w:lang w:val="en-US" w:eastAsia="zh-CN"/>
                    </w:rPr>
                    <w:t>禁止在水产种质资源保护区岸线和河段范围内新建围湖造田、围湖造地或挖沙采石等投资建设项目</w:t>
                  </w:r>
                  <w:r>
                    <w:rPr>
                      <w:rFonts w:hint="eastAsia"/>
                      <w:lang w:val="en-US" w:eastAsia="zh-CN"/>
                    </w:rPr>
                    <w:t>。</w:t>
                  </w:r>
                </w:p>
              </w:tc>
              <w:tc>
                <w:tcPr>
                  <w:tcW w:w="1838" w:type="dxa"/>
                  <w:noWrap w:val="0"/>
                  <w:vAlign w:val="center"/>
                </w:tcPr>
                <w:p>
                  <w:pPr>
                    <w:pStyle w:val="22"/>
                    <w:bidi w:val="0"/>
                    <w:rPr>
                      <w:rFonts w:hint="eastAsia"/>
                      <w:lang w:val="en-US" w:eastAsia="zh-CN"/>
                    </w:rPr>
                  </w:pPr>
                  <w:r>
                    <w:rPr>
                      <w:rFonts w:hint="eastAsia"/>
                      <w:lang w:val="en-US" w:eastAsia="zh-CN"/>
                    </w:rPr>
                    <w:t>本项目位于四川达州普光经济开发区内，不涉及</w:t>
                  </w:r>
                  <w:r>
                    <w:rPr>
                      <w:rFonts w:hint="default"/>
                      <w:lang w:val="en-US" w:eastAsia="zh-CN"/>
                    </w:rPr>
                    <w:t>水产种质资源保护区</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9</w:t>
                  </w:r>
                </w:p>
              </w:tc>
              <w:tc>
                <w:tcPr>
                  <w:tcW w:w="4582" w:type="dxa"/>
                  <w:noWrap w:val="0"/>
                  <w:vAlign w:val="center"/>
                </w:tcPr>
                <w:p>
                  <w:pPr>
                    <w:pStyle w:val="22"/>
                    <w:bidi w:val="0"/>
                    <w:rPr>
                      <w:rFonts w:hint="eastAsia"/>
                      <w:lang w:val="en-US" w:eastAsia="zh-CN"/>
                    </w:rPr>
                  </w:pPr>
                  <w:r>
                    <w:rPr>
                      <w:rFonts w:hint="default"/>
                      <w:lang w:val="en-US" w:eastAsia="zh-CN"/>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润游通道。</w:t>
                  </w:r>
                </w:p>
              </w:tc>
              <w:tc>
                <w:tcPr>
                  <w:tcW w:w="1838" w:type="dxa"/>
                  <w:noWrap w:val="0"/>
                  <w:vAlign w:val="center"/>
                </w:tcPr>
                <w:p>
                  <w:pPr>
                    <w:pStyle w:val="22"/>
                    <w:bidi w:val="0"/>
                    <w:rPr>
                      <w:rFonts w:hint="eastAsia"/>
                      <w:lang w:val="en-US" w:eastAsia="zh-CN"/>
                    </w:rPr>
                  </w:pPr>
                  <w:r>
                    <w:rPr>
                      <w:rFonts w:hint="eastAsia"/>
                      <w:lang w:val="en-US" w:eastAsia="zh-CN"/>
                    </w:rPr>
                    <w:t>本项目位于四川达州普光经济开发区内，不涉及</w:t>
                  </w:r>
                  <w:r>
                    <w:rPr>
                      <w:rFonts w:hint="default"/>
                      <w:lang w:val="en-US" w:eastAsia="zh-CN"/>
                    </w:rPr>
                    <w:t>国家湿地公园</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10</w:t>
                  </w:r>
                </w:p>
              </w:tc>
              <w:tc>
                <w:tcPr>
                  <w:tcW w:w="4582" w:type="dxa"/>
                  <w:noWrap w:val="0"/>
                  <w:vAlign w:val="center"/>
                </w:tcPr>
                <w:p>
                  <w:pPr>
                    <w:pStyle w:val="22"/>
                    <w:bidi w:val="0"/>
                    <w:rPr>
                      <w:rFonts w:hint="eastAsia"/>
                      <w:lang w:val="en-US" w:eastAsia="zh-CN"/>
                    </w:rPr>
                  </w:pPr>
                  <w:r>
                    <w:rPr>
                      <w:rFonts w:hint="default"/>
                      <w:lang w:val="en-US" w:eastAsia="zh-CN"/>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r>
                    <w:rPr>
                      <w:rFonts w:hint="eastAsia"/>
                      <w:lang w:val="en-US" w:eastAsia="zh-CN"/>
                    </w:rPr>
                    <w:t>。</w:t>
                  </w:r>
                </w:p>
              </w:tc>
              <w:tc>
                <w:tcPr>
                  <w:tcW w:w="1838" w:type="dxa"/>
                  <w:noWrap w:val="0"/>
                  <w:vAlign w:val="center"/>
                </w:tcPr>
                <w:p>
                  <w:pPr>
                    <w:pStyle w:val="22"/>
                    <w:bidi w:val="0"/>
                    <w:rPr>
                      <w:rFonts w:hint="eastAsia"/>
                      <w:lang w:val="en-US" w:eastAsia="zh-CN"/>
                    </w:rPr>
                  </w:pPr>
                  <w:r>
                    <w:rPr>
                      <w:rFonts w:hint="eastAsia"/>
                      <w:lang w:val="en-US" w:eastAsia="zh-CN"/>
                    </w:rPr>
                    <w:t>本项目位四川达州普光经济开发区前锋园区内，不涉及</w:t>
                  </w:r>
                  <w:r>
                    <w:rPr>
                      <w:rFonts w:hint="default"/>
                      <w:lang w:val="en-US" w:eastAsia="zh-CN"/>
                    </w:rPr>
                    <w:t>违法利用、占用长江流域河湖岸线</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11</w:t>
                  </w:r>
                </w:p>
              </w:tc>
              <w:tc>
                <w:tcPr>
                  <w:tcW w:w="4582" w:type="dxa"/>
                  <w:noWrap w:val="0"/>
                  <w:vAlign w:val="center"/>
                </w:tcPr>
                <w:p>
                  <w:pPr>
                    <w:pStyle w:val="22"/>
                    <w:bidi w:val="0"/>
                    <w:rPr>
                      <w:rFonts w:hint="eastAsia"/>
                      <w:lang w:val="en-US" w:eastAsia="zh-CN"/>
                    </w:rPr>
                  </w:pPr>
                  <w:r>
                    <w:rPr>
                      <w:rFonts w:hint="default"/>
                      <w:lang w:val="en-US" w:eastAsia="zh-CN"/>
                    </w:rPr>
                    <w:t>禁止在《全国重要江河湖泊水功能区划》划定的河段及湖泊保护区、保留区内投资建设不利于水资源及自然生态保护的项目。</w:t>
                  </w:r>
                </w:p>
              </w:tc>
              <w:tc>
                <w:tcPr>
                  <w:tcW w:w="1838" w:type="dxa"/>
                  <w:noWrap w:val="0"/>
                  <w:vAlign w:val="center"/>
                </w:tcPr>
                <w:p>
                  <w:pPr>
                    <w:pStyle w:val="22"/>
                    <w:bidi w:val="0"/>
                    <w:rPr>
                      <w:rFonts w:hint="eastAsia"/>
                      <w:lang w:val="en-US" w:eastAsia="zh-CN"/>
                    </w:rPr>
                  </w:pPr>
                  <w:r>
                    <w:rPr>
                      <w:rFonts w:hint="eastAsia"/>
                      <w:lang w:val="en-US" w:eastAsia="zh-CN"/>
                    </w:rPr>
                    <w:t>本项目位于四川达州普光经济开发区内，不涉及保护区</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12</w:t>
                  </w:r>
                </w:p>
              </w:tc>
              <w:tc>
                <w:tcPr>
                  <w:tcW w:w="4582" w:type="dxa"/>
                  <w:noWrap w:val="0"/>
                  <w:vAlign w:val="center"/>
                </w:tcPr>
                <w:p>
                  <w:pPr>
                    <w:pStyle w:val="22"/>
                    <w:bidi w:val="0"/>
                    <w:rPr>
                      <w:rFonts w:hint="eastAsia"/>
                      <w:lang w:val="en-US" w:eastAsia="zh-CN"/>
                    </w:rPr>
                  </w:pPr>
                  <w:r>
                    <w:rPr>
                      <w:rFonts w:hint="default"/>
                      <w:lang w:val="en-US" w:eastAsia="zh-CN"/>
                    </w:rPr>
                    <w:t>禁止在长江流域江河、湖泊新设、改设或者扩大排污口，经有管辖权的生态环境主管部门或者长江流域生态环境监督管理机构同意的除外。</w:t>
                  </w:r>
                </w:p>
              </w:tc>
              <w:tc>
                <w:tcPr>
                  <w:tcW w:w="1838" w:type="dxa"/>
                  <w:noWrap w:val="0"/>
                  <w:vAlign w:val="center"/>
                </w:tcPr>
                <w:p>
                  <w:pPr>
                    <w:pStyle w:val="22"/>
                    <w:bidi w:val="0"/>
                    <w:rPr>
                      <w:rFonts w:hint="eastAsia"/>
                      <w:lang w:val="en-US" w:eastAsia="zh-CN"/>
                    </w:rPr>
                  </w:pPr>
                  <w:r>
                    <w:rPr>
                      <w:rFonts w:hint="eastAsia"/>
                      <w:lang w:val="en-US" w:eastAsia="zh-CN"/>
                    </w:rPr>
                    <w:t>项目生活废水经预处理后排入园区污水处理厂，不涉及新设、改设或扩大排污口</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13</w:t>
                  </w:r>
                </w:p>
              </w:tc>
              <w:tc>
                <w:tcPr>
                  <w:tcW w:w="4582" w:type="dxa"/>
                  <w:noWrap w:val="0"/>
                  <w:vAlign w:val="center"/>
                </w:tcPr>
                <w:p>
                  <w:pPr>
                    <w:pStyle w:val="22"/>
                    <w:bidi w:val="0"/>
                    <w:rPr>
                      <w:rFonts w:hint="eastAsia"/>
                      <w:lang w:val="en-US" w:eastAsia="zh-CN"/>
                    </w:rPr>
                  </w:pPr>
                  <w:r>
                    <w:rPr>
                      <w:rFonts w:hint="default"/>
                      <w:lang w:val="en-US" w:eastAsia="zh-CN"/>
                    </w:rPr>
                    <w:t>禁止在长江干流、大渡河、氓江、赤水河、沱江、嘉陵江、乌江、汉江和51个</w:t>
                  </w:r>
                  <w:r>
                    <w:rPr>
                      <w:rFonts w:hint="eastAsia"/>
                      <w:lang w:val="en-US" w:eastAsia="zh-CN"/>
                    </w:rPr>
                    <w:t>（</w:t>
                  </w:r>
                  <w:r>
                    <w:rPr>
                      <w:rFonts w:hint="default"/>
                      <w:lang w:val="en-US" w:eastAsia="zh-CN"/>
                    </w:rPr>
                    <w:t>四川省45个、重庆市6个</w:t>
                  </w:r>
                  <w:r>
                    <w:rPr>
                      <w:rFonts w:hint="eastAsia"/>
                      <w:lang w:val="en-US" w:eastAsia="zh-CN"/>
                    </w:rPr>
                    <w:t>）</w:t>
                  </w:r>
                  <w:r>
                    <w:rPr>
                      <w:rFonts w:hint="default"/>
                      <w:lang w:val="en-US" w:eastAsia="zh-CN"/>
                    </w:rPr>
                    <w:t>水生生物保护区开展生产性捕捞</w:t>
                  </w:r>
                  <w:r>
                    <w:rPr>
                      <w:rFonts w:hint="eastAsia"/>
                      <w:lang w:val="en-US" w:eastAsia="zh-CN"/>
                    </w:rPr>
                    <w:t>。</w:t>
                  </w:r>
                </w:p>
              </w:tc>
              <w:tc>
                <w:tcPr>
                  <w:tcW w:w="1838" w:type="dxa"/>
                  <w:noWrap w:val="0"/>
                  <w:vAlign w:val="center"/>
                </w:tcPr>
                <w:p>
                  <w:pPr>
                    <w:pStyle w:val="22"/>
                    <w:bidi w:val="0"/>
                    <w:rPr>
                      <w:rFonts w:hint="eastAsia"/>
                      <w:lang w:val="en-US" w:eastAsia="zh-CN"/>
                    </w:rPr>
                  </w:pPr>
                  <w:r>
                    <w:rPr>
                      <w:rFonts w:hint="eastAsia"/>
                      <w:lang w:val="en-US" w:eastAsia="zh-CN"/>
                    </w:rPr>
                    <w:t>本项目不涉及</w:t>
                  </w:r>
                  <w:r>
                    <w:rPr>
                      <w:rFonts w:hint="default"/>
                      <w:lang w:val="en-US" w:eastAsia="zh-CN"/>
                    </w:rPr>
                    <w:t>捕捞</w:t>
                  </w:r>
                  <w:r>
                    <w:rPr>
                      <w:rFonts w:hint="eastAsia"/>
                      <w:lang w:val="en-US" w:eastAsia="zh-CN"/>
                    </w:rPr>
                    <w:t>活动</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14</w:t>
                  </w:r>
                </w:p>
              </w:tc>
              <w:tc>
                <w:tcPr>
                  <w:tcW w:w="4582" w:type="dxa"/>
                  <w:noWrap w:val="0"/>
                  <w:vAlign w:val="center"/>
                </w:tcPr>
                <w:p>
                  <w:pPr>
                    <w:pStyle w:val="22"/>
                    <w:bidi w:val="0"/>
                    <w:rPr>
                      <w:rFonts w:hint="eastAsia"/>
                      <w:lang w:val="en-US" w:eastAsia="zh-CN"/>
                    </w:rPr>
                  </w:pPr>
                  <w:r>
                    <w:rPr>
                      <w:rFonts w:hint="default"/>
                      <w:lang w:val="en-US" w:eastAsia="zh-CN"/>
                    </w:rPr>
                    <w:t>禁止在长江千支流、重要湖泊岸线一公里范围内新建、扩建化工园区和化工项目。</w:t>
                  </w:r>
                </w:p>
              </w:tc>
              <w:tc>
                <w:tcPr>
                  <w:tcW w:w="1838" w:type="dxa"/>
                  <w:noWrap w:val="0"/>
                  <w:vAlign w:val="center"/>
                </w:tcPr>
                <w:p>
                  <w:pPr>
                    <w:pStyle w:val="22"/>
                    <w:bidi w:val="0"/>
                    <w:rPr>
                      <w:rFonts w:hint="eastAsia"/>
                      <w:lang w:val="en-US" w:eastAsia="zh-CN"/>
                    </w:rPr>
                  </w:pPr>
                  <w:r>
                    <w:rPr>
                      <w:rFonts w:hint="eastAsia"/>
                      <w:lang w:val="en-US" w:eastAsia="zh-CN"/>
                    </w:rPr>
                    <w:t>本项目不属于化工项目</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15</w:t>
                  </w:r>
                </w:p>
              </w:tc>
              <w:tc>
                <w:tcPr>
                  <w:tcW w:w="4582" w:type="dxa"/>
                  <w:noWrap w:val="0"/>
                  <w:vAlign w:val="center"/>
                </w:tcPr>
                <w:p>
                  <w:pPr>
                    <w:pStyle w:val="22"/>
                    <w:bidi w:val="0"/>
                    <w:rPr>
                      <w:rFonts w:hint="eastAsia"/>
                      <w:lang w:val="en-US" w:eastAsia="zh-CN"/>
                    </w:rPr>
                  </w:pPr>
                  <w:r>
                    <w:rPr>
                      <w:rFonts w:hint="default"/>
                      <w:lang w:val="en-US" w:eastAsia="zh-CN"/>
                    </w:rPr>
                    <w:t>禁止在长江干流岸线三公里范围内和重要支流岸线一公里范围内新建、改建、扩建尾矿库、冶炼渣库、磷石膏库，以提升安全、生态环境保护水平为目的的改建除外。</w:t>
                  </w:r>
                </w:p>
              </w:tc>
              <w:tc>
                <w:tcPr>
                  <w:tcW w:w="1838" w:type="dxa"/>
                  <w:noWrap w:val="0"/>
                  <w:vAlign w:val="center"/>
                </w:tcPr>
                <w:p>
                  <w:pPr>
                    <w:pStyle w:val="22"/>
                    <w:bidi w:val="0"/>
                    <w:rPr>
                      <w:rFonts w:hint="default"/>
                      <w:lang w:val="en-US" w:eastAsia="zh-CN"/>
                    </w:rPr>
                  </w:pPr>
                  <w:r>
                    <w:rPr>
                      <w:rFonts w:hint="eastAsia"/>
                      <w:lang w:val="en-US" w:eastAsia="zh-CN"/>
                    </w:rPr>
                    <w:t>本项目为危险化学品罐车清洗及消防站建设项目</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16</w:t>
                  </w:r>
                </w:p>
              </w:tc>
              <w:tc>
                <w:tcPr>
                  <w:tcW w:w="4582" w:type="dxa"/>
                  <w:noWrap w:val="0"/>
                  <w:vAlign w:val="center"/>
                </w:tcPr>
                <w:p>
                  <w:pPr>
                    <w:pStyle w:val="22"/>
                    <w:bidi w:val="0"/>
                    <w:rPr>
                      <w:rFonts w:hint="eastAsia"/>
                      <w:lang w:val="en-US" w:eastAsia="zh-CN"/>
                    </w:rPr>
                  </w:pPr>
                  <w:r>
                    <w:rPr>
                      <w:rFonts w:hint="default"/>
                      <w:lang w:val="en-US" w:eastAsia="zh-CN"/>
                    </w:rPr>
                    <w:t>禁止在生态保护红线区域、永久基本农田集中区域和其他需要特别保护的区域内选址建设尾矿库、冶炼渣库、磷石膏库。</w:t>
                  </w:r>
                </w:p>
              </w:tc>
              <w:tc>
                <w:tcPr>
                  <w:tcW w:w="1838" w:type="dxa"/>
                  <w:noWrap w:val="0"/>
                  <w:vAlign w:val="center"/>
                </w:tcPr>
                <w:p>
                  <w:pPr>
                    <w:pStyle w:val="22"/>
                    <w:bidi w:val="0"/>
                    <w:rPr>
                      <w:rFonts w:hint="eastAsia"/>
                      <w:lang w:val="en-US" w:eastAsia="zh-CN"/>
                    </w:rPr>
                  </w:pPr>
                  <w:r>
                    <w:rPr>
                      <w:rFonts w:hint="eastAsia"/>
                      <w:lang w:val="en-US" w:eastAsia="zh-CN"/>
                    </w:rPr>
                    <w:t>本项目不涉及保护区</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17</w:t>
                  </w:r>
                </w:p>
              </w:tc>
              <w:tc>
                <w:tcPr>
                  <w:tcW w:w="4582" w:type="dxa"/>
                  <w:noWrap w:val="0"/>
                  <w:vAlign w:val="center"/>
                </w:tcPr>
                <w:p>
                  <w:pPr>
                    <w:pStyle w:val="22"/>
                    <w:bidi w:val="0"/>
                    <w:rPr>
                      <w:rFonts w:hint="eastAsia"/>
                      <w:lang w:val="en-US" w:eastAsia="zh-CN"/>
                    </w:rPr>
                  </w:pPr>
                  <w:r>
                    <w:rPr>
                      <w:rFonts w:hint="default"/>
                      <w:lang w:val="en-US" w:eastAsia="zh-CN"/>
                    </w:rPr>
                    <w:t>禁止在合规园区外新建、扩建钢铁、石化、化工、焦化、建材、有色、制浆造纸等高污染项目。</w:t>
                  </w:r>
                </w:p>
              </w:tc>
              <w:tc>
                <w:tcPr>
                  <w:tcW w:w="1838" w:type="dxa"/>
                  <w:noWrap w:val="0"/>
                  <w:vAlign w:val="center"/>
                </w:tcPr>
                <w:p>
                  <w:pPr>
                    <w:pStyle w:val="22"/>
                    <w:bidi w:val="0"/>
                    <w:rPr>
                      <w:rFonts w:hint="eastAsia"/>
                      <w:lang w:val="en-US" w:eastAsia="zh-CN"/>
                    </w:rPr>
                  </w:pPr>
                  <w:r>
                    <w:rPr>
                      <w:rFonts w:hint="eastAsia"/>
                      <w:lang w:val="en-US" w:eastAsia="zh-CN"/>
                    </w:rPr>
                    <w:t>本项目不属于高污染项目</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18</w:t>
                  </w:r>
                </w:p>
              </w:tc>
              <w:tc>
                <w:tcPr>
                  <w:tcW w:w="4582" w:type="dxa"/>
                  <w:noWrap w:val="0"/>
                  <w:vAlign w:val="center"/>
                </w:tcPr>
                <w:p>
                  <w:pPr>
                    <w:pStyle w:val="22"/>
                    <w:bidi w:val="0"/>
                    <w:rPr>
                      <w:rFonts w:hint="eastAsia"/>
                      <w:lang w:val="en-US" w:eastAsia="zh-CN"/>
                    </w:rPr>
                  </w:pPr>
                  <w:r>
                    <w:rPr>
                      <w:rFonts w:hint="default"/>
                      <w:lang w:val="en-US" w:eastAsia="zh-CN"/>
                    </w:rPr>
                    <w:t>禁止新建、扩建不符合国家石化、现代煤化工等产业布局规划的项目。</w:t>
                  </w:r>
                </w:p>
              </w:tc>
              <w:tc>
                <w:tcPr>
                  <w:tcW w:w="1838" w:type="dxa"/>
                  <w:noWrap w:val="0"/>
                  <w:vAlign w:val="center"/>
                </w:tcPr>
                <w:p>
                  <w:pPr>
                    <w:pStyle w:val="22"/>
                    <w:bidi w:val="0"/>
                    <w:rPr>
                      <w:rFonts w:hint="default"/>
                      <w:lang w:val="en-US" w:eastAsia="zh-CN"/>
                    </w:rPr>
                  </w:pPr>
                  <w:r>
                    <w:rPr>
                      <w:rFonts w:hint="eastAsia"/>
                      <w:lang w:val="en-US" w:eastAsia="zh-CN"/>
                    </w:rPr>
                    <w:t>本项目符合产业布局规划</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19</w:t>
                  </w:r>
                </w:p>
              </w:tc>
              <w:tc>
                <w:tcPr>
                  <w:tcW w:w="4582" w:type="dxa"/>
                  <w:noWrap w:val="0"/>
                  <w:vAlign w:val="center"/>
                </w:tcPr>
                <w:p>
                  <w:pPr>
                    <w:pStyle w:val="22"/>
                    <w:bidi w:val="0"/>
                    <w:rPr>
                      <w:rFonts w:hint="eastAsia"/>
                      <w:lang w:val="en-US" w:eastAsia="zh-CN"/>
                    </w:rPr>
                  </w:pPr>
                  <w:r>
                    <w:rPr>
                      <w:rFonts w:hint="default"/>
                      <w:lang w:val="en-US" w:eastAsia="zh-CN"/>
                    </w:rPr>
                    <w:t>禁止新建、扩建法律法规和相关政策明令禁止的落后产能项目。对《产业结构调整指导目录》中淘汰类项目，禁止投资</w:t>
                  </w:r>
                  <w:r>
                    <w:rPr>
                      <w:rFonts w:hint="eastAsia"/>
                      <w:lang w:val="en-US" w:eastAsia="zh-CN"/>
                    </w:rPr>
                    <w:t>；</w:t>
                  </w:r>
                  <w:r>
                    <w:rPr>
                      <w:rFonts w:hint="default"/>
                      <w:lang w:val="en-US" w:eastAsia="zh-CN"/>
                    </w:rPr>
                    <w:t>限制类的新建项目，禁止投资，对属于限制类的现有生产能力，允许企业在一定期限内采取措施改造升级。</w:t>
                  </w:r>
                </w:p>
              </w:tc>
              <w:tc>
                <w:tcPr>
                  <w:tcW w:w="1838" w:type="dxa"/>
                  <w:noWrap w:val="0"/>
                  <w:vAlign w:val="center"/>
                </w:tcPr>
                <w:p>
                  <w:pPr>
                    <w:pStyle w:val="22"/>
                    <w:bidi w:val="0"/>
                    <w:rPr>
                      <w:rFonts w:hint="eastAsia"/>
                      <w:lang w:val="en-US" w:eastAsia="zh-CN"/>
                    </w:rPr>
                  </w:pPr>
                  <w:r>
                    <w:rPr>
                      <w:rFonts w:hint="eastAsia"/>
                      <w:lang w:val="en-US" w:eastAsia="zh-CN"/>
                    </w:rPr>
                    <w:t>本项目不属于淘汰类项目，为允许类项目</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20</w:t>
                  </w:r>
                </w:p>
              </w:tc>
              <w:tc>
                <w:tcPr>
                  <w:tcW w:w="4582" w:type="dxa"/>
                  <w:noWrap w:val="0"/>
                  <w:vAlign w:val="center"/>
                </w:tcPr>
                <w:p>
                  <w:pPr>
                    <w:pStyle w:val="22"/>
                    <w:bidi w:val="0"/>
                    <w:rPr>
                      <w:rFonts w:hint="eastAsia"/>
                      <w:lang w:val="en-US" w:eastAsia="zh-CN"/>
                    </w:rPr>
                  </w:pPr>
                  <w:r>
                    <w:rPr>
                      <w:rFonts w:hint="default"/>
                      <w:lang w:val="en-US" w:eastAsia="zh-CN"/>
                    </w:rPr>
                    <w:t>禁止新建、扩建不符合国家产能置换要求的严重过剩产能行业的项目。对于不符合国家产能置换要求的严重过剩产能行业，不得以其他任何名义、任何方式备案新增产能项目。</w:t>
                  </w:r>
                </w:p>
              </w:tc>
              <w:tc>
                <w:tcPr>
                  <w:tcW w:w="1838" w:type="dxa"/>
                  <w:noWrap w:val="0"/>
                  <w:vAlign w:val="center"/>
                </w:tcPr>
                <w:p>
                  <w:pPr>
                    <w:pStyle w:val="22"/>
                    <w:bidi w:val="0"/>
                    <w:rPr>
                      <w:rFonts w:hint="eastAsia"/>
                      <w:lang w:val="en-US" w:eastAsia="zh-CN"/>
                    </w:rPr>
                  </w:pPr>
                  <w:r>
                    <w:rPr>
                      <w:rFonts w:hint="eastAsia"/>
                      <w:lang w:val="en-US" w:eastAsia="zh-CN"/>
                    </w:rPr>
                    <w:t>本项目不属于</w:t>
                  </w:r>
                  <w:r>
                    <w:rPr>
                      <w:rFonts w:hint="default"/>
                      <w:lang w:val="en-US" w:eastAsia="zh-CN"/>
                    </w:rPr>
                    <w:t>严重过剩产能行业的项目</w:t>
                  </w:r>
                </w:p>
              </w:tc>
              <w:tc>
                <w:tcPr>
                  <w:tcW w:w="0" w:type="auto"/>
                  <w:noWrap w:val="0"/>
                  <w:vAlign w:val="center"/>
                </w:tcPr>
                <w:p>
                  <w:pPr>
                    <w:pStyle w:val="22"/>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pStyle w:val="22"/>
                    <w:bidi w:val="0"/>
                    <w:rPr>
                      <w:rFonts w:hint="default"/>
                      <w:lang w:val="en-US" w:eastAsia="zh-CN"/>
                    </w:rPr>
                  </w:pPr>
                  <w:r>
                    <w:rPr>
                      <w:rFonts w:hint="eastAsia"/>
                      <w:lang w:val="en-US" w:eastAsia="zh-CN"/>
                    </w:rPr>
                    <w:t>21</w:t>
                  </w:r>
                </w:p>
              </w:tc>
              <w:tc>
                <w:tcPr>
                  <w:tcW w:w="4582" w:type="dxa"/>
                  <w:noWrap w:val="0"/>
                  <w:vAlign w:val="center"/>
                </w:tcPr>
                <w:p>
                  <w:pPr>
                    <w:pStyle w:val="22"/>
                    <w:bidi w:val="0"/>
                    <w:rPr>
                      <w:rFonts w:hint="default"/>
                      <w:lang w:val="en-US" w:eastAsia="zh-CN"/>
                    </w:rPr>
                  </w:pPr>
                  <w:r>
                    <w:rPr>
                      <w:rFonts w:hint="default"/>
                      <w:lang w:val="en-US" w:eastAsia="zh-CN"/>
                    </w:rPr>
                    <w:t>禁止建设以下燃油汽车投资项目</w:t>
                  </w:r>
                  <w:r>
                    <w:rPr>
                      <w:rFonts w:hint="eastAsia"/>
                      <w:lang w:val="en-US" w:eastAsia="zh-CN"/>
                    </w:rPr>
                    <w:t>：</w:t>
                  </w:r>
                </w:p>
                <w:p>
                  <w:pPr>
                    <w:pStyle w:val="22"/>
                    <w:bidi w:val="0"/>
                    <w:rPr>
                      <w:rFonts w:hint="default"/>
                      <w:lang w:val="en-US" w:eastAsia="zh-CN"/>
                    </w:rPr>
                  </w:pPr>
                  <w:r>
                    <w:rPr>
                      <w:rFonts w:hint="eastAsia"/>
                      <w:lang w:val="en-US" w:eastAsia="zh-CN"/>
                    </w:rPr>
                    <w:t>（</w:t>
                  </w:r>
                  <w:r>
                    <w:rPr>
                      <w:rFonts w:hint="default"/>
                      <w:lang w:val="en-US" w:eastAsia="zh-CN"/>
                    </w:rPr>
                    <w:t>一</w:t>
                  </w:r>
                  <w:r>
                    <w:rPr>
                      <w:rFonts w:hint="eastAsia"/>
                      <w:lang w:val="en-US" w:eastAsia="zh-CN"/>
                    </w:rPr>
                    <w:t>）</w:t>
                  </w:r>
                  <w:r>
                    <w:rPr>
                      <w:rFonts w:hint="default"/>
                      <w:lang w:val="en-US" w:eastAsia="zh-CN"/>
                    </w:rPr>
                    <w:t>新建独立燃油汽车企业</w:t>
                  </w:r>
                  <w:r>
                    <w:rPr>
                      <w:rFonts w:hint="eastAsia"/>
                      <w:lang w:val="en-US" w:eastAsia="zh-CN"/>
                    </w:rPr>
                    <w:t>；</w:t>
                  </w:r>
                </w:p>
                <w:p>
                  <w:pPr>
                    <w:pStyle w:val="22"/>
                    <w:bidi w:val="0"/>
                    <w:rPr>
                      <w:rFonts w:hint="default"/>
                      <w:lang w:val="en-US" w:eastAsia="zh-CN"/>
                    </w:rPr>
                  </w:pPr>
                  <w:r>
                    <w:rPr>
                      <w:rFonts w:hint="eastAsia"/>
                      <w:lang w:val="en-US" w:eastAsia="zh-CN"/>
                    </w:rPr>
                    <w:t>（</w:t>
                  </w:r>
                  <w:r>
                    <w:rPr>
                      <w:rFonts w:hint="default"/>
                      <w:lang w:val="en-US" w:eastAsia="zh-CN"/>
                    </w:rPr>
                    <w:t>二</w:t>
                  </w:r>
                  <w:r>
                    <w:rPr>
                      <w:rFonts w:hint="eastAsia"/>
                      <w:lang w:val="en-US" w:eastAsia="zh-CN"/>
                    </w:rPr>
                    <w:t>）</w:t>
                  </w:r>
                  <w:r>
                    <w:rPr>
                      <w:rFonts w:hint="default"/>
                      <w:lang w:val="en-US" w:eastAsia="zh-CN"/>
                    </w:rPr>
                    <w:t>现有汽车企业跨乘用车、商用车类别建设燃油汽车生产能力</w:t>
                  </w:r>
                  <w:r>
                    <w:rPr>
                      <w:rFonts w:hint="eastAsia"/>
                      <w:lang w:val="en-US" w:eastAsia="zh-CN"/>
                    </w:rPr>
                    <w:t>；</w:t>
                  </w:r>
                </w:p>
                <w:p>
                  <w:pPr>
                    <w:pStyle w:val="22"/>
                    <w:bidi w:val="0"/>
                    <w:rPr>
                      <w:rFonts w:hint="default"/>
                      <w:lang w:val="en-US" w:eastAsia="zh-CN"/>
                    </w:rPr>
                  </w:pPr>
                  <w:r>
                    <w:rPr>
                      <w:rFonts w:hint="eastAsia"/>
                      <w:lang w:val="en-US" w:eastAsia="zh-CN"/>
                    </w:rPr>
                    <w:t>（</w:t>
                  </w:r>
                  <w:r>
                    <w:rPr>
                      <w:rFonts w:hint="default"/>
                      <w:lang w:val="en-US" w:eastAsia="zh-CN"/>
                    </w:rPr>
                    <w:t>三</w:t>
                  </w:r>
                  <w:r>
                    <w:rPr>
                      <w:rFonts w:hint="eastAsia"/>
                      <w:lang w:val="en-US" w:eastAsia="zh-CN"/>
                    </w:rPr>
                    <w:t>）</w:t>
                  </w:r>
                  <w:r>
                    <w:rPr>
                      <w:rFonts w:hint="default"/>
                      <w:lang w:val="en-US" w:eastAsia="zh-CN"/>
                    </w:rPr>
                    <w:t>外省现有燃油汽车企业整体搬迁至本省</w:t>
                  </w:r>
                  <w:r>
                    <w:rPr>
                      <w:rFonts w:hint="eastAsia"/>
                      <w:lang w:val="en-US" w:eastAsia="zh-CN"/>
                    </w:rPr>
                    <w:t>（</w:t>
                  </w:r>
                  <w:r>
                    <w:rPr>
                      <w:rFonts w:hint="default"/>
                      <w:lang w:val="en-US" w:eastAsia="zh-CN"/>
                    </w:rPr>
                    <w:t>列入国家级区域发展规划或不改变企业股权结构的项目除外</w:t>
                  </w:r>
                  <w:r>
                    <w:rPr>
                      <w:rFonts w:hint="eastAsia"/>
                      <w:lang w:val="en-US" w:eastAsia="zh-CN"/>
                    </w:rPr>
                    <w:t>）；</w:t>
                  </w:r>
                </w:p>
                <w:p>
                  <w:pPr>
                    <w:pStyle w:val="22"/>
                    <w:bidi w:val="0"/>
                    <w:rPr>
                      <w:rFonts w:hint="eastAsia"/>
                      <w:lang w:val="en-US" w:eastAsia="zh-CN"/>
                    </w:rPr>
                  </w:pPr>
                  <w:r>
                    <w:rPr>
                      <w:rFonts w:hint="eastAsia"/>
                      <w:lang w:val="en-US" w:eastAsia="zh-CN"/>
                    </w:rPr>
                    <w:t>（</w:t>
                  </w:r>
                  <w:r>
                    <w:rPr>
                      <w:rFonts w:hint="default"/>
                      <w:lang w:val="en-US" w:eastAsia="zh-CN"/>
                    </w:rPr>
                    <w:t>四</w:t>
                  </w:r>
                  <w:r>
                    <w:rPr>
                      <w:rFonts w:hint="eastAsia"/>
                      <w:lang w:val="en-US" w:eastAsia="zh-CN"/>
                    </w:rPr>
                    <w:t>）</w:t>
                  </w:r>
                  <w:r>
                    <w:rPr>
                      <w:rFonts w:hint="default"/>
                      <w:lang w:val="en-US" w:eastAsia="zh-CN"/>
                    </w:rPr>
                    <w:t>对行业管理部门特别公示的燃油汽车企业进行投资</w:t>
                  </w:r>
                  <w:r>
                    <w:rPr>
                      <w:rFonts w:hint="eastAsia"/>
                      <w:lang w:val="en-US" w:eastAsia="zh-CN"/>
                    </w:rPr>
                    <w:t>（</w:t>
                  </w:r>
                  <w:r>
                    <w:rPr>
                      <w:rFonts w:hint="default"/>
                      <w:lang w:val="en-US" w:eastAsia="zh-CN"/>
                    </w:rPr>
                    <w:t>企业原有股东投资或将该企业转为非独立法人的投资项目除</w:t>
                  </w:r>
                  <w:r>
                    <w:rPr>
                      <w:rFonts w:hint="eastAsia"/>
                      <w:lang w:val="en-US" w:eastAsia="zh-CN"/>
                    </w:rPr>
                    <w:t>外）。</w:t>
                  </w:r>
                </w:p>
              </w:tc>
              <w:tc>
                <w:tcPr>
                  <w:tcW w:w="1838" w:type="dxa"/>
                  <w:noWrap w:val="0"/>
                  <w:vAlign w:val="center"/>
                </w:tcPr>
                <w:p>
                  <w:pPr>
                    <w:pStyle w:val="22"/>
                    <w:bidi w:val="0"/>
                    <w:rPr>
                      <w:rFonts w:hint="default"/>
                      <w:lang w:val="en-US" w:eastAsia="zh-CN"/>
                    </w:rPr>
                  </w:pPr>
                  <w:r>
                    <w:rPr>
                      <w:rFonts w:hint="eastAsia"/>
                      <w:lang w:val="en-US" w:eastAsia="zh-CN"/>
                    </w:rPr>
                    <w:t>本项目为燃油汽车投资项目</w:t>
                  </w:r>
                </w:p>
              </w:tc>
              <w:tc>
                <w:tcPr>
                  <w:tcW w:w="0" w:type="auto"/>
                  <w:noWrap w:val="0"/>
                  <w:vAlign w:val="center"/>
                </w:tcPr>
                <w:p>
                  <w:pPr>
                    <w:pStyle w:val="22"/>
                    <w:bidi w:val="0"/>
                    <w:rPr>
                      <w:rFonts w:hint="eastAsia"/>
                      <w:lang w:val="en-US" w:eastAsia="zh-CN"/>
                    </w:rPr>
                  </w:pPr>
                  <w:r>
                    <w:rPr>
                      <w:rFonts w:hint="eastAsia"/>
                      <w:lang w:val="en-US" w:eastAsia="zh-CN"/>
                    </w:rPr>
                    <w:t>符合</w:t>
                  </w:r>
                </w:p>
              </w:tc>
            </w:tr>
          </w:tbl>
          <w:p>
            <w:pPr>
              <w:bidi w:val="0"/>
              <w:rPr>
                <w:rFonts w:hint="default"/>
                <w:b/>
                <w:bCs/>
                <w:lang w:val="en-US" w:eastAsia="zh-CN"/>
              </w:rPr>
            </w:pPr>
            <w:r>
              <w:rPr>
                <w:rFonts w:hint="default"/>
                <w:b/>
                <w:bCs/>
                <w:lang w:val="en-US" w:eastAsia="zh-CN"/>
              </w:rPr>
              <w:t>因此，本项目不属于《四川省长江经济带发展负面清单实施细则（试行）》中的负面清单内。</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lang w:val="en-US" w:eastAsia="zh-CN"/>
              </w:rPr>
              <w:t>项目与长江经济带发展负面清单指南（试行，2022 年版）符合性分析</w:t>
            </w:r>
          </w:p>
          <w:p>
            <w:pPr>
              <w:pStyle w:val="26"/>
              <w:bidi w:val="0"/>
              <w:rPr>
                <w:rFonts w:hint="default"/>
              </w:rPr>
            </w:pPr>
            <w:r>
              <w:rPr>
                <w:rFonts w:hint="default"/>
              </w:rPr>
              <w:t>表1-</w:t>
            </w:r>
            <w:r>
              <w:rPr>
                <w:rFonts w:hint="default"/>
                <w:lang w:val="en-US" w:eastAsia="zh-CN"/>
              </w:rPr>
              <w:t>7</w:t>
            </w:r>
            <w:r>
              <w:rPr>
                <w:rFonts w:hint="default"/>
              </w:rPr>
              <w:t xml:space="preserve"> 长江经济带发展负面清单指南符合性分析一览表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5611"/>
              <w:gridCol w:w="1154"/>
              <w:gridCol w:w="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序号</w:t>
                  </w:r>
                </w:p>
              </w:tc>
              <w:tc>
                <w:tcPr>
                  <w:tcW w:w="3665" w:type="pct"/>
                  <w:noWrap w:val="0"/>
                  <w:vAlign w:val="center"/>
                </w:tcPr>
                <w:p>
                  <w:pPr>
                    <w:pStyle w:val="22"/>
                    <w:bidi w:val="0"/>
                    <w:rPr>
                      <w:rFonts w:hint="default"/>
                      <w:lang w:val="en-US" w:eastAsia="zh-CN"/>
                    </w:rPr>
                  </w:pPr>
                  <w:r>
                    <w:rPr>
                      <w:rFonts w:hint="default"/>
                      <w:lang w:val="en-US" w:eastAsia="zh-CN"/>
                    </w:rPr>
                    <w:t>长江经济带发展负面清单指南（试行，2022年版）内容</w:t>
                  </w:r>
                </w:p>
              </w:tc>
              <w:tc>
                <w:tcPr>
                  <w:tcW w:w="756" w:type="pct"/>
                  <w:noWrap w:val="0"/>
                  <w:vAlign w:val="center"/>
                </w:tcPr>
                <w:p>
                  <w:pPr>
                    <w:pStyle w:val="22"/>
                    <w:bidi w:val="0"/>
                    <w:rPr>
                      <w:rFonts w:hint="default"/>
                      <w:lang w:val="en-US" w:eastAsia="zh-CN"/>
                    </w:rPr>
                  </w:pPr>
                  <w:r>
                    <w:rPr>
                      <w:rFonts w:hint="default"/>
                      <w:lang w:val="en-US" w:eastAsia="zh-CN"/>
                    </w:rPr>
                    <w:t>本项目情况</w:t>
                  </w:r>
                </w:p>
              </w:tc>
              <w:tc>
                <w:tcPr>
                  <w:tcW w:w="271" w:type="pct"/>
                  <w:noWrap w:val="0"/>
                  <w:vAlign w:val="center"/>
                </w:tcPr>
                <w:p>
                  <w:pPr>
                    <w:pStyle w:val="22"/>
                    <w:bidi w:val="0"/>
                    <w:rPr>
                      <w:rFonts w:hint="default"/>
                      <w:lang w:val="en-US" w:eastAsia="zh-CN"/>
                    </w:rPr>
                  </w:pPr>
                  <w:r>
                    <w:rPr>
                      <w:rFonts w:hint="default"/>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1</w:t>
                  </w:r>
                </w:p>
              </w:tc>
              <w:tc>
                <w:tcPr>
                  <w:tcW w:w="3665" w:type="pct"/>
                  <w:noWrap w:val="0"/>
                  <w:vAlign w:val="center"/>
                </w:tcPr>
                <w:p>
                  <w:pPr>
                    <w:pStyle w:val="22"/>
                    <w:bidi w:val="0"/>
                    <w:rPr>
                      <w:rFonts w:hint="default"/>
                      <w:lang w:val="en-US" w:eastAsia="zh-CN"/>
                    </w:rPr>
                  </w:pPr>
                  <w:r>
                    <w:rPr>
                      <w:rFonts w:hint="default"/>
                    </w:rPr>
                    <w:t>禁止建设不符合全国和省级港口布局规划以及港口总体规划的码头项目，禁止建设不符合《长江干线过江通道布局规划》的过长江通道项目。</w:t>
                  </w:r>
                </w:p>
              </w:tc>
              <w:tc>
                <w:tcPr>
                  <w:tcW w:w="756" w:type="pct"/>
                  <w:noWrap w:val="0"/>
                  <w:vAlign w:val="center"/>
                </w:tcPr>
                <w:p>
                  <w:pPr>
                    <w:pStyle w:val="22"/>
                    <w:bidi w:val="0"/>
                    <w:rPr>
                      <w:rFonts w:hint="default"/>
                      <w:lang w:val="en-US" w:eastAsia="zh-CN"/>
                    </w:rPr>
                  </w:pPr>
                  <w:r>
                    <w:rPr>
                      <w:rFonts w:hint="eastAsia"/>
                      <w:lang w:val="en-US" w:eastAsia="zh-CN"/>
                    </w:rPr>
                    <w:t>本项目不涉及码头及过长江通道项目</w:t>
                  </w:r>
                </w:p>
              </w:tc>
              <w:tc>
                <w:tcPr>
                  <w:tcW w:w="271" w:type="pct"/>
                  <w:noWrap w:val="0"/>
                  <w:vAlign w:val="center"/>
                </w:tcPr>
                <w:p>
                  <w:pPr>
                    <w:pStyle w:val="22"/>
                    <w:bidi w:val="0"/>
                    <w:rPr>
                      <w:rFonts w:hint="default"/>
                      <w:lang w:val="en-US" w:eastAsia="zh-CN"/>
                    </w:rPr>
                  </w:pPr>
                  <w:r>
                    <w:rPr>
                      <w:rFonts w:hint="default"/>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2</w:t>
                  </w:r>
                </w:p>
              </w:tc>
              <w:tc>
                <w:tcPr>
                  <w:tcW w:w="3665" w:type="pct"/>
                  <w:noWrap w:val="0"/>
                  <w:vAlign w:val="center"/>
                </w:tcPr>
                <w:p>
                  <w:pPr>
                    <w:pStyle w:val="22"/>
                    <w:bidi w:val="0"/>
                    <w:rPr>
                      <w:rFonts w:hint="default"/>
                      <w:lang w:val="en-US" w:eastAsia="zh-CN"/>
                    </w:rPr>
                  </w:pPr>
                  <w:r>
                    <w:rPr>
                      <w:rFonts w:hint="default"/>
                    </w:rPr>
                    <w:t>禁止在自然保护区核心区、缓冲区的岸线和河段范围内投资建设旅游和生产经营项目。禁止在风景名胜区核心景区的岸线和河段范围内投资建设与风景名胜资源保护无关的项目。</w:t>
                  </w:r>
                </w:p>
              </w:tc>
              <w:tc>
                <w:tcPr>
                  <w:tcW w:w="756" w:type="pct"/>
                  <w:noWrap w:val="0"/>
                  <w:vAlign w:val="center"/>
                </w:tcPr>
                <w:p>
                  <w:pPr>
                    <w:pStyle w:val="22"/>
                    <w:bidi w:val="0"/>
                    <w:rPr>
                      <w:rFonts w:hint="default"/>
                      <w:lang w:val="en-US" w:eastAsia="zh-CN"/>
                    </w:rPr>
                  </w:pPr>
                  <w:r>
                    <w:rPr>
                      <w:rFonts w:hint="eastAsia"/>
                      <w:lang w:val="en-US" w:eastAsia="zh-CN"/>
                    </w:rPr>
                    <w:t>本项目不涉及保护区</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3</w:t>
                  </w:r>
                </w:p>
              </w:tc>
              <w:tc>
                <w:tcPr>
                  <w:tcW w:w="3665" w:type="pct"/>
                  <w:noWrap w:val="0"/>
                  <w:vAlign w:val="center"/>
                </w:tcPr>
                <w:p>
                  <w:pPr>
                    <w:pStyle w:val="22"/>
                    <w:bidi w:val="0"/>
                    <w:rPr>
                      <w:rFonts w:hint="default"/>
                      <w:lang w:val="en-US" w:eastAsia="zh-CN"/>
                    </w:rPr>
                  </w:pPr>
                  <w:r>
                    <w:rPr>
                      <w:rFonts w:hint="default"/>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756" w:type="pct"/>
                  <w:noWrap w:val="0"/>
                  <w:vAlign w:val="center"/>
                </w:tcPr>
                <w:p>
                  <w:pPr>
                    <w:pStyle w:val="22"/>
                    <w:bidi w:val="0"/>
                    <w:rPr>
                      <w:rFonts w:hint="default"/>
                      <w:lang w:val="en-US" w:eastAsia="zh-CN"/>
                    </w:rPr>
                  </w:pPr>
                  <w:r>
                    <w:rPr>
                      <w:rFonts w:hint="eastAsia"/>
                      <w:lang w:val="en-US" w:eastAsia="zh-CN"/>
                    </w:rPr>
                    <w:t>本项目不涉及饮用水源保护区</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4</w:t>
                  </w:r>
                </w:p>
              </w:tc>
              <w:tc>
                <w:tcPr>
                  <w:tcW w:w="3665" w:type="pct"/>
                  <w:noWrap w:val="0"/>
                  <w:vAlign w:val="center"/>
                </w:tcPr>
                <w:p>
                  <w:pPr>
                    <w:pStyle w:val="22"/>
                    <w:bidi w:val="0"/>
                    <w:rPr>
                      <w:rFonts w:hint="default"/>
                      <w:lang w:val="en-US" w:eastAsia="zh-CN"/>
                    </w:rPr>
                  </w:pPr>
                  <w:r>
                    <w:rPr>
                      <w:rFonts w:hint="default"/>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756" w:type="pct"/>
                  <w:noWrap w:val="0"/>
                  <w:vAlign w:val="center"/>
                </w:tcPr>
                <w:p>
                  <w:pPr>
                    <w:pStyle w:val="22"/>
                    <w:bidi w:val="0"/>
                    <w:rPr>
                      <w:rFonts w:hint="default"/>
                      <w:lang w:val="en-US" w:eastAsia="zh-CN"/>
                    </w:rPr>
                  </w:pPr>
                  <w:r>
                    <w:rPr>
                      <w:rFonts w:hint="eastAsia"/>
                      <w:lang w:val="en-US" w:eastAsia="zh-CN"/>
                    </w:rPr>
                    <w:t>本项目不涉及保护区</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5</w:t>
                  </w:r>
                </w:p>
              </w:tc>
              <w:tc>
                <w:tcPr>
                  <w:tcW w:w="3665" w:type="pct"/>
                  <w:noWrap w:val="0"/>
                  <w:vAlign w:val="center"/>
                </w:tcPr>
                <w:p>
                  <w:pPr>
                    <w:pStyle w:val="22"/>
                    <w:bidi w:val="0"/>
                    <w:rPr>
                      <w:rFonts w:hint="default"/>
                    </w:rPr>
                  </w:pPr>
                  <w:r>
                    <w:rPr>
                      <w:rFonts w:hint="default"/>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756" w:type="pct"/>
                  <w:noWrap w:val="0"/>
                  <w:vAlign w:val="center"/>
                </w:tcPr>
                <w:p>
                  <w:pPr>
                    <w:pStyle w:val="22"/>
                    <w:bidi w:val="0"/>
                    <w:rPr>
                      <w:rFonts w:hint="default"/>
                      <w:lang w:val="en-US" w:eastAsia="zh-CN"/>
                    </w:rPr>
                  </w:pPr>
                  <w:r>
                    <w:rPr>
                      <w:rFonts w:hint="eastAsia"/>
                      <w:lang w:val="en-US" w:eastAsia="zh-CN"/>
                    </w:rPr>
                    <w:t>本项目不涉及保护区</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6</w:t>
                  </w:r>
                </w:p>
              </w:tc>
              <w:tc>
                <w:tcPr>
                  <w:tcW w:w="3665" w:type="pct"/>
                  <w:noWrap w:val="0"/>
                  <w:vAlign w:val="center"/>
                </w:tcPr>
                <w:p>
                  <w:pPr>
                    <w:pStyle w:val="22"/>
                    <w:bidi w:val="0"/>
                    <w:rPr>
                      <w:rFonts w:hint="default"/>
                    </w:rPr>
                  </w:pPr>
                  <w:r>
                    <w:rPr>
                      <w:rFonts w:hint="default"/>
                    </w:rPr>
                    <w:t>禁止未经许可在长江干支流及湖泊新设、改设或扩大排污口。</w:t>
                  </w:r>
                </w:p>
              </w:tc>
              <w:tc>
                <w:tcPr>
                  <w:tcW w:w="756" w:type="pct"/>
                  <w:noWrap w:val="0"/>
                  <w:vAlign w:val="center"/>
                </w:tcPr>
                <w:p>
                  <w:pPr>
                    <w:pStyle w:val="22"/>
                    <w:bidi w:val="0"/>
                    <w:rPr>
                      <w:rFonts w:hint="default"/>
                      <w:lang w:val="en-US" w:eastAsia="zh-CN"/>
                    </w:rPr>
                  </w:pPr>
                  <w:r>
                    <w:rPr>
                      <w:rFonts w:hint="eastAsia"/>
                      <w:lang w:val="en-US" w:eastAsia="zh-CN"/>
                    </w:rPr>
                    <w:t>本项目不涉及新增排污口</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7</w:t>
                  </w:r>
                </w:p>
              </w:tc>
              <w:tc>
                <w:tcPr>
                  <w:tcW w:w="3665" w:type="pct"/>
                  <w:noWrap w:val="0"/>
                  <w:vAlign w:val="center"/>
                </w:tcPr>
                <w:p>
                  <w:pPr>
                    <w:pStyle w:val="22"/>
                    <w:bidi w:val="0"/>
                    <w:rPr>
                      <w:rFonts w:hint="default"/>
                    </w:rPr>
                  </w:pPr>
                  <w:r>
                    <w:rPr>
                      <w:rFonts w:hint="default"/>
                    </w:rPr>
                    <w:t>禁止在“一江一口两湖七河”和332 个水生生物保护区开展生产性捕捞。</w:t>
                  </w:r>
                </w:p>
              </w:tc>
              <w:tc>
                <w:tcPr>
                  <w:tcW w:w="756" w:type="pct"/>
                  <w:noWrap w:val="0"/>
                  <w:vAlign w:val="center"/>
                </w:tcPr>
                <w:p>
                  <w:pPr>
                    <w:pStyle w:val="22"/>
                    <w:bidi w:val="0"/>
                    <w:rPr>
                      <w:rFonts w:hint="default"/>
                      <w:lang w:val="en-US" w:eastAsia="zh-CN"/>
                    </w:rPr>
                  </w:pPr>
                  <w:r>
                    <w:rPr>
                      <w:rFonts w:hint="eastAsia"/>
                      <w:lang w:val="en-US" w:eastAsia="zh-CN"/>
                    </w:rPr>
                    <w:t>本项目不涉及捕捞</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8</w:t>
                  </w:r>
                </w:p>
              </w:tc>
              <w:tc>
                <w:tcPr>
                  <w:tcW w:w="3665" w:type="pct"/>
                  <w:noWrap w:val="0"/>
                  <w:vAlign w:val="center"/>
                </w:tcPr>
                <w:p>
                  <w:pPr>
                    <w:pStyle w:val="22"/>
                    <w:bidi w:val="0"/>
                    <w:rPr>
                      <w:rFonts w:hint="default"/>
                    </w:rPr>
                  </w:pPr>
                  <w:r>
                    <w:rPr>
                      <w:rFonts w:hint="default"/>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756" w:type="pct"/>
                  <w:noWrap w:val="0"/>
                  <w:vAlign w:val="center"/>
                </w:tcPr>
                <w:p>
                  <w:pPr>
                    <w:pStyle w:val="22"/>
                    <w:bidi w:val="0"/>
                    <w:rPr>
                      <w:rFonts w:hint="default"/>
                      <w:lang w:val="en-US" w:eastAsia="zh-CN"/>
                    </w:rPr>
                  </w:pPr>
                  <w:r>
                    <w:rPr>
                      <w:rFonts w:hint="eastAsia"/>
                      <w:lang w:val="en-US" w:eastAsia="zh-CN"/>
                    </w:rPr>
                    <w:t>本项目位于化工园区内，不在厂界干支流、重要湖泊岸线一公里范围内。</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9</w:t>
                  </w:r>
                </w:p>
              </w:tc>
              <w:tc>
                <w:tcPr>
                  <w:tcW w:w="3665" w:type="pct"/>
                  <w:noWrap w:val="0"/>
                  <w:vAlign w:val="center"/>
                </w:tcPr>
                <w:p>
                  <w:pPr>
                    <w:pStyle w:val="22"/>
                    <w:bidi w:val="0"/>
                    <w:rPr>
                      <w:rFonts w:hint="default"/>
                    </w:rPr>
                  </w:pPr>
                  <w:r>
                    <w:rPr>
                      <w:rFonts w:hint="default"/>
                    </w:rPr>
                    <w:t>禁止在合规园区外新建、扩建钢铁、石化、化工、焦化、建材、有色、制浆造纸等高污染项目。</w:t>
                  </w:r>
                </w:p>
              </w:tc>
              <w:tc>
                <w:tcPr>
                  <w:tcW w:w="756" w:type="pct"/>
                  <w:noWrap w:val="0"/>
                  <w:vAlign w:val="center"/>
                </w:tcPr>
                <w:p>
                  <w:pPr>
                    <w:pStyle w:val="22"/>
                    <w:bidi w:val="0"/>
                    <w:rPr>
                      <w:rFonts w:hint="default"/>
                      <w:lang w:val="en-US" w:eastAsia="zh-CN"/>
                    </w:rPr>
                  </w:pPr>
                  <w:r>
                    <w:rPr>
                      <w:rFonts w:hint="eastAsia"/>
                      <w:lang w:val="en-US" w:eastAsia="zh-CN"/>
                    </w:rPr>
                    <w:t>本项目不属于高污染项目</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10</w:t>
                  </w:r>
                </w:p>
              </w:tc>
              <w:tc>
                <w:tcPr>
                  <w:tcW w:w="3665" w:type="pct"/>
                  <w:noWrap w:val="0"/>
                  <w:vAlign w:val="center"/>
                </w:tcPr>
                <w:p>
                  <w:pPr>
                    <w:pStyle w:val="22"/>
                    <w:bidi w:val="0"/>
                    <w:rPr>
                      <w:rFonts w:hint="default"/>
                    </w:rPr>
                  </w:pPr>
                  <w:r>
                    <w:rPr>
                      <w:rFonts w:hint="default"/>
                    </w:rPr>
                    <w:t>禁止新建、扩建不符合国家石化、现代煤化工等产业布局规划的项目。</w:t>
                  </w:r>
                </w:p>
              </w:tc>
              <w:tc>
                <w:tcPr>
                  <w:tcW w:w="756" w:type="pct"/>
                  <w:noWrap w:val="0"/>
                  <w:vAlign w:val="center"/>
                </w:tcPr>
                <w:p>
                  <w:pPr>
                    <w:pStyle w:val="22"/>
                    <w:bidi w:val="0"/>
                    <w:rPr>
                      <w:rFonts w:hint="default"/>
                      <w:lang w:val="en-US" w:eastAsia="zh-CN"/>
                    </w:rPr>
                  </w:pPr>
                  <w:r>
                    <w:rPr>
                      <w:rFonts w:hint="eastAsia"/>
                      <w:lang w:val="en-US" w:eastAsia="zh-CN"/>
                    </w:rPr>
                    <w:t>本项目符合产业布局规划</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11</w:t>
                  </w:r>
                </w:p>
              </w:tc>
              <w:tc>
                <w:tcPr>
                  <w:tcW w:w="3665" w:type="pct"/>
                  <w:noWrap w:val="0"/>
                  <w:vAlign w:val="center"/>
                </w:tcPr>
                <w:p>
                  <w:pPr>
                    <w:pStyle w:val="22"/>
                    <w:bidi w:val="0"/>
                    <w:rPr>
                      <w:rFonts w:hint="default"/>
                    </w:rPr>
                  </w:pPr>
                  <w:r>
                    <w:rPr>
                      <w:rFonts w:hint="default"/>
                    </w:rPr>
                    <w:t>禁止新建、扩建法律法规和相关政策明令禁止的落后产能项目。禁止新建、扩建不符合国家产能置换要求的严重过剩产能行业的项目。禁止新建、扩建不符合要求的高耗能高排放项目。</w:t>
                  </w:r>
                </w:p>
              </w:tc>
              <w:tc>
                <w:tcPr>
                  <w:tcW w:w="756" w:type="pct"/>
                  <w:noWrap w:val="0"/>
                  <w:vAlign w:val="center"/>
                </w:tcPr>
                <w:p>
                  <w:pPr>
                    <w:pStyle w:val="22"/>
                    <w:bidi w:val="0"/>
                    <w:rPr>
                      <w:rFonts w:hint="default"/>
                      <w:lang w:val="en-US" w:eastAsia="zh-CN"/>
                    </w:rPr>
                  </w:pPr>
                  <w:r>
                    <w:rPr>
                      <w:rFonts w:hint="eastAsia"/>
                      <w:lang w:val="en-US" w:eastAsia="zh-CN"/>
                    </w:rPr>
                    <w:t>本项目不属于落后产能及产能过剩和“三高”项目</w:t>
                  </w:r>
                </w:p>
              </w:tc>
              <w:tc>
                <w:tcPr>
                  <w:tcW w:w="271" w:type="pct"/>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pPr>
                    <w:pStyle w:val="22"/>
                    <w:bidi w:val="0"/>
                    <w:rPr>
                      <w:rFonts w:hint="default"/>
                      <w:lang w:val="en-US" w:eastAsia="zh-CN"/>
                    </w:rPr>
                  </w:pPr>
                  <w:r>
                    <w:rPr>
                      <w:rFonts w:hint="default"/>
                      <w:lang w:val="en-US" w:eastAsia="zh-CN"/>
                    </w:rPr>
                    <w:t>12</w:t>
                  </w:r>
                </w:p>
              </w:tc>
              <w:tc>
                <w:tcPr>
                  <w:tcW w:w="3665" w:type="pct"/>
                  <w:noWrap w:val="0"/>
                  <w:vAlign w:val="center"/>
                </w:tcPr>
                <w:p>
                  <w:pPr>
                    <w:pStyle w:val="22"/>
                    <w:bidi w:val="0"/>
                    <w:rPr>
                      <w:rFonts w:hint="default"/>
                    </w:rPr>
                  </w:pPr>
                  <w:r>
                    <w:rPr>
                      <w:rFonts w:hint="default"/>
                    </w:rPr>
                    <w:t>法律法规及相关政策文件有更加严格规定的从其规定。</w:t>
                  </w:r>
                </w:p>
              </w:tc>
              <w:tc>
                <w:tcPr>
                  <w:tcW w:w="756" w:type="pct"/>
                  <w:noWrap w:val="0"/>
                  <w:vAlign w:val="center"/>
                </w:tcPr>
                <w:p>
                  <w:pPr>
                    <w:pStyle w:val="22"/>
                    <w:bidi w:val="0"/>
                    <w:rPr>
                      <w:rFonts w:hint="default"/>
                      <w:lang w:val="en-US" w:eastAsia="zh-CN"/>
                    </w:rPr>
                  </w:pPr>
                  <w:r>
                    <w:rPr>
                      <w:rFonts w:hint="eastAsia"/>
                      <w:lang w:val="en-US" w:eastAsia="zh-CN"/>
                    </w:rPr>
                    <w:t>本项目符合相关法律法规及政策要求</w:t>
                  </w:r>
                </w:p>
              </w:tc>
              <w:tc>
                <w:tcPr>
                  <w:tcW w:w="271" w:type="pct"/>
                  <w:noWrap w:val="0"/>
                  <w:vAlign w:val="center"/>
                </w:tcPr>
                <w:p>
                  <w:pPr>
                    <w:pStyle w:val="22"/>
                    <w:bidi w:val="0"/>
                    <w:rPr>
                      <w:rFonts w:hint="default"/>
                      <w:lang w:val="en-US" w:eastAsia="zh-CN"/>
                    </w:rPr>
                  </w:pPr>
                  <w:r>
                    <w:rPr>
                      <w:rFonts w:hint="eastAsia"/>
                      <w:lang w:val="en-US" w:eastAsia="zh-CN"/>
                    </w:rPr>
                    <w:t>符合</w:t>
                  </w:r>
                </w:p>
              </w:tc>
            </w:tr>
          </w:tbl>
          <w:p>
            <w:pPr>
              <w:pStyle w:val="36"/>
              <w:bidi w:val="0"/>
              <w:rPr>
                <w:rFonts w:hint="eastAsia"/>
                <w:lang w:val="en-US" w:eastAsia="zh-CN"/>
              </w:rPr>
            </w:pPr>
            <w:r>
              <w:rPr>
                <w:rFonts w:hint="eastAsia"/>
                <w:b/>
                <w:bCs/>
                <w:lang w:val="en-US" w:eastAsia="zh-CN"/>
              </w:rPr>
              <w:t>6、</w:t>
            </w:r>
            <w:r>
              <w:rPr>
                <w:rFonts w:hint="eastAsia"/>
                <w:lang w:val="en-US" w:eastAsia="zh-CN"/>
              </w:rPr>
              <w:t>与大气污染防治相关政策的符合性分析</w:t>
            </w:r>
          </w:p>
          <w:p>
            <w:pPr>
              <w:bidi w:val="0"/>
              <w:rPr>
                <w:rFonts w:hint="default"/>
                <w:lang w:val="en-US" w:eastAsia="zh-CN"/>
              </w:rPr>
            </w:pPr>
            <w:r>
              <w:rPr>
                <w:rFonts w:hint="default"/>
                <w:lang w:val="en-US" w:eastAsia="zh-CN"/>
              </w:rPr>
              <w:t>根据《中华人民共和国大气污染防治法》（2018年10月26日修订）、《四川省&lt;中华人民共和国大气污染防治法&gt;实施办法》（2018年12月7日修订）、《四川省</w:t>
            </w:r>
            <w:r>
              <w:rPr>
                <w:rFonts w:hint="eastAsia"/>
                <w:lang w:val="en-US" w:eastAsia="zh-CN"/>
              </w:rPr>
              <w:t>“</w:t>
            </w:r>
            <w:r>
              <w:rPr>
                <w:rFonts w:hint="default"/>
                <w:lang w:val="en-US" w:eastAsia="zh-CN"/>
              </w:rPr>
              <w:t>十四五</w:t>
            </w:r>
            <w:r>
              <w:rPr>
                <w:rFonts w:hint="eastAsia"/>
                <w:lang w:val="en-US" w:eastAsia="zh-CN"/>
              </w:rPr>
              <w:t>”</w:t>
            </w:r>
            <w:r>
              <w:rPr>
                <w:rFonts w:hint="default"/>
                <w:lang w:val="en-US" w:eastAsia="zh-CN"/>
              </w:rPr>
              <w:t>生态环境保护规划》（川府发〔2022〕2号）、《四川省人民政府关于印发四川省打赢蓝天保卫战等九个实施方案的通知》（川府发〔2019〕4号）</w:t>
            </w:r>
            <w:r>
              <w:rPr>
                <w:rFonts w:hint="eastAsia"/>
                <w:lang w:val="en-US" w:eastAsia="zh-CN"/>
              </w:rPr>
              <w:t>、《关于印发重点行业挥发性有机物综合治理方案的通知》（环大气</w:t>
            </w:r>
            <w:r>
              <w:rPr>
                <w:rFonts w:hint="default"/>
                <w:lang w:val="en-US" w:eastAsia="zh-CN"/>
              </w:rPr>
              <w:t>〔2019〕</w:t>
            </w:r>
            <w:r>
              <w:rPr>
                <w:rFonts w:hint="eastAsia"/>
                <w:lang w:val="en-US" w:eastAsia="zh-CN"/>
              </w:rPr>
              <w:t>53号）</w:t>
            </w:r>
            <w:r>
              <w:rPr>
                <w:rFonts w:hint="default"/>
                <w:lang w:val="en-US" w:eastAsia="zh-CN"/>
              </w:rPr>
              <w:t>等文件，本项目符合相关大气污染防治相关政策要求，具体分析详见下表：</w:t>
            </w:r>
          </w:p>
          <w:p>
            <w:pPr>
              <w:pStyle w:val="26"/>
              <w:bidi w:val="0"/>
              <w:rPr>
                <w:rFonts w:hint="eastAsia"/>
                <w:lang w:val="en-US" w:eastAsia="zh-CN"/>
              </w:rPr>
            </w:pPr>
            <w:r>
              <w:rPr>
                <w:rFonts w:hint="eastAsia"/>
                <w:lang w:val="en-US" w:eastAsia="zh-CN"/>
              </w:rPr>
              <w:t>表1-9 相关大气污染防治政策文件符合性分析一览表</w:t>
            </w:r>
          </w:p>
          <w:tbl>
            <w:tblPr>
              <w:tblStyle w:val="17"/>
              <w:tblW w:w="76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4317"/>
              <w:gridCol w:w="1290"/>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85" w:type="dxa"/>
                  <w:tcBorders>
                    <w:tl2br w:val="nil"/>
                    <w:tr2bl w:val="nil"/>
                  </w:tcBorders>
                  <w:noWrap w:val="0"/>
                  <w:vAlign w:val="center"/>
                </w:tcPr>
                <w:p>
                  <w:pPr>
                    <w:pStyle w:val="22"/>
                    <w:bidi w:val="0"/>
                    <w:rPr>
                      <w:rFonts w:hint="default"/>
                      <w:lang w:val="en-US" w:eastAsia="zh-CN"/>
                    </w:rPr>
                  </w:pPr>
                  <w:r>
                    <w:rPr>
                      <w:rFonts w:hint="eastAsia"/>
                      <w:lang w:val="en-US" w:eastAsia="zh-CN"/>
                    </w:rPr>
                    <w:t>文件</w:t>
                  </w:r>
                </w:p>
              </w:tc>
              <w:tc>
                <w:tcPr>
                  <w:tcW w:w="4317" w:type="dxa"/>
                  <w:tcBorders>
                    <w:tl2br w:val="nil"/>
                    <w:tr2bl w:val="nil"/>
                  </w:tcBorders>
                  <w:noWrap w:val="0"/>
                  <w:vAlign w:val="center"/>
                </w:tcPr>
                <w:p>
                  <w:pPr>
                    <w:pStyle w:val="22"/>
                    <w:bidi w:val="0"/>
                    <w:rPr>
                      <w:rFonts w:hint="default"/>
                      <w:lang w:val="en-US" w:eastAsia="zh-CN"/>
                    </w:rPr>
                  </w:pPr>
                  <w:r>
                    <w:rPr>
                      <w:rFonts w:hint="eastAsia"/>
                      <w:lang w:val="en-US" w:eastAsia="zh-CN"/>
                    </w:rPr>
                    <w:t>具体内容</w:t>
                  </w:r>
                </w:p>
              </w:tc>
              <w:tc>
                <w:tcPr>
                  <w:tcW w:w="1290" w:type="dxa"/>
                  <w:tcBorders>
                    <w:tl2br w:val="nil"/>
                    <w:tr2bl w:val="nil"/>
                  </w:tcBorders>
                  <w:noWrap w:val="0"/>
                  <w:vAlign w:val="center"/>
                </w:tcPr>
                <w:p>
                  <w:pPr>
                    <w:pStyle w:val="22"/>
                    <w:bidi w:val="0"/>
                    <w:rPr>
                      <w:rFonts w:hint="default"/>
                      <w:lang w:val="en-US" w:eastAsia="zh-CN"/>
                    </w:rPr>
                  </w:pPr>
                  <w:r>
                    <w:rPr>
                      <w:rFonts w:hint="eastAsia"/>
                      <w:lang w:val="en-US" w:eastAsia="zh-CN"/>
                    </w:rPr>
                    <w:t>本项目</w:t>
                  </w:r>
                </w:p>
              </w:tc>
              <w:tc>
                <w:tcPr>
                  <w:tcW w:w="878" w:type="dxa"/>
                  <w:tcBorders>
                    <w:tl2br w:val="nil"/>
                    <w:tr2bl w:val="nil"/>
                  </w:tcBorders>
                  <w:noWrap w:val="0"/>
                  <w:vAlign w:val="center"/>
                </w:tcPr>
                <w:p>
                  <w:pPr>
                    <w:pStyle w:val="22"/>
                    <w:bidi w:val="0"/>
                    <w:rPr>
                      <w:rFonts w:hint="default"/>
                      <w:lang w:val="en-US" w:eastAsia="zh-CN"/>
                    </w:rPr>
                  </w:pPr>
                  <w:r>
                    <w:rPr>
                      <w:rFonts w:hint="eastAsia"/>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tcBorders>
                    <w:tl2br w:val="nil"/>
                    <w:tr2bl w:val="nil"/>
                  </w:tcBorders>
                  <w:noWrap w:val="0"/>
                  <w:vAlign w:val="center"/>
                </w:tcPr>
                <w:p>
                  <w:pPr>
                    <w:pStyle w:val="22"/>
                    <w:bidi w:val="0"/>
                    <w:rPr>
                      <w:rFonts w:hint="default"/>
                      <w:lang w:val="en-US" w:eastAsia="zh-CN"/>
                    </w:rPr>
                  </w:pPr>
                  <w:r>
                    <w:rPr>
                      <w:rFonts w:hint="default"/>
                      <w:lang w:val="en-US" w:eastAsia="zh-CN"/>
                    </w:rPr>
                    <w:t>《中华人民共和国大气污染防治法》</w:t>
                  </w:r>
                  <w:r>
                    <w:rPr>
                      <w:rFonts w:hint="eastAsia"/>
                      <w:lang w:val="en-US" w:eastAsia="zh-CN"/>
                    </w:rPr>
                    <w:t>（2018年修订）</w:t>
                  </w:r>
                </w:p>
              </w:tc>
              <w:tc>
                <w:tcPr>
                  <w:tcW w:w="4317" w:type="dxa"/>
                  <w:tcBorders>
                    <w:tl2br w:val="nil"/>
                    <w:tr2bl w:val="nil"/>
                  </w:tcBorders>
                  <w:noWrap w:val="0"/>
                  <w:vAlign w:val="center"/>
                </w:tcPr>
                <w:p>
                  <w:pPr>
                    <w:pStyle w:val="22"/>
                    <w:bidi w:val="0"/>
                    <w:rPr>
                      <w:rFonts w:hint="eastAsia"/>
                      <w:lang w:val="en-US" w:eastAsia="zh-CN"/>
                    </w:rPr>
                  </w:pPr>
                  <w:r>
                    <w:rPr>
                      <w:rFonts w:hint="eastAsia"/>
                      <w:lang w:val="en-US" w:eastAsia="zh-CN"/>
                    </w:rPr>
                    <w:t>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1290" w:type="dxa"/>
                  <w:vMerge w:val="restart"/>
                  <w:tcBorders>
                    <w:tl2br w:val="nil"/>
                    <w:tr2bl w:val="nil"/>
                  </w:tcBorders>
                  <w:noWrap w:val="0"/>
                  <w:vAlign w:val="center"/>
                </w:tcPr>
                <w:p>
                  <w:pPr>
                    <w:pStyle w:val="22"/>
                    <w:bidi w:val="0"/>
                    <w:rPr>
                      <w:rFonts w:hint="eastAsia"/>
                      <w:lang w:val="en-US" w:eastAsia="zh-CN"/>
                    </w:rPr>
                  </w:pPr>
                  <w:r>
                    <w:rPr>
                      <w:rFonts w:hint="eastAsia"/>
                      <w:lang w:val="en-US" w:eastAsia="zh-CN"/>
                    </w:rPr>
                    <w:t>本项目位于四川达州普光经济开发区内，运营期间，污染物均能做到达标排放。环评要求建设单位严格落实环保“三同时”制度。</w:t>
                  </w:r>
                </w:p>
              </w:tc>
              <w:tc>
                <w:tcPr>
                  <w:tcW w:w="878" w:type="dxa"/>
                  <w:tcBorders>
                    <w:tl2br w:val="nil"/>
                    <w:tr2bl w:val="nil"/>
                  </w:tcBorders>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tcBorders>
                    <w:tl2br w:val="nil"/>
                    <w:tr2bl w:val="nil"/>
                  </w:tcBorders>
                  <w:noWrap w:val="0"/>
                  <w:vAlign w:val="center"/>
                </w:tcPr>
                <w:p>
                  <w:pPr>
                    <w:pStyle w:val="22"/>
                    <w:bidi w:val="0"/>
                    <w:rPr>
                      <w:rFonts w:hint="eastAsia"/>
                      <w:lang w:val="en-US" w:eastAsia="zh-CN"/>
                    </w:rPr>
                  </w:pPr>
                  <w:r>
                    <w:rPr>
                      <w:rFonts w:hint="default"/>
                      <w:lang w:val="en-US" w:eastAsia="zh-CN"/>
                    </w:rPr>
                    <w:t>《四川省&lt;中华人民共和国大气污染防治法&gt;实施办法》</w:t>
                  </w:r>
                  <w:r>
                    <w:rPr>
                      <w:rFonts w:hint="eastAsia"/>
                      <w:lang w:val="en-US" w:eastAsia="zh-CN"/>
                    </w:rPr>
                    <w:t>（2018年修订）</w:t>
                  </w:r>
                </w:p>
              </w:tc>
              <w:tc>
                <w:tcPr>
                  <w:tcW w:w="4317" w:type="dxa"/>
                  <w:tcBorders>
                    <w:tl2br w:val="nil"/>
                    <w:tr2bl w:val="nil"/>
                  </w:tcBorders>
                  <w:noWrap w:val="0"/>
                  <w:vAlign w:val="center"/>
                </w:tcPr>
                <w:p>
                  <w:pPr>
                    <w:pStyle w:val="22"/>
                    <w:bidi w:val="0"/>
                    <w:rPr>
                      <w:rFonts w:hint="eastAsia"/>
                      <w:lang w:val="en-US" w:eastAsia="zh-CN"/>
                    </w:rPr>
                  </w:pPr>
                  <w:r>
                    <w:rPr>
                      <w:rFonts w:hint="eastAsia"/>
                      <w:lang w:val="en-US" w:eastAsia="zh-CN"/>
                    </w:rPr>
                    <w:t>新建、扩建、改建向大气排放污染物的项目，必须严格执行环境影响评价制度和防治污染的设施与主体工程同时设计、施工、投产使用的制度。</w:t>
                  </w:r>
                </w:p>
              </w:tc>
              <w:tc>
                <w:tcPr>
                  <w:tcW w:w="1290" w:type="dxa"/>
                  <w:vMerge w:val="continue"/>
                  <w:tcBorders>
                    <w:tl2br w:val="nil"/>
                    <w:tr2bl w:val="nil"/>
                  </w:tcBorders>
                  <w:noWrap w:val="0"/>
                  <w:vAlign w:val="center"/>
                </w:tcPr>
                <w:p>
                  <w:pPr>
                    <w:pStyle w:val="22"/>
                    <w:bidi w:val="0"/>
                    <w:rPr>
                      <w:rFonts w:hint="eastAsia"/>
                      <w:lang w:val="en-US" w:eastAsia="zh-CN"/>
                    </w:rPr>
                  </w:pPr>
                </w:p>
              </w:tc>
              <w:tc>
                <w:tcPr>
                  <w:tcW w:w="878" w:type="dxa"/>
                  <w:tcBorders>
                    <w:tl2br w:val="nil"/>
                    <w:tr2bl w:val="nil"/>
                  </w:tcBorders>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Merge w:val="restart"/>
                  <w:tcBorders>
                    <w:tl2br w:val="nil"/>
                    <w:tr2bl w:val="nil"/>
                  </w:tcBorders>
                  <w:noWrap w:val="0"/>
                  <w:vAlign w:val="center"/>
                </w:tcPr>
                <w:p>
                  <w:pPr>
                    <w:pStyle w:val="22"/>
                    <w:bidi w:val="0"/>
                    <w:rPr>
                      <w:rFonts w:hint="default"/>
                      <w:lang w:val="en-US" w:eastAsia="zh-CN"/>
                    </w:rPr>
                  </w:pPr>
                  <w:r>
                    <w:rPr>
                      <w:rFonts w:hint="eastAsia"/>
                      <w:lang w:val="en-US" w:eastAsia="zh-CN"/>
                    </w:rPr>
                    <w:t>《关于印发重点行业挥发性有机物综合治理方案的通知》（环大气</w:t>
                  </w:r>
                  <w:r>
                    <w:rPr>
                      <w:rFonts w:hint="default"/>
                      <w:lang w:val="en-US" w:eastAsia="zh-CN"/>
                    </w:rPr>
                    <w:t>〔2019〕</w:t>
                  </w:r>
                  <w:r>
                    <w:rPr>
                      <w:rFonts w:hint="eastAsia"/>
                      <w:lang w:val="en-US" w:eastAsia="zh-CN"/>
                    </w:rPr>
                    <w:t>53号）</w:t>
                  </w:r>
                </w:p>
              </w:tc>
              <w:tc>
                <w:tcPr>
                  <w:tcW w:w="4317" w:type="dxa"/>
                  <w:vMerge w:val="restart"/>
                  <w:tcBorders>
                    <w:tl2br w:val="nil"/>
                    <w:tr2bl w:val="nil"/>
                  </w:tcBorders>
                  <w:noWrap w:val="0"/>
                  <w:vAlign w:val="center"/>
                </w:tcPr>
                <w:p>
                  <w:pPr>
                    <w:pStyle w:val="22"/>
                    <w:bidi w:val="0"/>
                    <w:rPr>
                      <w:rFonts w:hint="eastAsia"/>
                    </w:rPr>
                  </w:pPr>
                  <w:r>
                    <w:rPr>
                      <w:rFonts w:hint="eastAsia"/>
                      <w:lang w:eastAsia="zh-CN"/>
                    </w:rPr>
                    <w:t>（一）</w:t>
                  </w:r>
                  <w:r>
                    <w:rPr>
                      <w:rFonts w:hint="eastAsia"/>
                    </w:rPr>
                    <w:t>VOCs</w:t>
                  </w:r>
                  <w:r>
                    <w:rPr>
                      <w:rFonts w:hint="eastAsia"/>
                      <w:lang w:eastAsia="zh-CN"/>
                    </w:rPr>
                    <w:t>物料存储</w:t>
                  </w:r>
                  <w:r>
                    <w:rPr>
                      <w:rFonts w:hint="eastAsia"/>
                    </w:rPr>
                    <w:t>。</w:t>
                  </w:r>
                </w:p>
                <w:p>
                  <w:pPr>
                    <w:pStyle w:val="22"/>
                    <w:bidi w:val="0"/>
                    <w:rPr>
                      <w:rFonts w:hint="eastAsia"/>
                      <w:lang w:val="en-US" w:eastAsia="zh-CN"/>
                    </w:rPr>
                  </w:pPr>
                  <w:r>
                    <w:rPr>
                      <w:rFonts w:hint="eastAsia"/>
                      <w:lang w:val="en-US" w:eastAsia="zh-CN"/>
                    </w:rPr>
                    <w:t>1.容器或包装袋在非取用状态时是否加盖、封口，保持密闭；盛装过VOCs物料的废包装容器是否加盖密闭。</w:t>
                  </w:r>
                </w:p>
                <w:p>
                  <w:pPr>
                    <w:pStyle w:val="22"/>
                    <w:bidi w:val="0"/>
                    <w:rPr>
                      <w:rFonts w:hint="eastAsia"/>
                      <w:lang w:val="en-US" w:eastAsia="zh-CN"/>
                    </w:rPr>
                  </w:pPr>
                  <w:r>
                    <w:rPr>
                      <w:rFonts w:hint="eastAsia"/>
                      <w:lang w:val="en-US" w:eastAsia="zh-CN"/>
                    </w:rPr>
                    <w:t>2.容器或包装袋是否存放于室内，或存放于设置有雨棚、遮阳和防渗设施的专用场地</w:t>
                  </w:r>
                </w:p>
                <w:p>
                  <w:pPr>
                    <w:pStyle w:val="22"/>
                    <w:bidi w:val="0"/>
                    <w:rPr>
                      <w:rFonts w:hint="eastAsia"/>
                      <w:lang w:val="en-US" w:eastAsia="zh-CN"/>
                    </w:rPr>
                  </w:pPr>
                  <w:r>
                    <w:rPr>
                      <w:rFonts w:hint="eastAsia"/>
                      <w:lang w:val="en-US" w:eastAsia="zh-CN"/>
                    </w:rPr>
                    <w:t>（二）工艺过程VOCs无组织排放</w:t>
                  </w:r>
                </w:p>
                <w:p>
                  <w:pPr>
                    <w:pStyle w:val="22"/>
                    <w:bidi w:val="0"/>
                    <w:rPr>
                      <w:rFonts w:hint="eastAsia"/>
                      <w:lang w:val="en-US" w:eastAsia="zh-CN"/>
                    </w:rPr>
                  </w:pPr>
                  <w:r>
                    <w:rPr>
                      <w:rFonts w:hint="eastAsia"/>
                      <w:lang w:val="en-US" w:eastAsia="zh-CN"/>
                    </w:rPr>
                    <w:t>1.液态、粉粒状VOCs物料的投加过程是否密闭，或采取局部气体收集措施；废气是否排至VOCs废气收集处理系统。</w:t>
                  </w:r>
                </w:p>
                <w:p>
                  <w:pPr>
                    <w:pStyle w:val="22"/>
                    <w:bidi w:val="0"/>
                    <w:rPr>
                      <w:rFonts w:hint="eastAsia"/>
                      <w:lang w:val="en-US" w:eastAsia="zh-CN"/>
                    </w:rPr>
                  </w:pPr>
                  <w:r>
                    <w:rPr>
                      <w:rFonts w:hint="eastAsia"/>
                      <w:lang w:val="en-US" w:eastAsia="zh-CN"/>
                    </w:rPr>
                    <w:t>2.VOCs物料的卸（出、放）料过程是否密闭，或采取局部气体收集措施；废气是否排至VOCs废气收集处理系统。</w:t>
                  </w:r>
                </w:p>
                <w:p>
                  <w:pPr>
                    <w:pStyle w:val="22"/>
                    <w:bidi w:val="0"/>
                    <w:rPr>
                      <w:rFonts w:hint="eastAsia"/>
                      <w:lang w:val="en-US" w:eastAsia="zh-CN"/>
                    </w:rPr>
                  </w:pPr>
                  <w:r>
                    <w:rPr>
                      <w:rFonts w:hint="eastAsia"/>
                      <w:lang w:val="en-US" w:eastAsia="zh-CN"/>
                    </w:rPr>
                    <w:t>3.有机聚合物（合成树脂、合成橡胶、合成纤维等）的混合/混炼、塑炼/塑化/熔化、加工成型（挤出、注射、压制、压延、发泡、纺丝等）等制品生产过程，是否采用密闭设备，或在密闭空间内操作，或采取局部气体收集措施；废气是否排至VOCs废气收集处理系统</w:t>
                  </w:r>
                </w:p>
                <w:p>
                  <w:pPr>
                    <w:pStyle w:val="22"/>
                    <w:bidi w:val="0"/>
                    <w:rPr>
                      <w:rFonts w:hint="eastAsia"/>
                      <w:lang w:val="en-US" w:eastAsia="zh-CN"/>
                    </w:rPr>
                  </w:pPr>
                  <w:r>
                    <w:rPr>
                      <w:rFonts w:hint="eastAsia"/>
                      <w:lang w:val="en-US" w:eastAsia="zh-CN"/>
                    </w:rPr>
                    <w:t>4.环保设备是否与生产工艺设备同步运行。</w:t>
                  </w:r>
                </w:p>
                <w:p>
                  <w:pPr>
                    <w:pStyle w:val="22"/>
                    <w:bidi w:val="0"/>
                    <w:rPr>
                      <w:rFonts w:hint="eastAsia"/>
                      <w:lang w:val="en-US" w:eastAsia="zh-CN"/>
                    </w:rPr>
                  </w:pPr>
                  <w:r>
                    <w:rPr>
                      <w:rFonts w:hint="eastAsia"/>
                      <w:lang w:val="en-US" w:eastAsia="zh-CN"/>
                    </w:rPr>
                    <w:t>5.采用外部集气罩的，距排气罩开口面最远处的VOCs无组织排放位置，控制风速是否大于等于0.3米/秒（有行业具体要求的按相应规定执行）。</w:t>
                  </w:r>
                </w:p>
                <w:p>
                  <w:pPr>
                    <w:pStyle w:val="22"/>
                    <w:bidi w:val="0"/>
                    <w:rPr>
                      <w:rFonts w:hint="eastAsia"/>
                      <w:lang w:val="en-US" w:eastAsia="zh-CN"/>
                    </w:rPr>
                  </w:pPr>
                  <w:r>
                    <w:rPr>
                      <w:rFonts w:hint="eastAsia"/>
                      <w:lang w:val="en-US" w:eastAsia="zh-CN"/>
                    </w:rPr>
                    <w:t>6.废气收集系统是否负压运行；处于正压状态的，是否有泄漏。</w:t>
                  </w:r>
                </w:p>
                <w:p>
                  <w:pPr>
                    <w:pStyle w:val="22"/>
                    <w:bidi w:val="0"/>
                    <w:rPr>
                      <w:rFonts w:hint="eastAsia"/>
                      <w:lang w:val="en-US" w:eastAsia="zh-CN"/>
                    </w:rPr>
                  </w:pPr>
                  <w:r>
                    <w:rPr>
                      <w:rFonts w:hint="eastAsia"/>
                      <w:lang w:val="en-US" w:eastAsia="zh-CN"/>
                    </w:rPr>
                    <w:t>7.废气收集系统的输送管道是否密闭、无破损。</w:t>
                  </w:r>
                </w:p>
                <w:p>
                  <w:pPr>
                    <w:pStyle w:val="22"/>
                    <w:bidi w:val="0"/>
                    <w:rPr>
                      <w:rFonts w:hint="eastAsia"/>
                      <w:lang w:val="en-US" w:eastAsia="zh-CN"/>
                    </w:rPr>
                  </w:pPr>
                  <w:r>
                    <w:rPr>
                      <w:rFonts w:hint="eastAsia"/>
                      <w:lang w:val="en-US" w:eastAsia="zh-CN"/>
                    </w:rPr>
                    <w:t>（三）有组织VOCs排放</w:t>
                  </w:r>
                </w:p>
                <w:p>
                  <w:pPr>
                    <w:pStyle w:val="22"/>
                    <w:bidi w:val="0"/>
                    <w:rPr>
                      <w:rFonts w:hint="eastAsia"/>
                      <w:lang w:val="en-US" w:eastAsia="zh-CN"/>
                    </w:rPr>
                  </w:pPr>
                  <w:r>
                    <w:rPr>
                      <w:rFonts w:hint="eastAsia"/>
                      <w:lang w:val="en-US" w:eastAsia="zh-CN"/>
                    </w:rPr>
                    <w:t>1.VOCs排放浓度是否稳定达标。</w:t>
                  </w:r>
                </w:p>
                <w:p>
                  <w:pPr>
                    <w:pStyle w:val="22"/>
                    <w:bidi w:val="0"/>
                    <w:rPr>
                      <w:rFonts w:hint="eastAsia"/>
                      <w:lang w:val="en-US" w:eastAsia="zh-CN"/>
                    </w:rPr>
                  </w:pPr>
                  <w:r>
                    <w:rPr>
                      <w:rFonts w:hint="eastAsia"/>
                      <w:lang w:val="en-US" w:eastAsia="zh-CN"/>
                    </w:rPr>
                    <w:t>2.车间或生产设施收集排放的废气，VOCs初始排放速率大于等于3千克/小时、重点区域大于等于2千克/小时的，VOCs治理效率是否符合要求；采用的原辅材料符合国家有关低VOCs含量产品规定的除外。</w:t>
                  </w:r>
                </w:p>
                <w:p>
                  <w:pPr>
                    <w:pStyle w:val="22"/>
                    <w:bidi w:val="0"/>
                    <w:rPr>
                      <w:rFonts w:hint="eastAsia"/>
                      <w:lang w:val="en-US" w:eastAsia="zh-CN"/>
                    </w:rPr>
                  </w:pPr>
                  <w:r>
                    <w:rPr>
                      <w:rFonts w:hint="eastAsia"/>
                      <w:lang w:val="en-US" w:eastAsia="zh-CN"/>
                    </w:rPr>
                    <w:t>（四）废气治理设施</w:t>
                  </w:r>
                </w:p>
                <w:p>
                  <w:pPr>
                    <w:pStyle w:val="22"/>
                    <w:bidi w:val="0"/>
                    <w:rPr>
                      <w:rFonts w:hint="eastAsia"/>
                      <w:lang w:val="en-US" w:eastAsia="zh-CN"/>
                    </w:rPr>
                  </w:pPr>
                  <w:r>
                    <w:rPr>
                      <w:rFonts w:hint="eastAsia"/>
                      <w:lang w:val="en-US" w:eastAsia="zh-CN"/>
                    </w:rPr>
                    <w:t>1.吸附剂种类及填装情况。</w:t>
                  </w:r>
                </w:p>
                <w:p>
                  <w:pPr>
                    <w:pStyle w:val="22"/>
                    <w:bidi w:val="0"/>
                    <w:rPr>
                      <w:rFonts w:hint="eastAsia"/>
                      <w:lang w:val="en-US" w:eastAsia="zh-CN"/>
                    </w:rPr>
                  </w:pPr>
                  <w:r>
                    <w:rPr>
                      <w:rFonts w:hint="eastAsia"/>
                      <w:lang w:val="en-US" w:eastAsia="zh-CN"/>
                    </w:rPr>
                    <w:t>2.一次性吸附剂更换时间和更换量。</w:t>
                  </w:r>
                </w:p>
                <w:p>
                  <w:pPr>
                    <w:pStyle w:val="22"/>
                    <w:bidi w:val="0"/>
                    <w:rPr>
                      <w:rFonts w:hint="eastAsia"/>
                      <w:lang w:val="en-US" w:eastAsia="zh-CN"/>
                    </w:rPr>
                  </w:pPr>
                  <w:r>
                    <w:rPr>
                      <w:rFonts w:hint="eastAsia"/>
                      <w:lang w:val="en-US" w:eastAsia="zh-CN"/>
                    </w:rPr>
                    <w:t>3.再生型吸附剂再生周期、更换情况。</w:t>
                  </w:r>
                </w:p>
                <w:p>
                  <w:pPr>
                    <w:pStyle w:val="22"/>
                    <w:bidi w:val="0"/>
                    <w:rPr>
                      <w:rFonts w:hint="eastAsia"/>
                      <w:lang w:val="en-US" w:eastAsia="zh-CN"/>
                    </w:rPr>
                  </w:pPr>
                  <w:r>
                    <w:rPr>
                      <w:rFonts w:hint="eastAsia"/>
                      <w:lang w:val="en-US" w:eastAsia="zh-CN"/>
                    </w:rPr>
                    <w:t>4.废吸附剂储存、处置情况</w:t>
                  </w:r>
                </w:p>
              </w:tc>
              <w:tc>
                <w:tcPr>
                  <w:tcW w:w="1290" w:type="dxa"/>
                  <w:vMerge w:val="restart"/>
                  <w:tcBorders>
                    <w:tl2br w:val="nil"/>
                    <w:tr2bl w:val="nil"/>
                  </w:tcBorders>
                  <w:noWrap w:val="0"/>
                  <w:vAlign w:val="center"/>
                </w:tcPr>
                <w:p>
                  <w:pPr>
                    <w:pStyle w:val="22"/>
                    <w:bidi w:val="0"/>
                    <w:rPr>
                      <w:rFonts w:hint="default"/>
                      <w:lang w:val="en-US" w:eastAsia="zh-CN"/>
                    </w:rPr>
                  </w:pPr>
                  <w:r>
                    <w:rPr>
                      <w:rFonts w:hint="eastAsia"/>
                      <w:lang w:val="en-US" w:eastAsia="zh-CN"/>
                    </w:rPr>
                    <w:t>本项目位于四川达州普光经济开发区内，项目有机废气产生点均有集气管进行收集，有机废气经集气管收集后经二级活性炭处理后，通过15m排气筒排放，经处理后的有机废气能够达标排放。有机废气处理效率为90%，满足要求</w:t>
                  </w:r>
                </w:p>
              </w:tc>
              <w:tc>
                <w:tcPr>
                  <w:tcW w:w="878" w:type="dxa"/>
                  <w:tcBorders>
                    <w:tl2br w:val="nil"/>
                    <w:tr2bl w:val="nil"/>
                  </w:tcBorders>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vMerge w:val="continue"/>
                  <w:tcBorders>
                    <w:tl2br w:val="nil"/>
                    <w:tr2bl w:val="nil"/>
                  </w:tcBorders>
                  <w:noWrap w:val="0"/>
                  <w:vAlign w:val="center"/>
                </w:tcPr>
                <w:p>
                  <w:pPr>
                    <w:pStyle w:val="22"/>
                    <w:bidi w:val="0"/>
                    <w:rPr>
                      <w:rFonts w:hint="default"/>
                      <w:lang w:val="en-US" w:eastAsia="zh-CN"/>
                    </w:rPr>
                  </w:pPr>
                </w:p>
              </w:tc>
              <w:tc>
                <w:tcPr>
                  <w:tcW w:w="4317" w:type="dxa"/>
                  <w:vMerge w:val="continue"/>
                  <w:tcBorders>
                    <w:tl2br w:val="nil"/>
                    <w:tr2bl w:val="nil"/>
                  </w:tcBorders>
                  <w:noWrap w:val="0"/>
                  <w:vAlign w:val="center"/>
                </w:tcPr>
                <w:p>
                  <w:pPr>
                    <w:pStyle w:val="22"/>
                    <w:bidi w:val="0"/>
                    <w:rPr>
                      <w:rFonts w:hint="eastAsia"/>
                      <w:lang w:val="en-US" w:eastAsia="zh-CN"/>
                    </w:rPr>
                  </w:pPr>
                </w:p>
              </w:tc>
              <w:tc>
                <w:tcPr>
                  <w:tcW w:w="1290" w:type="dxa"/>
                  <w:vMerge w:val="continue"/>
                  <w:tcBorders>
                    <w:tl2br w:val="nil"/>
                    <w:tr2bl w:val="nil"/>
                  </w:tcBorders>
                  <w:noWrap w:val="0"/>
                  <w:vAlign w:val="center"/>
                </w:tcPr>
                <w:p>
                  <w:pPr>
                    <w:pStyle w:val="22"/>
                    <w:bidi w:val="0"/>
                    <w:rPr>
                      <w:rFonts w:hint="eastAsia"/>
                      <w:lang w:val="en-US" w:eastAsia="zh-CN"/>
                    </w:rPr>
                  </w:pPr>
                </w:p>
              </w:tc>
              <w:tc>
                <w:tcPr>
                  <w:tcW w:w="878" w:type="dxa"/>
                  <w:tcBorders>
                    <w:tl2br w:val="nil"/>
                    <w:tr2bl w:val="nil"/>
                  </w:tcBorders>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tcBorders>
                    <w:tl2br w:val="nil"/>
                    <w:tr2bl w:val="nil"/>
                  </w:tcBorders>
                  <w:noWrap w:val="0"/>
                  <w:vAlign w:val="center"/>
                </w:tcPr>
                <w:p>
                  <w:pPr>
                    <w:pStyle w:val="22"/>
                    <w:bidi w:val="0"/>
                    <w:rPr>
                      <w:rFonts w:hint="eastAsia"/>
                      <w:lang w:val="en-US" w:eastAsia="zh-CN"/>
                    </w:rPr>
                  </w:pPr>
                  <w:r>
                    <w:rPr>
                      <w:rFonts w:hint="default"/>
                      <w:lang w:val="en-US" w:eastAsia="zh-CN"/>
                    </w:rPr>
                    <w:t>《四川省</w:t>
                  </w:r>
                  <w:r>
                    <w:rPr>
                      <w:rFonts w:hint="eastAsia"/>
                      <w:lang w:val="en-US" w:eastAsia="zh-CN"/>
                    </w:rPr>
                    <w:t>“</w:t>
                  </w:r>
                  <w:r>
                    <w:rPr>
                      <w:rFonts w:hint="default"/>
                      <w:lang w:val="en-US" w:eastAsia="zh-CN"/>
                    </w:rPr>
                    <w:t>十四五</w:t>
                  </w:r>
                  <w:r>
                    <w:rPr>
                      <w:rFonts w:hint="eastAsia"/>
                      <w:lang w:val="en-US" w:eastAsia="zh-CN"/>
                    </w:rPr>
                    <w:t>”</w:t>
                  </w:r>
                  <w:r>
                    <w:rPr>
                      <w:rFonts w:hint="default"/>
                      <w:lang w:val="en-US" w:eastAsia="zh-CN"/>
                    </w:rPr>
                    <w:t>生态环境保护规划》（川府发〔2022〕2号）</w:t>
                  </w:r>
                </w:p>
              </w:tc>
              <w:tc>
                <w:tcPr>
                  <w:tcW w:w="4317" w:type="dxa"/>
                  <w:tcBorders>
                    <w:tl2br w:val="nil"/>
                    <w:tr2bl w:val="nil"/>
                  </w:tcBorders>
                  <w:noWrap w:val="0"/>
                  <w:vAlign w:val="center"/>
                </w:tcPr>
                <w:p>
                  <w:pPr>
                    <w:pStyle w:val="22"/>
                    <w:bidi w:val="0"/>
                    <w:rPr>
                      <w:rFonts w:hint="eastAsia"/>
                      <w:lang w:val="en-US" w:eastAsia="zh-CN"/>
                    </w:rPr>
                  </w:pPr>
                  <w:r>
                    <w:t>控制挥发性有机物（VOCs）排放。严格控制VOCs排放总量，新建VOCs项目应实施等量或倍量替代。强化VOCs源头削减，以工业涂装、家具制造、包装印刷等行业为重点，大力推进低（无）VOCs含量原辅材料替代。严格控制生产和使用高VOCs含量溶剂型涂料、油墨、胶粘剂、清洗剂等建设项目。强化VOCs综合治理，以石化、化工、工业涂装、包装印刷、电子、纺织印染、制鞋、家具制造、油品储运销等行业为重点，提升废气收集率、治污设施同步运行率和去除率，科学合理选择治理工艺，推进设施设备提标升级改造。强化无组织排放管控，加大含VOCs物料储存、转移和输送、设备与管线组件泄漏、敞开液面逸散等管控力度，开展泄漏检测与修复工作。强化企业VOCs排放达标监管，实施季节性调控。</w:t>
                  </w:r>
                </w:p>
              </w:tc>
              <w:tc>
                <w:tcPr>
                  <w:tcW w:w="1290" w:type="dxa"/>
                  <w:tcBorders>
                    <w:tl2br w:val="nil"/>
                    <w:tr2bl w:val="nil"/>
                  </w:tcBorders>
                  <w:noWrap w:val="0"/>
                  <w:vAlign w:val="center"/>
                </w:tcPr>
                <w:p>
                  <w:pPr>
                    <w:pStyle w:val="22"/>
                    <w:bidi w:val="0"/>
                    <w:rPr>
                      <w:rFonts w:hint="default"/>
                      <w:lang w:val="en-US" w:eastAsia="zh-CN"/>
                    </w:rPr>
                  </w:pPr>
                  <w:r>
                    <w:rPr>
                      <w:rFonts w:hint="eastAsia"/>
                      <w:lang w:val="en-US" w:eastAsia="zh-CN"/>
                    </w:rPr>
                    <w:t>项目所在地为大气环境达标区，</w:t>
                  </w:r>
                  <w:r>
                    <w:t>新建VOCs项目应实施等量替代</w:t>
                  </w:r>
                  <w:r>
                    <w:rPr>
                      <w:rFonts w:hint="eastAsia"/>
                      <w:lang w:eastAsia="zh-CN"/>
                    </w:rPr>
                    <w:t>，</w:t>
                  </w:r>
                  <w:r>
                    <w:rPr>
                      <w:rFonts w:hint="eastAsia"/>
                      <w:lang w:val="en-US" w:eastAsia="zh-CN"/>
                    </w:rPr>
                    <w:t>项目有机废气产生点均有集气管进行收集，总量控制指标由生态环境局分配</w:t>
                  </w:r>
                </w:p>
              </w:tc>
              <w:tc>
                <w:tcPr>
                  <w:tcW w:w="878" w:type="dxa"/>
                  <w:tcBorders>
                    <w:tl2br w:val="nil"/>
                    <w:tr2bl w:val="nil"/>
                  </w:tcBorders>
                  <w:noWrap w:val="0"/>
                  <w:vAlign w:val="center"/>
                </w:tcPr>
                <w:p>
                  <w:pPr>
                    <w:pStyle w:val="22"/>
                    <w:bidi w:val="0"/>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85" w:type="dxa"/>
                  <w:tcBorders>
                    <w:tl2br w:val="nil"/>
                    <w:tr2bl w:val="nil"/>
                  </w:tcBorders>
                  <w:noWrap w:val="0"/>
                  <w:vAlign w:val="center"/>
                </w:tcPr>
                <w:p>
                  <w:pPr>
                    <w:pStyle w:val="22"/>
                    <w:bidi w:val="0"/>
                    <w:rPr>
                      <w:rFonts w:hint="eastAsia"/>
                      <w:lang w:val="en-US" w:eastAsia="zh-CN"/>
                    </w:rPr>
                  </w:pPr>
                  <w:r>
                    <w:rPr>
                      <w:rFonts w:hint="default"/>
                      <w:lang w:val="en-US" w:eastAsia="zh-CN"/>
                    </w:rPr>
                    <w:t>《四川省人民政府关于印发四川省打赢蓝天保卫战等九个实施方案的通知》（川府发〔2019〕4号）</w:t>
                  </w:r>
                </w:p>
              </w:tc>
              <w:tc>
                <w:tcPr>
                  <w:tcW w:w="4317" w:type="dxa"/>
                  <w:tcBorders>
                    <w:tl2br w:val="nil"/>
                    <w:tr2bl w:val="nil"/>
                  </w:tcBorders>
                  <w:noWrap w:val="0"/>
                  <w:vAlign w:val="center"/>
                </w:tcPr>
                <w:p>
                  <w:pPr>
                    <w:pStyle w:val="22"/>
                    <w:bidi w:val="0"/>
                    <w:rPr>
                      <w:rFonts w:hint="eastAsia"/>
                      <w:lang w:val="en-US" w:eastAsia="zh-CN"/>
                    </w:rPr>
                  </w:pPr>
                  <w:r>
                    <w:t>严格涉及VOCs排放的建设项目环境准入，加强源头控制。提高涉及VOCs排放行业环保准入门槛，新建涉及VOCs排放的工业企业入园区，实行区域内VOCs排放等量或者倍量削减替代。新、改、扩建涉及VOCs排放项目，从原辅材料和工艺过程大力推广使用低（无）VOCs含量的涂料、有机溶剂、胶黏剂、油墨等原辅材料，配套改进生产工艺。加强VOCs的收集和治理，严格控制生产、储存、装卸等环节的排放。</w:t>
                  </w:r>
                </w:p>
              </w:tc>
              <w:tc>
                <w:tcPr>
                  <w:tcW w:w="1290" w:type="dxa"/>
                  <w:tcBorders>
                    <w:tl2br w:val="nil"/>
                    <w:tr2bl w:val="nil"/>
                  </w:tcBorders>
                  <w:noWrap w:val="0"/>
                  <w:vAlign w:val="center"/>
                </w:tcPr>
                <w:p>
                  <w:pPr>
                    <w:pStyle w:val="22"/>
                    <w:bidi w:val="0"/>
                    <w:rPr>
                      <w:rFonts w:hint="eastAsia"/>
                      <w:lang w:val="en-US" w:eastAsia="zh-CN"/>
                    </w:rPr>
                  </w:pPr>
                  <w:r>
                    <w:rPr>
                      <w:rFonts w:hint="eastAsia"/>
                      <w:lang w:val="en-US" w:eastAsia="zh-CN"/>
                    </w:rPr>
                    <w:t>本项目位于四川达州普光经济开发区内，所在地为大气环境达标区，</w:t>
                  </w:r>
                  <w:r>
                    <w:t>新建VOCs项目应实施等量替代</w:t>
                  </w:r>
                  <w:r>
                    <w:rPr>
                      <w:rFonts w:hint="eastAsia"/>
                      <w:lang w:eastAsia="zh-CN"/>
                    </w:rPr>
                    <w:t>，</w:t>
                  </w:r>
                  <w:r>
                    <w:rPr>
                      <w:rFonts w:hint="eastAsia"/>
                      <w:lang w:val="en-US" w:eastAsia="zh-CN"/>
                    </w:rPr>
                    <w:t>项目有机废气产生点均有集气管进行收集</w:t>
                  </w:r>
                </w:p>
              </w:tc>
              <w:tc>
                <w:tcPr>
                  <w:tcW w:w="878" w:type="dxa"/>
                  <w:tcBorders>
                    <w:tl2br w:val="nil"/>
                    <w:tr2bl w:val="nil"/>
                  </w:tcBorders>
                  <w:noWrap w:val="0"/>
                  <w:vAlign w:val="center"/>
                </w:tcPr>
                <w:p>
                  <w:pPr>
                    <w:pStyle w:val="22"/>
                    <w:bidi w:val="0"/>
                    <w:rPr>
                      <w:rFonts w:hint="default"/>
                      <w:lang w:val="en-US" w:eastAsia="zh-CN"/>
                    </w:rPr>
                  </w:pPr>
                  <w:r>
                    <w:rPr>
                      <w:rFonts w:hint="eastAsia"/>
                      <w:lang w:val="en-US" w:eastAsia="zh-CN"/>
                    </w:rPr>
                    <w:t>符合</w:t>
                  </w:r>
                </w:p>
              </w:tc>
            </w:tr>
          </w:tbl>
          <w:p>
            <w:pPr>
              <w:pStyle w:val="36"/>
              <w:bidi w:val="0"/>
              <w:rPr>
                <w:rFonts w:hint="eastAsia"/>
                <w:lang w:val="en-US" w:eastAsia="zh-CN"/>
              </w:rPr>
            </w:pPr>
            <w:r>
              <w:rPr>
                <w:rFonts w:hint="eastAsia"/>
                <w:lang w:val="en-US" w:eastAsia="zh-CN"/>
              </w:rPr>
              <w:t>8、与国家及地方水污染防治要求的符合性分析</w:t>
            </w:r>
          </w:p>
          <w:p>
            <w:pPr>
              <w:bidi w:val="0"/>
              <w:rPr>
                <w:rFonts w:hint="default"/>
                <w:lang w:val="en-US" w:eastAsia="zh-CN"/>
              </w:rPr>
            </w:pPr>
            <w:r>
              <w:rPr>
                <w:rFonts w:hint="eastAsia"/>
                <w:lang w:val="en-US" w:eastAsia="zh-CN"/>
              </w:rPr>
              <w:t>（</w:t>
            </w:r>
            <w:r>
              <w:rPr>
                <w:rFonts w:hint="default"/>
                <w:lang w:val="en-US" w:eastAsia="zh-CN"/>
              </w:rPr>
              <w:t>1</w:t>
            </w:r>
            <w:r>
              <w:rPr>
                <w:rFonts w:hint="eastAsia"/>
                <w:lang w:val="en-US" w:eastAsia="zh-CN"/>
              </w:rPr>
              <w:t>）</w:t>
            </w:r>
            <w:r>
              <w:rPr>
                <w:rFonts w:hint="default"/>
                <w:lang w:val="en-US" w:eastAsia="zh-CN"/>
              </w:rPr>
              <w:t>《水污染防治行动计划》（国发〔2015〕17号）中“集中治理工业集聚区水污染。强化经济技术开发区、高新技术产业开发区、出口加工区等工业集聚区污染治理。集聚区内工业废水必须经预处理达到集中处理要求，方可进入污水集中处理设施。新建、升级工业集聚区应同步规划、建设污水、垃圾集中处理等污染治理设施。2017年底前，工业集聚区应按规定建成污水集中处理设施，并安装自动在线监控装置，京津冀、长三角、珠三角等区域提前一年完成；逾期未完成的，一律暂停审批和核准其增加水污染物排放的建设项目，并依照有关规定撤销其园区资格。”</w:t>
            </w:r>
          </w:p>
          <w:p>
            <w:pPr>
              <w:bidi w:val="0"/>
              <w:rPr>
                <w:rFonts w:hint="default"/>
                <w:lang w:val="en-US" w:eastAsia="zh-CN"/>
              </w:rPr>
            </w:pPr>
            <w:r>
              <w:rPr>
                <w:rFonts w:hint="default"/>
                <w:lang w:val="en-US" w:eastAsia="zh-CN"/>
              </w:rPr>
              <w:t>本项目生活污水</w:t>
            </w:r>
            <w:r>
              <w:rPr>
                <w:rFonts w:hint="eastAsia"/>
                <w:lang w:val="en-US" w:eastAsia="zh-CN"/>
              </w:rPr>
              <w:t>经预处理池处理后排入园区管网，生产废水</w:t>
            </w:r>
            <w:r>
              <w:rPr>
                <w:rFonts w:hint="default"/>
                <w:lang w:val="en-US" w:eastAsia="zh-CN"/>
              </w:rPr>
              <w:t>经</w:t>
            </w:r>
            <w:r>
              <w:rPr>
                <w:rFonts w:hint="eastAsia"/>
                <w:lang w:val="en-US" w:eastAsia="zh-CN"/>
              </w:rPr>
              <w:t>一体化污水处理设施处理</w:t>
            </w:r>
            <w:r>
              <w:rPr>
                <w:rFonts w:hint="default"/>
                <w:lang w:val="en-US" w:eastAsia="zh-CN"/>
              </w:rPr>
              <w:t>达到污水处理厂进水水质要求后，进入</w:t>
            </w:r>
            <w:r>
              <w:rPr>
                <w:rFonts w:hint="eastAsia"/>
                <w:lang w:val="en-US" w:eastAsia="zh-CN"/>
              </w:rPr>
              <w:t>园区</w:t>
            </w:r>
            <w:r>
              <w:rPr>
                <w:rFonts w:hint="default"/>
                <w:lang w:val="en-US" w:eastAsia="zh-CN"/>
              </w:rPr>
              <w:t>污水处理厂处理后再经尾水排放管排放</w:t>
            </w:r>
            <w:r>
              <w:rPr>
                <w:rFonts w:hint="eastAsia"/>
                <w:lang w:val="en-US" w:eastAsia="zh-CN"/>
              </w:rPr>
              <w:t>渠江</w:t>
            </w:r>
            <w:r>
              <w:rPr>
                <w:rFonts w:hint="default"/>
                <w:lang w:val="en-US" w:eastAsia="zh-CN"/>
              </w:rPr>
              <w:t>。</w:t>
            </w:r>
          </w:p>
          <w:p>
            <w:pPr>
              <w:bidi w:val="0"/>
              <w:rPr>
                <w:rFonts w:hint="default"/>
                <w:lang w:val="en-US" w:eastAsia="zh-CN"/>
              </w:rPr>
            </w:pPr>
            <w:r>
              <w:rPr>
                <w:rFonts w:hint="eastAsia"/>
                <w:lang w:val="en-US" w:eastAsia="zh-CN"/>
              </w:rPr>
              <w:t>（</w:t>
            </w:r>
            <w:r>
              <w:rPr>
                <w:rFonts w:hint="default"/>
                <w:lang w:val="en-US" w:eastAsia="zh-CN"/>
              </w:rPr>
              <w:t>2</w:t>
            </w:r>
            <w:r>
              <w:rPr>
                <w:rFonts w:hint="eastAsia"/>
                <w:lang w:val="en-US" w:eastAsia="zh-CN"/>
              </w:rPr>
              <w:t>）</w:t>
            </w:r>
            <w:r>
              <w:rPr>
                <w:rFonts w:hint="default"/>
                <w:lang w:val="en-US" w:eastAsia="zh-CN"/>
              </w:rPr>
              <w:t>《四川省地下水污染防治实施方案》：明确企业责任各地要督促涉地下水有关点行业企业切实担负起企业主体责任，特别是有色金属冶炼、化工制造、矿山开采、页岩气开采等重点行业企业，务必遵循“谁污染谁修复、谁损害谁赔偿”原则，加强内部管理，将地下水污染防治纳入环境风险防控体系，按相关要求落实地下水污染防治设施建设、维护运行、日常监测、信息公开等工作任务，确保重点污染物稳定达标排放，严防周边地下水环境污染。</w:t>
            </w:r>
          </w:p>
          <w:p>
            <w:pPr>
              <w:bidi w:val="0"/>
              <w:rPr>
                <w:rFonts w:hint="default"/>
                <w:lang w:val="en-US" w:eastAsia="zh-CN"/>
              </w:rPr>
            </w:pPr>
            <w:r>
              <w:rPr>
                <w:rFonts w:hint="default"/>
                <w:lang w:val="en-US" w:eastAsia="zh-CN"/>
              </w:rPr>
              <w:t>本项目废气、废水采取相应治理措施后可确保稳定达标排放；固废采取相应处置措施，排放去向明确；同时采取地下水分区防渗措施，可严防项目周边地下水环境污染。</w:t>
            </w:r>
          </w:p>
          <w:p>
            <w:pPr>
              <w:pStyle w:val="36"/>
              <w:bidi w:val="0"/>
              <w:rPr>
                <w:rFonts w:hint="eastAsia"/>
                <w:lang w:val="en-US" w:eastAsia="zh-CN"/>
              </w:rPr>
            </w:pPr>
            <w:r>
              <w:rPr>
                <w:rFonts w:hint="eastAsia"/>
                <w:lang w:val="en-US" w:eastAsia="zh-CN"/>
              </w:rPr>
              <w:t>9、与国家及地方土壤污染防治要求的符合性分析</w:t>
            </w:r>
          </w:p>
          <w:p>
            <w:pPr>
              <w:rPr>
                <w:rFonts w:hint="default"/>
                <w:lang w:val="en-US" w:eastAsia="zh-CN"/>
              </w:rPr>
            </w:pPr>
            <w:r>
              <w:rPr>
                <w:rFonts w:hint="default"/>
                <w:lang w:val="en-US" w:eastAsia="zh-CN"/>
              </w:rPr>
              <w:t>四川省人民政府办公厅关于印发《四川省环境污染防治“三大战役”实施方案》的通知，重点任务（三）突然污染防治：“实施工矿企业污染综合整 治行动，对排放重点污染物的建设项目，明确土壤环境影响评价内容，落实污染 防治措施。......加强工业固体废物处理处置，全面开展尾矿、冶炼渣、铬渣及脱硫、脱硝、除尘固体废物整治，...…强化固体废物综合利用全过程监管”。</w:t>
            </w:r>
          </w:p>
          <w:p>
            <w:pPr>
              <w:rPr>
                <w:rFonts w:hint="default"/>
                <w:lang w:val="en-US" w:eastAsia="zh-CN"/>
              </w:rPr>
            </w:pPr>
            <w:r>
              <w:rPr>
                <w:rFonts w:hint="default"/>
                <w:lang w:val="en-US" w:eastAsia="zh-CN"/>
              </w:rPr>
              <w:t>运营期，固废分类暂存和处理，各类危险废物包装和暂存满足《危险废物贮存污染控制标准》（GB18597-20</w:t>
            </w:r>
            <w:r>
              <w:rPr>
                <w:rFonts w:hint="eastAsia"/>
                <w:lang w:val="en-US" w:eastAsia="zh-CN"/>
              </w:rPr>
              <w:t>23</w:t>
            </w:r>
            <w:r>
              <w:rPr>
                <w:rFonts w:hint="default"/>
                <w:lang w:val="en-US" w:eastAsia="zh-CN"/>
              </w:rPr>
              <w:t>）中相关要求；本项目厂区采取分区防渗措施，并落实风险防范措施，因此，本项目符合土壤污染防治行动计划。</w:t>
            </w:r>
          </w:p>
          <w:p>
            <w:pPr>
              <w:pStyle w:val="36"/>
              <w:bidi w:val="0"/>
              <w:rPr>
                <w:rFonts w:hint="eastAsia"/>
                <w:lang w:val="en-US" w:eastAsia="zh-CN"/>
              </w:rPr>
            </w:pPr>
            <w:r>
              <w:rPr>
                <w:rFonts w:hint="eastAsia"/>
                <w:lang w:val="en-US" w:eastAsia="zh-CN"/>
              </w:rPr>
              <w:t>10、选址合理性及外环境相容性分析</w:t>
            </w:r>
          </w:p>
          <w:p>
            <w:pPr>
              <w:bidi w:val="0"/>
              <w:rPr>
                <w:rFonts w:hint="default"/>
                <w:lang w:val="en-US" w:eastAsia="zh-CN"/>
              </w:rPr>
            </w:pPr>
            <w:r>
              <w:rPr>
                <w:rFonts w:hint="eastAsia"/>
                <w:lang w:val="en-US" w:eastAsia="zh-CN"/>
              </w:rPr>
              <w:t>项目选址于四川达州普光经济开发区，用地与当地土地规划相符。根据现场调查，项目停车场厂界外居民房已全部拆除，距离本项目停车场最近居民为项目北侧170m处有约4户散居居民。项目消防站厂界外东侧居民房已拆除，距离本项目最近居民为西南侧60m处有约10户散居居民，</w:t>
            </w:r>
          </w:p>
          <w:p>
            <w:pPr>
              <w:bidi w:val="0"/>
              <w:rPr>
                <w:rFonts w:hint="default"/>
                <w:lang w:val="en-US" w:eastAsia="zh-CN"/>
              </w:rPr>
            </w:pPr>
            <w:r>
              <w:rPr>
                <w:rFonts w:hint="eastAsia"/>
                <w:lang w:val="en-US" w:eastAsia="zh-CN"/>
              </w:rPr>
              <w:t>（1）本项目对外环境的影响</w:t>
            </w:r>
          </w:p>
          <w:p>
            <w:pPr>
              <w:rPr>
                <w:rFonts w:hint="default"/>
                <w:lang w:val="en-US"/>
              </w:rPr>
            </w:pPr>
            <w:r>
              <w:rPr>
                <w:rFonts w:hint="eastAsia"/>
                <w:lang w:val="en-US" w:eastAsia="zh-CN"/>
              </w:rPr>
              <w:t>项目选址于四川达州普光经济开发区内，产生的污染物经采取措施后排放量较小，根据外环境可知，项目周边主要以散居居民为主，项目污染物排放对周边居民影响较小。项目500m范围内无自然保护区、风景名胜区、居住区、文化区和农村地区中人群较集中的区域等保护目标。</w:t>
            </w:r>
          </w:p>
          <w:p>
            <w:pPr>
              <w:bidi w:val="0"/>
              <w:rPr>
                <w:rFonts w:hint="eastAsia"/>
                <w:lang w:val="en-US" w:eastAsia="zh-CN"/>
              </w:rPr>
            </w:pPr>
            <w:r>
              <w:rPr>
                <w:rFonts w:hint="eastAsia"/>
                <w:lang w:val="en-US" w:eastAsia="zh-CN"/>
              </w:rPr>
              <w:t>（2）周边基础设施</w:t>
            </w:r>
          </w:p>
          <w:p>
            <w:pPr>
              <w:bidi w:val="0"/>
              <w:rPr>
                <w:rFonts w:hint="default"/>
                <w:lang w:val="en-US" w:eastAsia="zh-CN"/>
              </w:rPr>
            </w:pPr>
            <w:r>
              <w:rPr>
                <w:rFonts w:hint="default"/>
                <w:lang w:val="en-US" w:eastAsia="zh-CN"/>
              </w:rPr>
              <w:t>项目所在园区配置了较为齐全的环保设施。园区内供气、供水、排水、供电、道路设施以及其他配套工程齐全，厂区所在地区位置较好，项目所在地交通方便，方便原辅料及产品进出。</w:t>
            </w:r>
          </w:p>
          <w:p>
            <w:pPr>
              <w:bidi w:val="0"/>
              <w:rPr>
                <w:rFonts w:hint="default" w:ascii="Times New Roman" w:hAnsi="Times New Roman" w:cs="Times New Roman"/>
                <w:color w:val="auto"/>
              </w:rPr>
            </w:pPr>
            <w:r>
              <w:rPr>
                <w:rFonts w:hint="default"/>
                <w:lang w:val="en-US" w:eastAsia="zh-CN"/>
              </w:rPr>
              <w:t>综上，项目在</w:t>
            </w:r>
            <w:r>
              <w:rPr>
                <w:rFonts w:hint="eastAsia"/>
                <w:lang w:val="en-US" w:eastAsia="zh-CN"/>
              </w:rPr>
              <w:t>四川达州普光经济开发区内</w:t>
            </w:r>
            <w:r>
              <w:rPr>
                <w:rFonts w:hint="default"/>
                <w:lang w:val="en-US" w:eastAsia="zh-CN"/>
              </w:rPr>
              <w:t>建设，项目用地属于工业用地，评价范围内无需要特殊保护的敏感目标，项目与周围环境相容，项目选址符合</w:t>
            </w:r>
            <w:r>
              <w:rPr>
                <w:rFonts w:hint="eastAsia"/>
                <w:lang w:val="en-US" w:eastAsia="zh-CN"/>
              </w:rPr>
              <w:t>四川达州普光经济开发区</w:t>
            </w:r>
            <w:r>
              <w:rPr>
                <w:rFonts w:hint="default"/>
                <w:lang w:val="en-US" w:eastAsia="zh-CN"/>
              </w:rPr>
              <w:t>产业发展和土地利用规划，选址合理，与外环境相容。</w:t>
            </w:r>
          </w:p>
        </w:tc>
      </w:tr>
    </w:tbl>
    <w:p>
      <w:pPr>
        <w:sectPr>
          <w:pgSz w:w="11906" w:h="16838"/>
          <w:pgMar w:top="1440" w:right="1800" w:bottom="1440" w:left="1800" w:header="851" w:footer="992" w:gutter="0"/>
          <w:pgNumType w:fmt="decimal"/>
          <w:cols w:space="425" w:num="1"/>
          <w:docGrid w:type="lines" w:linePitch="312" w:charSpace="0"/>
        </w:sectPr>
      </w:pPr>
    </w:p>
    <w:p>
      <w:pPr>
        <w:pStyle w:val="2"/>
        <w:bidi w:val="0"/>
      </w:pPr>
      <w:bookmarkStart w:id="4" w:name="_Toc9290"/>
      <w:r>
        <w:rPr>
          <w:rFonts w:hint="eastAsia"/>
        </w:rPr>
        <w:t>二、建设项目工程分析</w:t>
      </w:r>
      <w:bookmarkEnd w:id="4"/>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8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vAlign w:val="center"/>
          </w:tcPr>
          <w:p>
            <w:pPr>
              <w:pStyle w:val="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建设内容</w:t>
            </w:r>
          </w:p>
        </w:tc>
        <w:tc>
          <w:tcPr>
            <w:tcW w:w="4527" w:type="pct"/>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val="0"/>
                <w:szCs w:val="21"/>
                <w:lang w:val="en-US" w:eastAsia="zh-CN"/>
              </w:rPr>
            </w:pPr>
            <w:r>
              <w:rPr>
                <w:rFonts w:hint="eastAsia" w:cs="Times New Roman"/>
                <w:b/>
                <w:bCs w:val="0"/>
                <w:szCs w:val="21"/>
                <w:lang w:val="en-US" w:eastAsia="zh-CN"/>
              </w:rPr>
              <w:t>2.1项目由来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default" w:cs="Times New Roman"/>
                <w:bCs/>
                <w:szCs w:val="21"/>
                <w:lang w:val="en-US" w:eastAsia="zh-CN"/>
              </w:rPr>
              <w:t>为落实川安办函【2022】23号关于印发《四川省化工园区安全整治提升工作方案》的通知要求，有效防控化工园区重大安全风险，推动园区集中布局、集群发展、降低安全风险等级。规范大型车辆及危化品运输车辆管理的需要，建设危化品运输车辆专业停车场有利于对分散危险源的集中控制，降低风险，对从事危化品运输的车辆起到集中约束的作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Cs/>
                <w:szCs w:val="21"/>
                <w:lang w:val="en-US" w:eastAsia="zh-CN"/>
              </w:rPr>
            </w:pPr>
            <w:r>
              <w:rPr>
                <w:rFonts w:hint="eastAsia" w:cs="Times New Roman"/>
                <w:bCs/>
                <w:szCs w:val="21"/>
                <w:lang w:val="en-US" w:eastAsia="zh-CN"/>
              </w:rPr>
              <w:t>同时，为完善园区配套基础设施，达州普光建设开发有限公司拟投资</w:t>
            </w:r>
            <w:r>
              <w:rPr>
                <w:rFonts w:hint="eastAsia"/>
                <w:lang w:val="en-US" w:eastAsia="zh-CN"/>
              </w:rPr>
              <w:t>9960.95</w:t>
            </w:r>
            <w:r>
              <w:rPr>
                <w:rFonts w:hint="eastAsia" w:cs="Times New Roman"/>
                <w:bCs/>
                <w:szCs w:val="21"/>
                <w:lang w:val="en-US" w:eastAsia="zh-CN"/>
              </w:rPr>
              <w:t>万元修建危险化学品停车场及配套设施（总用地面积47265.47m</w:t>
            </w:r>
            <w:r>
              <w:rPr>
                <w:rFonts w:hint="eastAsia" w:cs="Times New Roman"/>
                <w:bCs/>
                <w:szCs w:val="21"/>
                <w:vertAlign w:val="superscript"/>
                <w:lang w:val="en-US" w:eastAsia="zh-CN"/>
              </w:rPr>
              <w:t>2</w:t>
            </w:r>
            <w:r>
              <w:rPr>
                <w:rFonts w:hint="eastAsia" w:cs="Times New Roman"/>
                <w:bCs/>
                <w:szCs w:val="21"/>
                <w:lang w:val="en-US" w:eastAsia="zh-CN"/>
              </w:rPr>
              <w:t>）、消防站（总用地面积7624.07m</w:t>
            </w:r>
            <w:r>
              <w:rPr>
                <w:rFonts w:hint="eastAsia" w:cs="Times New Roman"/>
                <w:bCs/>
                <w:szCs w:val="21"/>
                <w:vertAlign w:val="superscript"/>
                <w:lang w:val="en-US" w:eastAsia="zh-CN"/>
              </w:rPr>
              <w:t>2</w:t>
            </w:r>
            <w:r>
              <w:rPr>
                <w:rFonts w:hint="eastAsia" w:cs="Times New Roman"/>
                <w:bCs/>
                <w:szCs w:val="21"/>
                <w:lang w:val="en-US" w:eastAsia="zh-CN"/>
              </w:rPr>
              <w:t>）。</w:t>
            </w:r>
          </w:p>
          <w:p>
            <w:pPr>
              <w:bidi w:val="0"/>
              <w:rPr>
                <w:rFonts w:hint="default"/>
                <w:lang w:val="en-US" w:eastAsia="zh-CN"/>
              </w:rPr>
            </w:pPr>
            <w:r>
              <w:rPr>
                <w:rFonts w:hint="default"/>
                <w:lang w:val="en-US" w:eastAsia="zh-CN"/>
              </w:rPr>
              <w:t>根据《中华人民共和国环境影响评价法</w:t>
            </w:r>
            <w:r>
              <w:rPr>
                <w:rFonts w:hint="eastAsia"/>
                <w:lang w:val="en-US" w:eastAsia="zh-CN"/>
              </w:rPr>
              <w:t>》《</w:t>
            </w:r>
            <w:r>
              <w:rPr>
                <w:rFonts w:hint="default"/>
                <w:lang w:val="en-US" w:eastAsia="zh-CN"/>
              </w:rPr>
              <w:t>建设项目环境保护管理条例》及《建设项目环境影响评价分类管理名录（2021版）》，该项目属于“</w:t>
            </w:r>
            <w:r>
              <w:rPr>
                <w:rFonts w:hint="eastAsia" w:cs="Times New Roman"/>
                <w:sz w:val="24"/>
                <w:szCs w:val="24"/>
                <w:lang w:val="en-US" w:eastAsia="zh-CN"/>
              </w:rPr>
              <w:t>五十、社会事业与服务业-120、洗车场-危险化学品运输车辆清洗场</w:t>
            </w:r>
            <w:r>
              <w:rPr>
                <w:rFonts w:hint="default"/>
                <w:lang w:val="en-US" w:eastAsia="zh-CN"/>
              </w:rPr>
              <w:t>”项目类别，应编制相应的环境影响报告表。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eastAsia"/>
                <w:lang w:val="en-US" w:eastAsia="zh-CN"/>
              </w:rPr>
              <w:t>受</w:t>
            </w:r>
            <w:r>
              <w:rPr>
                <w:rFonts w:hint="eastAsia" w:cs="Times New Roman"/>
                <w:bCs/>
                <w:szCs w:val="21"/>
                <w:lang w:val="en-US" w:eastAsia="zh-CN"/>
              </w:rPr>
              <w:t>达州普光建设开发有限公司</w:t>
            </w:r>
            <w:r>
              <w:rPr>
                <w:rFonts w:hint="eastAsia"/>
                <w:lang w:val="en-US" w:eastAsia="zh-CN"/>
              </w:rPr>
              <w:t>的委托，</w:t>
            </w:r>
            <w:r>
              <w:rPr>
                <w:rFonts w:hint="eastAsia"/>
              </w:rPr>
              <w:t>四川中辰全过程工程咨询有限公司</w:t>
            </w:r>
            <w:r>
              <w:rPr>
                <w:rFonts w:hint="eastAsia"/>
                <w:lang w:val="en-US" w:eastAsia="zh-CN"/>
              </w:rPr>
              <w:t>承担了本项目环境影响评价报告表的编写工作。我公司接受委托后即组织人员对该项目进行了实地踏勘，收集了与本项目相关的资料，并对项目周边环境进行了详细调查、了解，在此基础上根据国家、省市的有关环保法规以及环境影响评价技术导则要求，编制了本项目环境影响报告表，请环境保护管理部门审查。</w:t>
            </w:r>
          </w:p>
          <w:p>
            <w:pPr>
              <w:pStyle w:val="36"/>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lang w:val="en-US" w:eastAsia="zh-CN"/>
              </w:rPr>
            </w:pPr>
            <w:r>
              <w:rPr>
                <w:rFonts w:hint="eastAsia" w:cs="Times New Roman"/>
                <w:bCs/>
                <w:szCs w:val="21"/>
                <w:lang w:val="en-US" w:eastAsia="zh-CN"/>
              </w:rPr>
              <w:t>2.2</w:t>
            </w:r>
            <w:r>
              <w:rPr>
                <w:rFonts w:hint="eastAsia"/>
                <w:lang w:val="en-US" w:eastAsia="zh-CN"/>
              </w:rPr>
              <w:t>项目工程概况</w:t>
            </w:r>
          </w:p>
          <w:p>
            <w:pPr>
              <w:rPr>
                <w:rFonts w:hint="default"/>
                <w:lang w:eastAsia="zh-CN"/>
              </w:rPr>
            </w:pPr>
            <w:r>
              <w:rPr>
                <w:rFonts w:hint="default"/>
                <w:lang w:eastAsia="zh-CN"/>
              </w:rPr>
              <w:t>项目名称：</w:t>
            </w:r>
            <w:r>
              <w:rPr>
                <w:rFonts w:hint="default" w:ascii="Times New Roman" w:hAnsi="Times New Roman" w:cs="Times New Roman"/>
                <w:sz w:val="24"/>
                <w:szCs w:val="24"/>
              </w:rPr>
              <w:t>万达开天然气锂钾综合利用集聚区产城融合基础设施建设项目</w:t>
            </w:r>
          </w:p>
          <w:p>
            <w:pPr>
              <w:bidi w:val="0"/>
              <w:rPr>
                <w:rFonts w:hint="default"/>
                <w:lang w:eastAsia="zh-CN"/>
              </w:rPr>
            </w:pPr>
            <w:r>
              <w:rPr>
                <w:rFonts w:hint="default"/>
                <w:lang w:eastAsia="zh-CN"/>
              </w:rPr>
              <w:t>建设单位：</w:t>
            </w:r>
            <w:r>
              <w:rPr>
                <w:rFonts w:hint="eastAsia" w:cs="Times New Roman"/>
                <w:bCs/>
                <w:szCs w:val="21"/>
                <w:lang w:val="en-US" w:eastAsia="zh-CN"/>
              </w:rPr>
              <w:t>达州普光建设开发有限公司</w:t>
            </w:r>
          </w:p>
          <w:p>
            <w:pPr>
              <w:rPr>
                <w:rFonts w:hint="default"/>
                <w:lang w:val="en-US" w:eastAsia="zh-CN"/>
              </w:rPr>
            </w:pPr>
            <w:r>
              <w:rPr>
                <w:rFonts w:hint="default"/>
                <w:lang w:eastAsia="zh-CN"/>
              </w:rPr>
              <w:t>建设性质：</w:t>
            </w:r>
            <w:r>
              <w:rPr>
                <w:rFonts w:hint="eastAsia"/>
                <w:lang w:val="en-US" w:eastAsia="zh-CN"/>
              </w:rPr>
              <w:t>新建</w:t>
            </w:r>
          </w:p>
          <w:p>
            <w:pPr>
              <w:bidi w:val="0"/>
              <w:rPr>
                <w:rFonts w:hint="default"/>
                <w:lang w:eastAsia="zh-CN"/>
              </w:rPr>
            </w:pPr>
            <w:r>
              <w:rPr>
                <w:rFonts w:hint="default"/>
                <w:lang w:eastAsia="zh-CN"/>
              </w:rPr>
              <w:t>建设地点：</w:t>
            </w:r>
            <w:r>
              <w:rPr>
                <w:rFonts w:hint="default" w:ascii="Times New Roman" w:hAnsi="Times New Roman" w:cs="Times New Roman"/>
                <w:sz w:val="24"/>
                <w:szCs w:val="24"/>
              </w:rPr>
              <w:t>宣汉县普光经开区</w:t>
            </w:r>
          </w:p>
          <w:p>
            <w:pPr>
              <w:rPr>
                <w:rFonts w:hint="eastAsia"/>
                <w:lang w:val="en-US" w:eastAsia="zh-CN"/>
              </w:rPr>
            </w:pPr>
            <w:r>
              <w:rPr>
                <w:rFonts w:hint="eastAsia"/>
                <w:lang w:val="en-US" w:eastAsia="zh-CN"/>
              </w:rPr>
              <w:t>项目投资：9960.95万元</w:t>
            </w:r>
          </w:p>
          <w:p>
            <w:pPr>
              <w:pStyle w:val="36"/>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2.</w:t>
            </w:r>
            <w:r>
              <w:rPr>
                <w:rFonts w:hint="default" w:ascii="Times New Roman" w:hAnsi="Times New Roman" w:cs="Times New Roman"/>
                <w:bCs/>
                <w:szCs w:val="21"/>
                <w:lang w:val="en-US" w:eastAsia="zh-CN"/>
              </w:rPr>
              <w:t>3项目建设</w:t>
            </w:r>
            <w:r>
              <w:rPr>
                <w:rFonts w:hint="eastAsia" w:ascii="Times New Roman" w:hAnsi="Times New Roman" w:cs="Times New Roman"/>
                <w:bCs/>
                <w:szCs w:val="21"/>
                <w:lang w:val="en-US" w:eastAsia="zh-CN"/>
              </w:rPr>
              <w:t>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eastAsia" w:cs="Times New Roman"/>
                <w:bCs/>
                <w:szCs w:val="21"/>
                <w:lang w:val="en-US" w:eastAsia="zh-CN"/>
              </w:rPr>
              <w:t>本项目主要建设内容包括消防站建设、危险化学品车辆停车场、洗车车间、洗罐车间、维修车间、管理用房。项目主要建设内容及主要环境问题详见下表。</w:t>
            </w:r>
          </w:p>
          <w:p>
            <w:pPr>
              <w:pStyle w:val="26"/>
              <w:bidi w:val="0"/>
              <w:rPr>
                <w:rFonts w:hint="default"/>
                <w:lang w:val="en-US" w:eastAsia="zh-CN"/>
              </w:rPr>
            </w:pPr>
            <w:r>
              <w:rPr>
                <w:rFonts w:hint="default"/>
                <w:lang w:eastAsia="zh-CN"/>
              </w:rPr>
              <w:t>表2-1 建设项目组成</w:t>
            </w:r>
            <w:r>
              <w:rPr>
                <w:rFonts w:hint="eastAsia"/>
                <w:lang w:val="en-US" w:eastAsia="zh-CN"/>
              </w:rPr>
              <w:t>及主要环境问题表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493"/>
              <w:gridCol w:w="1111"/>
              <w:gridCol w:w="4427"/>
              <w:gridCol w:w="1073"/>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jc w:val="center"/>
              </w:trPr>
              <w:tc>
                <w:tcPr>
                  <w:tcW w:w="1250" w:type="pct"/>
                  <w:gridSpan w:val="3"/>
                  <w:vMerge w:val="restart"/>
                  <w:noWrap w:val="0"/>
                  <w:vAlign w:val="center"/>
                </w:tcPr>
                <w:p>
                  <w:pPr>
                    <w:pStyle w:val="22"/>
                    <w:bidi w:val="0"/>
                    <w:rPr>
                      <w:rFonts w:hint="default"/>
                      <w:lang w:val="en-US" w:eastAsia="zh-CN"/>
                    </w:rPr>
                  </w:pPr>
                  <w:r>
                    <w:rPr>
                      <w:rFonts w:hint="eastAsia"/>
                      <w:lang w:val="en-US" w:eastAsia="zh-CN"/>
                    </w:rPr>
                    <w:t>工程名称</w:t>
                  </w:r>
                </w:p>
              </w:tc>
              <w:tc>
                <w:tcPr>
                  <w:tcW w:w="2542" w:type="pct"/>
                  <w:vMerge w:val="restart"/>
                  <w:noWrap w:val="0"/>
                  <w:vAlign w:val="center"/>
                </w:tcPr>
                <w:p>
                  <w:pPr>
                    <w:pStyle w:val="22"/>
                    <w:bidi w:val="0"/>
                    <w:rPr>
                      <w:rFonts w:hint="default"/>
                      <w:lang w:val="en-US" w:eastAsia="zh-CN"/>
                    </w:rPr>
                  </w:pPr>
                  <w:r>
                    <w:rPr>
                      <w:rFonts w:hint="eastAsia"/>
                      <w:lang w:val="en-US" w:eastAsia="zh-CN"/>
                    </w:rPr>
                    <w:t>规格</w:t>
                  </w:r>
                </w:p>
              </w:tc>
              <w:tc>
                <w:tcPr>
                  <w:tcW w:w="1206" w:type="pct"/>
                  <w:gridSpan w:val="2"/>
                  <w:noWrap w:val="0"/>
                  <w:vAlign w:val="center"/>
                </w:tcPr>
                <w:p>
                  <w:pPr>
                    <w:pStyle w:val="22"/>
                    <w:bidi w:val="0"/>
                    <w:rPr>
                      <w:rFonts w:hint="default"/>
                      <w:lang w:eastAsia="zh-CN"/>
                    </w:rPr>
                  </w:pPr>
                  <w:r>
                    <w:rPr>
                      <w:rFonts w:hint="eastAsia"/>
                      <w:lang w:val="en-US" w:eastAsia="zh-CN"/>
                    </w:rPr>
                    <w:t>可能产生的环境影响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1250" w:type="pct"/>
                  <w:gridSpan w:val="3"/>
                  <w:vMerge w:val="continue"/>
                  <w:noWrap w:val="0"/>
                  <w:vAlign w:val="center"/>
                </w:tcPr>
                <w:p>
                  <w:pPr>
                    <w:pStyle w:val="22"/>
                    <w:bidi w:val="0"/>
                  </w:pPr>
                </w:p>
              </w:tc>
              <w:tc>
                <w:tcPr>
                  <w:tcW w:w="2542" w:type="pct"/>
                  <w:vMerge w:val="continue"/>
                  <w:noWrap w:val="0"/>
                  <w:vAlign w:val="center"/>
                </w:tcPr>
                <w:p>
                  <w:pPr>
                    <w:pStyle w:val="22"/>
                    <w:bidi w:val="0"/>
                  </w:pPr>
                </w:p>
              </w:tc>
              <w:tc>
                <w:tcPr>
                  <w:tcW w:w="616" w:type="pct"/>
                  <w:noWrap w:val="0"/>
                  <w:vAlign w:val="center"/>
                </w:tcPr>
                <w:p>
                  <w:pPr>
                    <w:pStyle w:val="22"/>
                    <w:bidi w:val="0"/>
                    <w:rPr>
                      <w:rFonts w:hint="default"/>
                      <w:lang w:val="en-US" w:eastAsia="zh-CN"/>
                    </w:rPr>
                  </w:pPr>
                  <w:r>
                    <w:rPr>
                      <w:rFonts w:hint="eastAsia"/>
                      <w:lang w:val="en-US" w:eastAsia="zh-CN"/>
                    </w:rPr>
                    <w:t>施工期</w:t>
                  </w:r>
                </w:p>
              </w:tc>
              <w:tc>
                <w:tcPr>
                  <w:tcW w:w="590" w:type="pct"/>
                  <w:noWrap w:val="0"/>
                  <w:vAlign w:val="center"/>
                </w:tcPr>
                <w:p>
                  <w:pPr>
                    <w:pStyle w:val="22"/>
                    <w:bidi w:val="0"/>
                    <w:rPr>
                      <w:rFonts w:hint="default"/>
                      <w:lang w:val="en-US" w:eastAsia="zh-CN"/>
                    </w:rPr>
                  </w:pPr>
                  <w:r>
                    <w:rPr>
                      <w:rFonts w:hint="eastAsia"/>
                      <w:lang w:val="en-US" w:eastAsia="zh-CN"/>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restart"/>
                  <w:noWrap w:val="0"/>
                  <w:vAlign w:val="center"/>
                </w:tcPr>
                <w:p>
                  <w:pPr>
                    <w:pStyle w:val="22"/>
                    <w:bidi w:val="0"/>
                    <w:rPr>
                      <w:rFonts w:hint="default"/>
                      <w:lang w:val="en-US" w:eastAsia="zh-CN"/>
                    </w:rPr>
                  </w:pPr>
                  <w:r>
                    <w:rPr>
                      <w:rFonts w:hint="eastAsia"/>
                      <w:lang w:val="en-US" w:eastAsia="zh-CN"/>
                    </w:rPr>
                    <w:t>主体工程</w:t>
                  </w:r>
                </w:p>
              </w:tc>
              <w:tc>
                <w:tcPr>
                  <w:tcW w:w="283" w:type="pct"/>
                  <w:vMerge w:val="restart"/>
                  <w:noWrap w:val="0"/>
                  <w:vAlign w:val="center"/>
                </w:tcPr>
                <w:p>
                  <w:pPr>
                    <w:pStyle w:val="22"/>
                    <w:bidi w:val="0"/>
                    <w:rPr>
                      <w:rFonts w:hint="default"/>
                      <w:lang w:val="en-US" w:eastAsia="zh-CN"/>
                    </w:rPr>
                  </w:pPr>
                  <w:r>
                    <w:rPr>
                      <w:rFonts w:hint="eastAsia"/>
                      <w:lang w:val="en-US" w:eastAsia="zh-CN"/>
                    </w:rPr>
                    <w:t>危险化学品停车场</w:t>
                  </w:r>
                </w:p>
              </w:tc>
              <w:tc>
                <w:tcPr>
                  <w:tcW w:w="638" w:type="pct"/>
                  <w:noWrap w:val="0"/>
                  <w:vAlign w:val="center"/>
                </w:tcPr>
                <w:p>
                  <w:pPr>
                    <w:pStyle w:val="22"/>
                    <w:bidi w:val="0"/>
                    <w:rPr>
                      <w:rFonts w:hint="eastAsia"/>
                      <w:lang w:val="en-US" w:eastAsia="zh-CN"/>
                    </w:rPr>
                  </w:pPr>
                  <w:r>
                    <w:rPr>
                      <w:rFonts w:hint="eastAsia"/>
                      <w:lang w:val="en-US" w:eastAsia="zh-CN"/>
                    </w:rPr>
                    <w:t>停车场</w:t>
                  </w:r>
                </w:p>
              </w:tc>
              <w:tc>
                <w:tcPr>
                  <w:tcW w:w="2542" w:type="pct"/>
                  <w:noWrap w:val="0"/>
                  <w:vAlign w:val="center"/>
                </w:tcPr>
                <w:p>
                  <w:pPr>
                    <w:pStyle w:val="22"/>
                    <w:bidi w:val="0"/>
                    <w:rPr>
                      <w:rFonts w:hint="default"/>
                      <w:lang w:val="en-US" w:eastAsia="zh-CN"/>
                    </w:rPr>
                  </w:pPr>
                  <w:r>
                    <w:rPr>
                      <w:rFonts w:hint="eastAsia"/>
                      <w:lang w:val="en-US" w:eastAsia="zh-CN"/>
                    </w:rPr>
                    <w:t>共设6个停车组，其中5个空载组、1个重载组；总停车位156个。</w:t>
                  </w:r>
                </w:p>
                <w:p>
                  <w:pPr>
                    <w:pStyle w:val="22"/>
                    <w:bidi w:val="0"/>
                    <w:rPr>
                      <w:rFonts w:hint="default"/>
                      <w:lang w:val="en-US" w:eastAsia="zh-CN"/>
                    </w:rPr>
                  </w:pPr>
                  <w:r>
                    <w:rPr>
                      <w:rFonts w:hint="eastAsia"/>
                      <w:lang w:val="en-US" w:eastAsia="zh-CN"/>
                    </w:rPr>
                    <w:t>1#空载停车区（甲乙类）28个停车位，2#空载停车区（甲乙类）26个停车位，3#空载停车区（丙类）24个停车位，4#空载停车区（丙类）28个停车位，5#空载停车区（丙类）30个停车位，6#重载停车区（液化烃类）10个停车位，</w:t>
                  </w:r>
                </w:p>
              </w:tc>
              <w:tc>
                <w:tcPr>
                  <w:tcW w:w="616" w:type="pct"/>
                  <w:vMerge w:val="restart"/>
                  <w:noWrap w:val="0"/>
                  <w:vAlign w:val="center"/>
                </w:tcPr>
                <w:p>
                  <w:pPr>
                    <w:pStyle w:val="22"/>
                    <w:bidi w:val="0"/>
                    <w:rPr>
                      <w:rFonts w:hint="default"/>
                      <w:lang w:val="en-US" w:eastAsia="zh-CN"/>
                    </w:rPr>
                  </w:pPr>
                  <w:r>
                    <w:rPr>
                      <w:rFonts w:hint="default"/>
                      <w:lang w:val="en-US" w:eastAsia="zh-CN"/>
                    </w:rPr>
                    <w:t>施工扬尘、施工噪声、建筑装修垃圾</w:t>
                  </w:r>
                  <w:r>
                    <w:rPr>
                      <w:rFonts w:hint="eastAsia"/>
                      <w:lang w:val="en-US" w:eastAsia="zh-CN"/>
                    </w:rPr>
                    <w:t>、</w:t>
                  </w:r>
                  <w:r>
                    <w:rPr>
                      <w:rFonts w:hint="default"/>
                      <w:lang w:val="en-US" w:eastAsia="zh-CN"/>
                    </w:rPr>
                    <w:t>生活污水</w:t>
                  </w:r>
                  <w:r>
                    <w:rPr>
                      <w:rFonts w:hint="eastAsia"/>
                      <w:lang w:val="en-US" w:eastAsia="zh-CN"/>
                    </w:rPr>
                    <w:t>、</w:t>
                  </w:r>
                  <w:r>
                    <w:rPr>
                      <w:rFonts w:hint="default"/>
                      <w:lang w:val="en-US" w:eastAsia="zh-CN"/>
                    </w:rPr>
                    <w:t>生活垃圾</w:t>
                  </w:r>
                </w:p>
              </w:tc>
              <w:tc>
                <w:tcPr>
                  <w:tcW w:w="590" w:type="pct"/>
                  <w:noWrap w:val="0"/>
                  <w:vAlign w:val="center"/>
                </w:tcPr>
                <w:p>
                  <w:pPr>
                    <w:pStyle w:val="22"/>
                    <w:bidi w:val="0"/>
                    <w:rPr>
                      <w:rFonts w:hint="default"/>
                      <w:lang w:val="en-US" w:eastAsia="zh-CN"/>
                    </w:rPr>
                  </w:pPr>
                  <w:r>
                    <w:rPr>
                      <w:rFonts w:hint="eastAsia"/>
                      <w:lang w:val="en-US" w:eastAsia="zh-CN"/>
                    </w:rPr>
                    <w:t>噪声、废气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default"/>
                      <w:lang w:val="en-US" w:eastAsia="zh-CN"/>
                    </w:rPr>
                  </w:pPr>
                </w:p>
              </w:tc>
              <w:tc>
                <w:tcPr>
                  <w:tcW w:w="638" w:type="pct"/>
                  <w:noWrap w:val="0"/>
                  <w:vAlign w:val="center"/>
                </w:tcPr>
                <w:p>
                  <w:pPr>
                    <w:pStyle w:val="22"/>
                    <w:bidi w:val="0"/>
                    <w:rPr>
                      <w:rFonts w:hint="eastAsia"/>
                      <w:lang w:val="en-US" w:eastAsia="zh-CN"/>
                    </w:rPr>
                  </w:pPr>
                  <w:r>
                    <w:rPr>
                      <w:rFonts w:hint="eastAsia"/>
                      <w:lang w:val="en-US" w:eastAsia="zh-CN"/>
                    </w:rPr>
                    <w:t>洗罐车间</w:t>
                  </w:r>
                </w:p>
              </w:tc>
              <w:tc>
                <w:tcPr>
                  <w:tcW w:w="2542" w:type="pct"/>
                  <w:noWrap w:val="0"/>
                  <w:vAlign w:val="center"/>
                </w:tcPr>
                <w:p>
                  <w:pPr>
                    <w:pStyle w:val="22"/>
                    <w:bidi w:val="0"/>
                    <w:rPr>
                      <w:rFonts w:hint="default"/>
                      <w:lang w:val="en-US" w:eastAsia="zh-CN"/>
                    </w:rPr>
                  </w:pPr>
                  <w:r>
                    <w:rPr>
                      <w:rFonts w:hint="eastAsia"/>
                      <w:lang w:val="en-US" w:eastAsia="zh-CN"/>
                    </w:rPr>
                    <w:t>位于停车场北侧，建筑面积920m</w:t>
                  </w:r>
                  <w:r>
                    <w:rPr>
                      <w:rFonts w:hint="eastAsia"/>
                      <w:vertAlign w:val="superscript"/>
                      <w:lang w:val="en-US" w:eastAsia="zh-CN"/>
                    </w:rPr>
                    <w:t>2</w:t>
                  </w:r>
                  <w:r>
                    <w:rPr>
                      <w:rFonts w:hint="eastAsia"/>
                      <w:lang w:val="en-US" w:eastAsia="zh-CN"/>
                    </w:rPr>
                    <w:t>。共设置2个洗车工位，用作危险化学品槽罐车罐体清洗。</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噪声、废气、残留液、废水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default"/>
                      <w:lang w:val="en-US" w:eastAsia="zh-CN"/>
                    </w:rPr>
                  </w:pPr>
                </w:p>
              </w:tc>
              <w:tc>
                <w:tcPr>
                  <w:tcW w:w="638" w:type="pct"/>
                  <w:noWrap w:val="0"/>
                  <w:vAlign w:val="center"/>
                </w:tcPr>
                <w:p>
                  <w:pPr>
                    <w:pStyle w:val="22"/>
                    <w:bidi w:val="0"/>
                    <w:rPr>
                      <w:rFonts w:hint="eastAsia"/>
                      <w:lang w:val="en-US" w:eastAsia="zh-CN"/>
                    </w:rPr>
                  </w:pPr>
                  <w:r>
                    <w:rPr>
                      <w:rFonts w:hint="eastAsia"/>
                      <w:lang w:val="en-US" w:eastAsia="zh-CN"/>
                    </w:rPr>
                    <w:t>维修车间</w:t>
                  </w:r>
                </w:p>
              </w:tc>
              <w:tc>
                <w:tcPr>
                  <w:tcW w:w="2542" w:type="pct"/>
                  <w:noWrap w:val="0"/>
                  <w:vAlign w:val="center"/>
                </w:tcPr>
                <w:p>
                  <w:pPr>
                    <w:pStyle w:val="22"/>
                    <w:bidi w:val="0"/>
                    <w:rPr>
                      <w:rFonts w:hint="default"/>
                      <w:lang w:val="en-US" w:eastAsia="zh-CN"/>
                    </w:rPr>
                  </w:pPr>
                  <w:r>
                    <w:rPr>
                      <w:rFonts w:hint="eastAsia"/>
                      <w:lang w:val="en-US" w:eastAsia="zh-CN"/>
                    </w:rPr>
                    <w:t>位于停车场北侧，建筑面积534.60m</w:t>
                  </w:r>
                  <w:r>
                    <w:rPr>
                      <w:rFonts w:hint="eastAsia"/>
                      <w:vertAlign w:val="superscript"/>
                      <w:lang w:val="en-US" w:eastAsia="zh-CN"/>
                    </w:rPr>
                    <w:t>2</w:t>
                  </w:r>
                  <w:r>
                    <w:rPr>
                      <w:rFonts w:hint="eastAsia"/>
                      <w:lang w:val="en-US" w:eastAsia="zh-CN"/>
                    </w:rPr>
                    <w:t>，用作车辆简单维修，不包括发动机等维修。</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固废、噪声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eastAsia"/>
                      <w:lang w:val="en-US" w:eastAsia="zh-CN"/>
                    </w:rPr>
                  </w:pPr>
                </w:p>
              </w:tc>
              <w:tc>
                <w:tcPr>
                  <w:tcW w:w="638" w:type="pct"/>
                  <w:noWrap w:val="0"/>
                  <w:vAlign w:val="center"/>
                </w:tcPr>
                <w:p>
                  <w:pPr>
                    <w:pStyle w:val="22"/>
                    <w:bidi w:val="0"/>
                    <w:rPr>
                      <w:rFonts w:hint="eastAsia"/>
                      <w:lang w:val="en-US" w:eastAsia="zh-CN"/>
                    </w:rPr>
                  </w:pPr>
                  <w:r>
                    <w:rPr>
                      <w:rFonts w:hint="eastAsia"/>
                      <w:lang w:val="en-US" w:eastAsia="zh-CN"/>
                    </w:rPr>
                    <w:t>管理中心</w:t>
                  </w:r>
                </w:p>
              </w:tc>
              <w:tc>
                <w:tcPr>
                  <w:tcW w:w="2542" w:type="pct"/>
                  <w:noWrap w:val="0"/>
                  <w:vAlign w:val="center"/>
                </w:tcPr>
                <w:p>
                  <w:pPr>
                    <w:pStyle w:val="22"/>
                    <w:bidi w:val="0"/>
                    <w:rPr>
                      <w:rFonts w:hint="eastAsia"/>
                      <w:lang w:val="en-US" w:eastAsia="zh-CN"/>
                    </w:rPr>
                  </w:pPr>
                  <w:r>
                    <w:rPr>
                      <w:rFonts w:hint="eastAsia"/>
                      <w:lang w:val="en-US" w:eastAsia="zh-CN"/>
                    </w:rPr>
                    <w:t>2F，位于停车区南侧，建筑面积1249.33m</w:t>
                  </w:r>
                  <w:r>
                    <w:rPr>
                      <w:rFonts w:hint="eastAsia"/>
                      <w:vertAlign w:val="superscript"/>
                      <w:lang w:val="en-US" w:eastAsia="zh-CN"/>
                    </w:rPr>
                    <w:t>2</w:t>
                  </w:r>
                  <w:r>
                    <w:rPr>
                      <w:rFonts w:hint="eastAsia"/>
                      <w:lang w:val="en-US" w:eastAsia="zh-CN"/>
                    </w:rPr>
                    <w:t>；一层设置餐厅、厨房、办公室、应急救援器材库、消防监控室；</w:t>
                  </w:r>
                </w:p>
                <w:p>
                  <w:pPr>
                    <w:pStyle w:val="22"/>
                    <w:bidi w:val="0"/>
                    <w:rPr>
                      <w:rFonts w:hint="default"/>
                      <w:lang w:val="en-US" w:eastAsia="zh-CN"/>
                    </w:rPr>
                  </w:pPr>
                  <w:r>
                    <w:rPr>
                      <w:rFonts w:hint="eastAsia"/>
                      <w:lang w:val="en-US" w:eastAsia="zh-CN"/>
                    </w:rPr>
                    <w:t>二层设置办公室、倒班房、档案室。</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生活污水、生活垃圾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default"/>
                      <w:lang w:val="en-US" w:eastAsia="zh-CN"/>
                    </w:rPr>
                  </w:pPr>
                </w:p>
              </w:tc>
              <w:tc>
                <w:tcPr>
                  <w:tcW w:w="638" w:type="pct"/>
                  <w:noWrap w:val="0"/>
                  <w:vAlign w:val="center"/>
                </w:tcPr>
                <w:p>
                  <w:pPr>
                    <w:pStyle w:val="22"/>
                    <w:bidi w:val="0"/>
                    <w:rPr>
                      <w:rFonts w:hint="eastAsia"/>
                      <w:lang w:val="en-US" w:eastAsia="zh-CN"/>
                    </w:rPr>
                  </w:pPr>
                  <w:r>
                    <w:rPr>
                      <w:rFonts w:hint="eastAsia"/>
                      <w:lang w:val="en-US" w:eastAsia="zh-CN"/>
                    </w:rPr>
                    <w:t>洗车车间</w:t>
                  </w:r>
                </w:p>
              </w:tc>
              <w:tc>
                <w:tcPr>
                  <w:tcW w:w="2542" w:type="pct"/>
                  <w:noWrap w:val="0"/>
                  <w:vAlign w:val="center"/>
                </w:tcPr>
                <w:p>
                  <w:pPr>
                    <w:pStyle w:val="22"/>
                    <w:bidi w:val="0"/>
                    <w:rPr>
                      <w:rFonts w:hint="default"/>
                      <w:lang w:val="en-US" w:eastAsia="zh-CN"/>
                    </w:rPr>
                  </w:pPr>
                  <w:r>
                    <w:rPr>
                      <w:rFonts w:hint="eastAsia"/>
                      <w:lang w:val="en-US" w:eastAsia="zh-CN"/>
                    </w:rPr>
                    <w:t>位于停车区北侧，建筑面积360m</w:t>
                  </w:r>
                  <w:r>
                    <w:rPr>
                      <w:rFonts w:hint="eastAsia"/>
                      <w:vertAlign w:val="superscript"/>
                      <w:lang w:val="en-US" w:eastAsia="zh-CN"/>
                    </w:rPr>
                    <w:t>2</w:t>
                  </w:r>
                  <w:r>
                    <w:rPr>
                      <w:rFonts w:hint="eastAsia"/>
                      <w:lang w:val="en-US" w:eastAsia="zh-CN"/>
                    </w:rPr>
                    <w:t>，共设置2个洗车工位，用作运输车辆外观清洗。</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废水、噪声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default"/>
                      <w:lang w:val="en-US" w:eastAsia="zh-CN"/>
                    </w:rPr>
                  </w:pPr>
                </w:p>
              </w:tc>
              <w:tc>
                <w:tcPr>
                  <w:tcW w:w="638" w:type="pct"/>
                  <w:noWrap w:val="0"/>
                  <w:vAlign w:val="center"/>
                </w:tcPr>
                <w:p>
                  <w:pPr>
                    <w:pStyle w:val="22"/>
                    <w:bidi w:val="0"/>
                    <w:rPr>
                      <w:rFonts w:hint="eastAsia"/>
                      <w:lang w:val="en-US" w:eastAsia="zh-CN"/>
                    </w:rPr>
                  </w:pPr>
                  <w:r>
                    <w:rPr>
                      <w:rFonts w:hint="eastAsia"/>
                      <w:lang w:val="en-US" w:eastAsia="zh-CN"/>
                    </w:rPr>
                    <w:t>侯检中心</w:t>
                  </w:r>
                </w:p>
              </w:tc>
              <w:tc>
                <w:tcPr>
                  <w:tcW w:w="2542" w:type="pct"/>
                  <w:noWrap w:val="0"/>
                  <w:vAlign w:val="center"/>
                </w:tcPr>
                <w:p>
                  <w:pPr>
                    <w:pStyle w:val="22"/>
                    <w:bidi w:val="0"/>
                    <w:rPr>
                      <w:rFonts w:hint="eastAsia"/>
                      <w:lang w:val="en-US" w:eastAsia="zh-CN"/>
                    </w:rPr>
                  </w:pPr>
                  <w:r>
                    <w:rPr>
                      <w:rFonts w:hint="eastAsia"/>
                      <w:lang w:val="en-US" w:eastAsia="zh-CN"/>
                    </w:rPr>
                    <w:t>位于停车区西侧，建筑面积256.54m</w:t>
                  </w:r>
                  <w:r>
                    <w:rPr>
                      <w:rFonts w:hint="eastAsia"/>
                      <w:vertAlign w:val="superscript"/>
                      <w:lang w:val="en-US" w:eastAsia="zh-CN"/>
                    </w:rPr>
                    <w:t>2</w:t>
                  </w:r>
                  <w:r>
                    <w:rPr>
                      <w:rFonts w:hint="eastAsia"/>
                      <w:lang w:val="en-US" w:eastAsia="zh-CN"/>
                    </w:rPr>
                    <w:t>，用作槽罐车运输介质、槽罐车外观、安全阀、泄压装置等检查。</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噪声、车辆废气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default"/>
                      <w:lang w:val="en-US" w:eastAsia="zh-CN"/>
                    </w:rPr>
                  </w:pPr>
                </w:p>
              </w:tc>
              <w:tc>
                <w:tcPr>
                  <w:tcW w:w="638" w:type="pct"/>
                  <w:noWrap w:val="0"/>
                  <w:vAlign w:val="center"/>
                </w:tcPr>
                <w:p>
                  <w:pPr>
                    <w:pStyle w:val="22"/>
                    <w:bidi w:val="0"/>
                    <w:rPr>
                      <w:rFonts w:hint="default"/>
                      <w:lang w:val="en-US" w:eastAsia="zh-CN"/>
                    </w:rPr>
                  </w:pPr>
                  <w:r>
                    <w:rPr>
                      <w:rFonts w:hint="eastAsia"/>
                      <w:lang w:val="en-US" w:eastAsia="zh-CN"/>
                    </w:rPr>
                    <w:t>消防水池</w:t>
                  </w:r>
                </w:p>
              </w:tc>
              <w:tc>
                <w:tcPr>
                  <w:tcW w:w="2542" w:type="pct"/>
                  <w:noWrap w:val="0"/>
                  <w:vAlign w:val="center"/>
                </w:tcPr>
                <w:p>
                  <w:pPr>
                    <w:pStyle w:val="22"/>
                    <w:bidi w:val="0"/>
                    <w:rPr>
                      <w:rFonts w:hint="default"/>
                      <w:lang w:val="en-US" w:eastAsia="zh-CN"/>
                    </w:rPr>
                  </w:pPr>
                  <w:r>
                    <w:rPr>
                      <w:rFonts w:hint="eastAsia"/>
                      <w:lang w:val="en-US" w:eastAsia="zh-CN"/>
                    </w:rPr>
                    <w:t>设置2个消防水池，位于地下一层，容积分别为196.03m</w:t>
                  </w:r>
                  <w:r>
                    <w:rPr>
                      <w:rFonts w:hint="eastAsia"/>
                      <w:vertAlign w:val="superscript"/>
                      <w:lang w:val="en-US" w:eastAsia="zh-CN"/>
                    </w:rPr>
                    <w:t>3</w:t>
                  </w:r>
                  <w:r>
                    <w:rPr>
                      <w:rFonts w:hint="eastAsia"/>
                      <w:lang w:val="en-US" w:eastAsia="zh-CN"/>
                    </w:rPr>
                    <w:t>，196.08m</w:t>
                  </w:r>
                  <w:r>
                    <w:rPr>
                      <w:rFonts w:hint="eastAsia"/>
                      <w:vertAlign w:val="superscript"/>
                      <w:lang w:val="en-US" w:eastAsia="zh-CN"/>
                    </w:rPr>
                    <w:t>3</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default"/>
                      <w:lang w:val="en-US" w:eastAsia="zh-CN"/>
                    </w:rPr>
                  </w:pPr>
                </w:p>
              </w:tc>
              <w:tc>
                <w:tcPr>
                  <w:tcW w:w="638" w:type="pct"/>
                  <w:noWrap w:val="0"/>
                  <w:vAlign w:val="center"/>
                </w:tcPr>
                <w:p>
                  <w:pPr>
                    <w:pStyle w:val="22"/>
                    <w:bidi w:val="0"/>
                    <w:rPr>
                      <w:rFonts w:hint="default"/>
                      <w:lang w:val="en-US" w:eastAsia="zh-CN"/>
                    </w:rPr>
                  </w:pPr>
                  <w:r>
                    <w:rPr>
                      <w:rFonts w:hint="eastAsia"/>
                      <w:lang w:val="en-US" w:eastAsia="zh-CN"/>
                    </w:rPr>
                    <w:t>消防水泵房</w:t>
                  </w:r>
                </w:p>
              </w:tc>
              <w:tc>
                <w:tcPr>
                  <w:tcW w:w="2542" w:type="pct"/>
                  <w:noWrap w:val="0"/>
                  <w:vAlign w:val="center"/>
                </w:tcPr>
                <w:p>
                  <w:pPr>
                    <w:pStyle w:val="22"/>
                    <w:bidi w:val="0"/>
                    <w:rPr>
                      <w:rFonts w:hint="default"/>
                      <w:lang w:val="en-US" w:eastAsia="zh-CN"/>
                    </w:rPr>
                  </w:pPr>
                  <w:r>
                    <w:rPr>
                      <w:rFonts w:hint="eastAsia"/>
                      <w:lang w:val="en-US" w:eastAsia="zh-CN"/>
                    </w:rPr>
                    <w:t>位于地下一层，建筑面积为80.73m</w:t>
                  </w:r>
                  <w:r>
                    <w:rPr>
                      <w:rFonts w:hint="eastAsia"/>
                      <w:vertAlign w:val="subscript"/>
                      <w:lang w:val="en-US" w:eastAsia="zh-CN"/>
                    </w:rPr>
                    <w:t>2</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default"/>
                      <w:lang w:val="en-US" w:eastAsia="zh-CN"/>
                    </w:rPr>
                  </w:pPr>
                </w:p>
              </w:tc>
              <w:tc>
                <w:tcPr>
                  <w:tcW w:w="638" w:type="pct"/>
                  <w:noWrap w:val="0"/>
                  <w:vAlign w:val="center"/>
                </w:tcPr>
                <w:p>
                  <w:pPr>
                    <w:pStyle w:val="22"/>
                    <w:bidi w:val="0"/>
                    <w:rPr>
                      <w:rFonts w:hint="default"/>
                      <w:lang w:val="en-US" w:eastAsia="zh-CN"/>
                    </w:rPr>
                  </w:pPr>
                  <w:r>
                    <w:rPr>
                      <w:rFonts w:hint="eastAsia"/>
                      <w:lang w:val="en-US" w:eastAsia="zh-CN"/>
                    </w:rPr>
                    <w:t>发电机房</w:t>
                  </w:r>
                </w:p>
              </w:tc>
              <w:tc>
                <w:tcPr>
                  <w:tcW w:w="2542" w:type="pct"/>
                  <w:noWrap w:val="0"/>
                  <w:vAlign w:val="center"/>
                </w:tcPr>
                <w:p>
                  <w:pPr>
                    <w:pStyle w:val="22"/>
                    <w:bidi w:val="0"/>
                    <w:rPr>
                      <w:rFonts w:hint="default"/>
                      <w:lang w:val="en-US" w:eastAsia="zh-CN"/>
                    </w:rPr>
                  </w:pPr>
                  <w:r>
                    <w:rPr>
                      <w:rFonts w:hint="eastAsia"/>
                      <w:lang w:val="en-US" w:eastAsia="zh-CN"/>
                    </w:rPr>
                    <w:t>位于地下一层，建筑面积为38.13m</w:t>
                  </w:r>
                  <w:r>
                    <w:rPr>
                      <w:rFonts w:hint="eastAsia"/>
                      <w:vertAlign w:val="superscript"/>
                      <w:lang w:val="en-US" w:eastAsia="zh-CN"/>
                    </w:rPr>
                    <w:t>2</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噪声、废气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restart"/>
                  <w:noWrap w:val="0"/>
                  <w:vAlign w:val="center"/>
                </w:tcPr>
                <w:p>
                  <w:pPr>
                    <w:pStyle w:val="22"/>
                    <w:bidi w:val="0"/>
                    <w:rPr>
                      <w:rFonts w:hint="default"/>
                      <w:lang w:val="en-US" w:eastAsia="zh-CN"/>
                    </w:rPr>
                  </w:pPr>
                  <w:r>
                    <w:rPr>
                      <w:rFonts w:hint="eastAsia"/>
                      <w:lang w:val="en-US" w:eastAsia="zh-CN"/>
                    </w:rPr>
                    <w:t>消防站</w:t>
                  </w:r>
                </w:p>
              </w:tc>
              <w:tc>
                <w:tcPr>
                  <w:tcW w:w="638" w:type="pct"/>
                  <w:noWrap w:val="0"/>
                  <w:vAlign w:val="center"/>
                </w:tcPr>
                <w:p>
                  <w:pPr>
                    <w:pStyle w:val="22"/>
                    <w:bidi w:val="0"/>
                    <w:rPr>
                      <w:rFonts w:hint="default"/>
                      <w:lang w:val="en-US" w:eastAsia="zh-CN"/>
                    </w:rPr>
                  </w:pPr>
                  <w:r>
                    <w:rPr>
                      <w:rFonts w:hint="eastAsia"/>
                      <w:lang w:val="en-US" w:eastAsia="zh-CN"/>
                    </w:rPr>
                    <w:t>消防站</w:t>
                  </w:r>
                </w:p>
              </w:tc>
              <w:tc>
                <w:tcPr>
                  <w:tcW w:w="2542" w:type="pct"/>
                  <w:noWrap w:val="0"/>
                  <w:vAlign w:val="center"/>
                </w:tcPr>
                <w:p>
                  <w:pPr>
                    <w:pStyle w:val="22"/>
                    <w:bidi w:val="0"/>
                    <w:rPr>
                      <w:rFonts w:hint="eastAsia"/>
                      <w:lang w:val="en-US" w:eastAsia="zh-CN"/>
                    </w:rPr>
                  </w:pPr>
                  <w:r>
                    <w:rPr>
                      <w:rFonts w:hint="eastAsia"/>
                      <w:lang w:val="en-US" w:eastAsia="zh-CN"/>
                    </w:rPr>
                    <w:t>位于消防站南侧，建筑面积3245.98m</w:t>
                  </w:r>
                  <w:r>
                    <w:rPr>
                      <w:rFonts w:hint="eastAsia"/>
                      <w:vertAlign w:val="superscript"/>
                      <w:lang w:val="en-US" w:eastAsia="zh-CN"/>
                    </w:rPr>
                    <w:t>2</w:t>
                  </w:r>
                  <w:r>
                    <w:rPr>
                      <w:rFonts w:hint="eastAsia"/>
                      <w:lang w:val="en-US" w:eastAsia="zh-CN"/>
                    </w:rPr>
                    <w:t>,一层设置器材修理室、厨房、餐厅、消防车库、器材库、接警中心等；</w:t>
                  </w:r>
                </w:p>
                <w:p>
                  <w:pPr>
                    <w:pStyle w:val="22"/>
                    <w:bidi w:val="0"/>
                    <w:rPr>
                      <w:rFonts w:hint="eastAsia"/>
                      <w:lang w:val="en-US" w:eastAsia="zh-CN"/>
                    </w:rPr>
                  </w:pPr>
                  <w:r>
                    <w:rPr>
                      <w:rFonts w:hint="eastAsia"/>
                      <w:lang w:val="en-US" w:eastAsia="zh-CN"/>
                    </w:rPr>
                    <w:t>二层设置备勤室等。</w:t>
                  </w:r>
                </w:p>
                <w:p>
                  <w:pPr>
                    <w:pStyle w:val="22"/>
                    <w:bidi w:val="0"/>
                    <w:rPr>
                      <w:rFonts w:hint="default"/>
                      <w:lang w:val="en-US" w:eastAsia="zh-CN"/>
                    </w:rPr>
                  </w:pPr>
                  <w:r>
                    <w:rPr>
                      <w:rFonts w:hint="eastAsia"/>
                      <w:lang w:val="en-US" w:eastAsia="zh-CN"/>
                    </w:rPr>
                    <w:t>三层设置晾衣室、理发室、亲属探亲用房、心理辅导室、医务室、财务室、档案室、健身房、图书阅览室、俱乐部、影音室等。</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生活污水、生活垃圾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eastAsia"/>
                      <w:lang w:val="en-US" w:eastAsia="zh-CN"/>
                    </w:rPr>
                  </w:pPr>
                </w:p>
              </w:tc>
              <w:tc>
                <w:tcPr>
                  <w:tcW w:w="638" w:type="pct"/>
                  <w:noWrap w:val="0"/>
                  <w:vAlign w:val="center"/>
                </w:tcPr>
                <w:p>
                  <w:pPr>
                    <w:pStyle w:val="22"/>
                    <w:bidi w:val="0"/>
                    <w:rPr>
                      <w:rFonts w:hint="default"/>
                      <w:lang w:val="en-US" w:eastAsia="zh-CN"/>
                    </w:rPr>
                  </w:pPr>
                  <w:r>
                    <w:rPr>
                      <w:rFonts w:hint="eastAsia"/>
                      <w:lang w:val="en-US" w:eastAsia="zh-CN"/>
                    </w:rPr>
                    <w:t>训练塔</w:t>
                  </w:r>
                </w:p>
              </w:tc>
              <w:tc>
                <w:tcPr>
                  <w:tcW w:w="2542" w:type="pct"/>
                  <w:noWrap w:val="0"/>
                  <w:vAlign w:val="center"/>
                </w:tcPr>
                <w:p>
                  <w:pPr>
                    <w:pStyle w:val="22"/>
                    <w:bidi w:val="0"/>
                    <w:rPr>
                      <w:rFonts w:hint="default"/>
                      <w:lang w:val="en-US" w:eastAsia="zh-CN"/>
                    </w:rPr>
                  </w:pPr>
                  <w:r>
                    <w:rPr>
                      <w:rFonts w:hint="eastAsia"/>
                      <w:lang w:val="en-US" w:eastAsia="zh-CN"/>
                    </w:rPr>
                    <w:t>位于消防站北侧，建筑面积158.76m</w:t>
                  </w:r>
                  <w:r>
                    <w:rPr>
                      <w:rFonts w:hint="eastAsia"/>
                      <w:vertAlign w:val="superscript"/>
                      <w:lang w:val="en-US" w:eastAsia="zh-CN"/>
                    </w:rPr>
                    <w:t>2</w:t>
                  </w:r>
                  <w:r>
                    <w:rPr>
                      <w:rFonts w:hint="eastAsia"/>
                      <w:lang w:val="en-US" w:eastAsia="zh-CN"/>
                    </w:rPr>
                    <w:t>,主要布设攀岩训练场、器械训练场、基础训练场。</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eastAsia"/>
                      <w:lang w:val="en-US" w:eastAsia="zh-CN"/>
                    </w:rPr>
                  </w:pPr>
                </w:p>
              </w:tc>
              <w:tc>
                <w:tcPr>
                  <w:tcW w:w="638" w:type="pct"/>
                  <w:noWrap w:val="0"/>
                  <w:vAlign w:val="center"/>
                </w:tcPr>
                <w:p>
                  <w:pPr>
                    <w:pStyle w:val="22"/>
                    <w:bidi w:val="0"/>
                    <w:rPr>
                      <w:rFonts w:hint="default"/>
                      <w:lang w:val="en-US" w:eastAsia="zh-CN"/>
                    </w:rPr>
                  </w:pPr>
                  <w:r>
                    <w:rPr>
                      <w:rFonts w:hint="eastAsia"/>
                      <w:lang w:val="en-US" w:eastAsia="zh-CN"/>
                    </w:rPr>
                    <w:t>特勤楼</w:t>
                  </w:r>
                </w:p>
              </w:tc>
              <w:tc>
                <w:tcPr>
                  <w:tcW w:w="2542" w:type="pct"/>
                  <w:noWrap w:val="0"/>
                  <w:vAlign w:val="center"/>
                </w:tcPr>
                <w:p>
                  <w:pPr>
                    <w:pStyle w:val="22"/>
                    <w:bidi w:val="0"/>
                    <w:rPr>
                      <w:rFonts w:hint="eastAsia"/>
                      <w:lang w:val="en-US" w:eastAsia="zh-CN"/>
                    </w:rPr>
                  </w:pPr>
                  <w:r>
                    <w:rPr>
                      <w:rFonts w:hint="eastAsia"/>
                      <w:lang w:val="en-US" w:eastAsia="zh-CN"/>
                    </w:rPr>
                    <w:t>位于消防站中部，建筑面积1160m</w:t>
                  </w:r>
                  <w:r>
                    <w:rPr>
                      <w:rFonts w:hint="eastAsia"/>
                      <w:vertAlign w:val="superscript"/>
                      <w:lang w:val="en-US" w:eastAsia="zh-CN"/>
                    </w:rPr>
                    <w:t>2</w:t>
                  </w:r>
                  <w:r>
                    <w:rPr>
                      <w:rFonts w:hint="eastAsia"/>
                      <w:lang w:val="en-US" w:eastAsia="zh-CN"/>
                    </w:rPr>
                    <w:t>,一层主要设置停车库、执勤器材库、训练器材库；</w:t>
                  </w:r>
                </w:p>
                <w:p>
                  <w:pPr>
                    <w:pStyle w:val="22"/>
                    <w:bidi w:val="0"/>
                    <w:rPr>
                      <w:rFonts w:hint="default"/>
                      <w:lang w:val="en-US" w:eastAsia="zh-CN"/>
                    </w:rPr>
                  </w:pPr>
                  <w:r>
                    <w:rPr>
                      <w:rFonts w:hint="eastAsia"/>
                      <w:lang w:val="en-US" w:eastAsia="zh-CN"/>
                    </w:rPr>
                    <w:t>二层主要设置备勤室、盥洗室、学习室等。</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eastAsia="zh-CN"/>
                    </w:rPr>
                  </w:pPr>
                  <w:r>
                    <w:rPr>
                      <w:rFonts w:hint="eastAsia"/>
                      <w:lang w:val="en-US" w:eastAsia="zh-CN"/>
                    </w:rPr>
                    <w:t>生活污水、生活垃圾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eastAsia"/>
                      <w:lang w:val="en-US" w:eastAsia="zh-CN"/>
                    </w:rPr>
                  </w:pPr>
                </w:p>
              </w:tc>
              <w:tc>
                <w:tcPr>
                  <w:tcW w:w="638" w:type="pct"/>
                  <w:noWrap w:val="0"/>
                  <w:vAlign w:val="center"/>
                </w:tcPr>
                <w:p>
                  <w:pPr>
                    <w:pStyle w:val="22"/>
                    <w:bidi w:val="0"/>
                    <w:rPr>
                      <w:rFonts w:hint="default"/>
                      <w:lang w:val="en-US" w:eastAsia="zh-CN"/>
                    </w:rPr>
                  </w:pPr>
                  <w:r>
                    <w:rPr>
                      <w:rFonts w:hint="eastAsia"/>
                      <w:lang w:val="en-US" w:eastAsia="zh-CN"/>
                    </w:rPr>
                    <w:t>门卫室</w:t>
                  </w:r>
                </w:p>
              </w:tc>
              <w:tc>
                <w:tcPr>
                  <w:tcW w:w="2542" w:type="pct"/>
                  <w:noWrap w:val="0"/>
                  <w:vAlign w:val="center"/>
                </w:tcPr>
                <w:p>
                  <w:pPr>
                    <w:pStyle w:val="22"/>
                    <w:bidi w:val="0"/>
                    <w:rPr>
                      <w:rFonts w:hint="eastAsia"/>
                      <w:lang w:val="en-US" w:eastAsia="zh-CN"/>
                    </w:rPr>
                  </w:pPr>
                  <w:r>
                    <w:rPr>
                      <w:rFonts w:hint="eastAsia"/>
                      <w:lang w:val="en-US" w:eastAsia="zh-CN"/>
                    </w:rPr>
                    <w:t>位于消防站南侧，建筑面积24m</w:t>
                  </w:r>
                  <w:r>
                    <w:rPr>
                      <w:rFonts w:hint="eastAsia"/>
                      <w:vertAlign w:val="superscript"/>
                      <w:lang w:val="en-US" w:eastAsia="zh-CN"/>
                    </w:rPr>
                    <w:t>2</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eastAsia"/>
                      <w:lang w:val="en-US" w:eastAsia="zh-CN"/>
                    </w:rPr>
                  </w:pPr>
                </w:p>
              </w:tc>
              <w:tc>
                <w:tcPr>
                  <w:tcW w:w="638" w:type="pct"/>
                  <w:noWrap w:val="0"/>
                  <w:vAlign w:val="center"/>
                </w:tcPr>
                <w:p>
                  <w:pPr>
                    <w:pStyle w:val="22"/>
                    <w:bidi w:val="0"/>
                    <w:rPr>
                      <w:rFonts w:hint="default"/>
                      <w:lang w:val="en-US" w:eastAsia="zh-CN"/>
                    </w:rPr>
                  </w:pPr>
                  <w:r>
                    <w:rPr>
                      <w:rFonts w:hint="eastAsia"/>
                      <w:lang w:val="en-US" w:eastAsia="zh-CN"/>
                    </w:rPr>
                    <w:t>消防水池</w:t>
                  </w:r>
                </w:p>
              </w:tc>
              <w:tc>
                <w:tcPr>
                  <w:tcW w:w="2542" w:type="pct"/>
                  <w:noWrap w:val="0"/>
                  <w:vAlign w:val="center"/>
                </w:tcPr>
                <w:p>
                  <w:pPr>
                    <w:pStyle w:val="22"/>
                    <w:bidi w:val="0"/>
                    <w:rPr>
                      <w:rFonts w:hint="default"/>
                      <w:lang w:val="en-US" w:eastAsia="zh-CN"/>
                    </w:rPr>
                  </w:pPr>
                  <w:r>
                    <w:rPr>
                      <w:rFonts w:hint="eastAsia"/>
                      <w:lang w:val="en-US" w:eastAsia="zh-CN"/>
                    </w:rPr>
                    <w:t>位于地下一层，容积为198.16m</w:t>
                  </w:r>
                  <w:r>
                    <w:rPr>
                      <w:rFonts w:hint="eastAsia"/>
                      <w:vertAlign w:val="superscript"/>
                      <w:lang w:val="en-US" w:eastAsia="zh-CN"/>
                    </w:rPr>
                    <w:t>3</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eastAsia"/>
                      <w:lang w:val="en-US" w:eastAsia="zh-CN"/>
                    </w:rPr>
                  </w:pPr>
                </w:p>
              </w:tc>
              <w:tc>
                <w:tcPr>
                  <w:tcW w:w="638" w:type="pct"/>
                  <w:noWrap w:val="0"/>
                  <w:vAlign w:val="center"/>
                </w:tcPr>
                <w:p>
                  <w:pPr>
                    <w:pStyle w:val="22"/>
                    <w:bidi w:val="0"/>
                    <w:rPr>
                      <w:rFonts w:hint="eastAsia"/>
                      <w:lang w:val="en-US" w:eastAsia="zh-CN"/>
                    </w:rPr>
                  </w:pPr>
                  <w:r>
                    <w:rPr>
                      <w:rFonts w:hint="eastAsia"/>
                      <w:lang w:val="en-US" w:eastAsia="zh-CN"/>
                    </w:rPr>
                    <w:t>消防水泵房</w:t>
                  </w:r>
                </w:p>
              </w:tc>
              <w:tc>
                <w:tcPr>
                  <w:tcW w:w="2542" w:type="pct"/>
                  <w:noWrap w:val="0"/>
                  <w:vAlign w:val="center"/>
                </w:tcPr>
                <w:p>
                  <w:pPr>
                    <w:pStyle w:val="22"/>
                    <w:bidi w:val="0"/>
                    <w:rPr>
                      <w:rFonts w:hint="eastAsia"/>
                      <w:lang w:val="en-US" w:eastAsia="zh-CN"/>
                    </w:rPr>
                  </w:pPr>
                  <w:r>
                    <w:rPr>
                      <w:rFonts w:hint="eastAsia"/>
                      <w:lang w:val="en-US" w:eastAsia="zh-CN"/>
                    </w:rPr>
                    <w:t>位于地下一层，建筑面积为81.38m</w:t>
                  </w:r>
                  <w:r>
                    <w:rPr>
                      <w:rFonts w:hint="eastAsia"/>
                      <w:vertAlign w:val="superscript"/>
                      <w:lang w:val="en-US" w:eastAsia="zh-CN"/>
                    </w:rPr>
                    <w:t>2</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default"/>
                      <w:lang w:eastAsia="zh-CN"/>
                    </w:rPr>
                  </w:pPr>
                </w:p>
              </w:tc>
              <w:tc>
                <w:tcPr>
                  <w:tcW w:w="283" w:type="pct"/>
                  <w:vMerge w:val="continue"/>
                  <w:noWrap w:val="0"/>
                  <w:vAlign w:val="center"/>
                </w:tcPr>
                <w:p>
                  <w:pPr>
                    <w:pStyle w:val="22"/>
                    <w:bidi w:val="0"/>
                    <w:rPr>
                      <w:rFonts w:hint="eastAsia"/>
                      <w:lang w:val="en-US" w:eastAsia="zh-CN"/>
                    </w:rPr>
                  </w:pPr>
                </w:p>
              </w:tc>
              <w:tc>
                <w:tcPr>
                  <w:tcW w:w="638" w:type="pct"/>
                  <w:noWrap w:val="0"/>
                  <w:vAlign w:val="center"/>
                </w:tcPr>
                <w:p>
                  <w:pPr>
                    <w:pStyle w:val="22"/>
                    <w:bidi w:val="0"/>
                    <w:rPr>
                      <w:rFonts w:hint="default"/>
                      <w:lang w:val="en-US" w:eastAsia="zh-CN"/>
                    </w:rPr>
                  </w:pPr>
                  <w:r>
                    <w:rPr>
                      <w:rFonts w:hint="eastAsia"/>
                      <w:lang w:val="en-US" w:eastAsia="zh-CN"/>
                    </w:rPr>
                    <w:t>柴油发电机房</w:t>
                  </w:r>
                </w:p>
              </w:tc>
              <w:tc>
                <w:tcPr>
                  <w:tcW w:w="2542" w:type="pct"/>
                  <w:noWrap w:val="0"/>
                  <w:vAlign w:val="center"/>
                </w:tcPr>
                <w:p>
                  <w:pPr>
                    <w:pStyle w:val="22"/>
                    <w:bidi w:val="0"/>
                    <w:rPr>
                      <w:rFonts w:hint="default"/>
                      <w:lang w:val="en-US" w:eastAsia="zh-CN"/>
                    </w:rPr>
                  </w:pPr>
                  <w:r>
                    <w:rPr>
                      <w:rFonts w:hint="eastAsia"/>
                      <w:lang w:val="en-US" w:eastAsia="zh-CN"/>
                    </w:rPr>
                    <w:t>位于地下一层，建筑面积为44.02m</w:t>
                  </w:r>
                  <w:r>
                    <w:rPr>
                      <w:rFonts w:hint="eastAsia"/>
                      <w:vertAlign w:val="superscript"/>
                      <w:lang w:val="en-US" w:eastAsia="zh-CN"/>
                    </w:rPr>
                    <w:t>2</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噪声、废气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restart"/>
                  <w:noWrap w:val="0"/>
                  <w:vAlign w:val="center"/>
                </w:tcPr>
                <w:p>
                  <w:pPr>
                    <w:pStyle w:val="22"/>
                    <w:bidi w:val="0"/>
                    <w:rPr>
                      <w:rFonts w:hint="default"/>
                      <w:lang w:val="en-US" w:eastAsia="zh-CN"/>
                    </w:rPr>
                  </w:pPr>
                  <w:r>
                    <w:rPr>
                      <w:rFonts w:hint="eastAsia"/>
                      <w:lang w:val="en-US" w:eastAsia="zh-CN"/>
                    </w:rPr>
                    <w:t>公用工程</w:t>
                  </w:r>
                </w:p>
              </w:tc>
              <w:tc>
                <w:tcPr>
                  <w:tcW w:w="921" w:type="pct"/>
                  <w:gridSpan w:val="2"/>
                  <w:noWrap w:val="0"/>
                  <w:vAlign w:val="center"/>
                </w:tcPr>
                <w:p>
                  <w:pPr>
                    <w:pStyle w:val="22"/>
                    <w:bidi w:val="0"/>
                    <w:rPr>
                      <w:rFonts w:hint="default"/>
                      <w:lang w:val="en-US" w:eastAsia="zh-CN"/>
                    </w:rPr>
                  </w:pPr>
                  <w:r>
                    <w:rPr>
                      <w:rFonts w:hint="eastAsia"/>
                      <w:lang w:val="en-US" w:eastAsia="zh-CN"/>
                    </w:rPr>
                    <w:t>供电系统</w:t>
                  </w:r>
                </w:p>
              </w:tc>
              <w:tc>
                <w:tcPr>
                  <w:tcW w:w="2542" w:type="pct"/>
                  <w:noWrap w:val="0"/>
                  <w:vAlign w:val="center"/>
                </w:tcPr>
                <w:p>
                  <w:pPr>
                    <w:pStyle w:val="22"/>
                    <w:bidi w:val="0"/>
                    <w:rPr>
                      <w:rFonts w:hint="default"/>
                      <w:lang w:eastAsia="zh-CN"/>
                    </w:rPr>
                  </w:pPr>
                  <w:r>
                    <w:rPr>
                      <w:rFonts w:hint="default"/>
                      <w:lang w:eastAsia="zh-CN"/>
                    </w:rPr>
                    <w:t>由市政电网输入</w:t>
                  </w:r>
                </w:p>
              </w:tc>
              <w:tc>
                <w:tcPr>
                  <w:tcW w:w="616" w:type="pct"/>
                  <w:vMerge w:val="continue"/>
                  <w:noWrap w:val="0"/>
                  <w:vAlign w:val="center"/>
                </w:tcPr>
                <w:p>
                  <w:pPr>
                    <w:pStyle w:val="22"/>
                    <w:bidi w:val="0"/>
                    <w:rPr>
                      <w:rFonts w:hint="default"/>
                      <w:lang w:val="en-US" w:eastAsia="zh-CN"/>
                    </w:rPr>
                  </w:pPr>
                </w:p>
              </w:tc>
              <w:tc>
                <w:tcPr>
                  <w:tcW w:w="590" w:type="pct"/>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eastAsia"/>
                      <w:lang w:val="en-US" w:eastAsia="zh-CN"/>
                    </w:rPr>
                  </w:pPr>
                </w:p>
              </w:tc>
              <w:tc>
                <w:tcPr>
                  <w:tcW w:w="921" w:type="pct"/>
                  <w:gridSpan w:val="2"/>
                  <w:noWrap w:val="0"/>
                  <w:vAlign w:val="center"/>
                </w:tcPr>
                <w:p>
                  <w:pPr>
                    <w:pStyle w:val="22"/>
                    <w:bidi w:val="0"/>
                    <w:rPr>
                      <w:rFonts w:hint="default"/>
                      <w:lang w:val="en-US" w:eastAsia="zh-CN"/>
                    </w:rPr>
                  </w:pPr>
                  <w:r>
                    <w:rPr>
                      <w:rFonts w:hint="eastAsia"/>
                      <w:lang w:val="en-US" w:eastAsia="zh-CN"/>
                    </w:rPr>
                    <w:t>供水系统</w:t>
                  </w:r>
                </w:p>
              </w:tc>
              <w:tc>
                <w:tcPr>
                  <w:tcW w:w="2542" w:type="pct"/>
                  <w:noWrap w:val="0"/>
                  <w:vAlign w:val="center"/>
                </w:tcPr>
                <w:p>
                  <w:pPr>
                    <w:pStyle w:val="22"/>
                    <w:bidi w:val="0"/>
                    <w:rPr>
                      <w:rFonts w:hint="default"/>
                      <w:lang w:eastAsia="zh-CN"/>
                    </w:rPr>
                  </w:pPr>
                  <w:r>
                    <w:rPr>
                      <w:rFonts w:hint="default"/>
                      <w:lang w:eastAsia="zh-CN"/>
                    </w:rPr>
                    <w:t>本项目供水水源为市政供水</w:t>
                  </w:r>
                </w:p>
              </w:tc>
              <w:tc>
                <w:tcPr>
                  <w:tcW w:w="616" w:type="pct"/>
                  <w:vMerge w:val="continue"/>
                  <w:noWrap w:val="0"/>
                  <w:vAlign w:val="center"/>
                </w:tcPr>
                <w:p>
                  <w:pPr>
                    <w:pStyle w:val="22"/>
                    <w:bidi w:val="0"/>
                    <w:rPr>
                      <w:rFonts w:hint="default"/>
                      <w:lang w:val="en-US" w:eastAsia="zh-CN"/>
                    </w:rPr>
                  </w:pPr>
                </w:p>
              </w:tc>
              <w:tc>
                <w:tcPr>
                  <w:tcW w:w="590" w:type="pct"/>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eastAsia"/>
                      <w:lang w:val="en-US" w:eastAsia="zh-CN"/>
                    </w:rPr>
                  </w:pPr>
                </w:p>
              </w:tc>
              <w:tc>
                <w:tcPr>
                  <w:tcW w:w="921" w:type="pct"/>
                  <w:gridSpan w:val="2"/>
                  <w:noWrap w:val="0"/>
                  <w:vAlign w:val="center"/>
                </w:tcPr>
                <w:p>
                  <w:pPr>
                    <w:pStyle w:val="22"/>
                    <w:bidi w:val="0"/>
                    <w:rPr>
                      <w:rFonts w:hint="default"/>
                      <w:lang w:val="en-US" w:eastAsia="zh-CN"/>
                    </w:rPr>
                  </w:pPr>
                  <w:r>
                    <w:rPr>
                      <w:rFonts w:hint="eastAsia"/>
                      <w:lang w:val="en-US" w:eastAsia="zh-CN"/>
                    </w:rPr>
                    <w:t>排水系统</w:t>
                  </w:r>
                </w:p>
              </w:tc>
              <w:tc>
                <w:tcPr>
                  <w:tcW w:w="2542" w:type="pct"/>
                  <w:noWrap w:val="0"/>
                  <w:vAlign w:val="center"/>
                </w:tcPr>
                <w:p>
                  <w:pPr>
                    <w:pStyle w:val="22"/>
                    <w:bidi w:val="0"/>
                    <w:rPr>
                      <w:rFonts w:hint="default"/>
                      <w:lang w:eastAsia="zh-CN"/>
                    </w:rPr>
                  </w:pPr>
                  <w:r>
                    <w:rPr>
                      <w:rFonts w:hint="default"/>
                      <w:lang w:eastAsia="zh-CN"/>
                    </w:rPr>
                    <w:t>实行雨污分流，雨水经建筑边沟和雨水口收集，排入园区雨水收集系统，生活污水</w:t>
                  </w:r>
                  <w:r>
                    <w:rPr>
                      <w:rFonts w:hint="eastAsia"/>
                      <w:lang w:eastAsia="zh-CN"/>
                    </w:rPr>
                    <w:t>、</w:t>
                  </w:r>
                  <w:r>
                    <w:rPr>
                      <w:rFonts w:hint="eastAsia"/>
                      <w:lang w:val="en-US" w:eastAsia="zh-CN"/>
                    </w:rPr>
                    <w:t>生产废水</w:t>
                  </w:r>
                  <w:r>
                    <w:rPr>
                      <w:rFonts w:hint="default"/>
                      <w:lang w:eastAsia="zh-CN"/>
                    </w:rPr>
                    <w:t>经</w:t>
                  </w:r>
                  <w:r>
                    <w:rPr>
                      <w:rFonts w:hint="eastAsia"/>
                      <w:lang w:val="en-US" w:eastAsia="zh-CN"/>
                    </w:rPr>
                    <w:t>一体化污水处理设施</w:t>
                  </w:r>
                  <w:r>
                    <w:rPr>
                      <w:rFonts w:hint="default"/>
                      <w:lang w:eastAsia="zh-CN"/>
                    </w:rPr>
                    <w:t>处理达到《污水综合排放标准》（GB8978-1996）表4中三级标准后由园区污水管网</w:t>
                  </w:r>
                  <w:r>
                    <w:rPr>
                      <w:rFonts w:hint="eastAsia"/>
                      <w:lang w:val="en-US" w:eastAsia="zh-CN"/>
                    </w:rPr>
                    <w:t>排到园区污水处理厂</w:t>
                  </w:r>
                  <w:r>
                    <w:rPr>
                      <w:rFonts w:hint="default"/>
                      <w:lang w:eastAsia="zh-CN"/>
                    </w:rPr>
                    <w:t>处理。</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restart"/>
                  <w:noWrap w:val="0"/>
                  <w:vAlign w:val="center"/>
                </w:tcPr>
                <w:p>
                  <w:pPr>
                    <w:pStyle w:val="22"/>
                    <w:bidi w:val="0"/>
                    <w:rPr>
                      <w:rFonts w:hint="default"/>
                      <w:lang w:val="en-US" w:eastAsia="zh-CN"/>
                    </w:rPr>
                  </w:pPr>
                  <w:r>
                    <w:rPr>
                      <w:rFonts w:hint="eastAsia"/>
                      <w:lang w:val="en-US" w:eastAsia="zh-CN"/>
                    </w:rPr>
                    <w:t>环保工程</w:t>
                  </w:r>
                </w:p>
              </w:tc>
              <w:tc>
                <w:tcPr>
                  <w:tcW w:w="921" w:type="pct"/>
                  <w:gridSpan w:val="2"/>
                  <w:noWrap w:val="0"/>
                  <w:vAlign w:val="center"/>
                </w:tcPr>
                <w:p>
                  <w:pPr>
                    <w:pStyle w:val="22"/>
                    <w:bidi w:val="0"/>
                    <w:rPr>
                      <w:rFonts w:hint="default"/>
                      <w:lang w:val="en-US" w:eastAsia="zh-CN"/>
                    </w:rPr>
                  </w:pPr>
                  <w:r>
                    <w:rPr>
                      <w:rFonts w:hint="eastAsia"/>
                      <w:lang w:val="en-US" w:eastAsia="zh-CN"/>
                    </w:rPr>
                    <w:t>废水工程</w:t>
                  </w:r>
                </w:p>
              </w:tc>
              <w:tc>
                <w:tcPr>
                  <w:tcW w:w="2542" w:type="pct"/>
                  <w:noWrap w:val="0"/>
                  <w:vAlign w:val="center"/>
                </w:tcPr>
                <w:p>
                  <w:pPr>
                    <w:pStyle w:val="22"/>
                    <w:bidi w:val="0"/>
                    <w:rPr>
                      <w:rFonts w:hint="default"/>
                      <w:lang w:val="en-US" w:eastAsia="zh-CN"/>
                    </w:rPr>
                  </w:pPr>
                  <w:r>
                    <w:rPr>
                      <w:rFonts w:hint="eastAsia"/>
                      <w:lang w:val="en-US" w:eastAsia="zh-CN"/>
                    </w:rPr>
                    <w:t>停车场：停车场清洗废水经一体化污水处理设施（处理工艺：格栅-气浮-厌氧池-缺氧池-好氧池-MBR膜）处理达标后排入园区管网；设置一座初期雨水收集池1119.6m</w:t>
                  </w:r>
                  <w:r>
                    <w:rPr>
                      <w:rFonts w:hint="eastAsia"/>
                      <w:vertAlign w:val="superscript"/>
                      <w:lang w:val="en-US" w:eastAsia="zh-CN"/>
                    </w:rPr>
                    <w:t>3</w:t>
                  </w:r>
                  <w:r>
                    <w:rPr>
                      <w:rFonts w:hint="eastAsia"/>
                      <w:lang w:val="en-US" w:eastAsia="zh-CN"/>
                    </w:rPr>
                    <w:t>（31.1m</w:t>
                  </w:r>
                  <w:r>
                    <w:rPr>
                      <w:rFonts w:hint="default" w:ascii="Arial" w:hAnsi="Arial" w:cs="Arial"/>
                      <w:lang w:val="en-US" w:eastAsia="zh-CN"/>
                    </w:rPr>
                    <w:t>×</w:t>
                  </w:r>
                  <w:r>
                    <w:rPr>
                      <w:rFonts w:hint="eastAsia"/>
                      <w:lang w:val="en-US" w:eastAsia="zh-CN"/>
                    </w:rPr>
                    <w:t>18m</w:t>
                  </w:r>
                  <w:r>
                    <w:rPr>
                      <w:rFonts w:hint="default" w:ascii="Arial" w:hAnsi="Arial" w:cs="Arial"/>
                      <w:lang w:val="en-US" w:eastAsia="zh-CN"/>
                    </w:rPr>
                    <w:t>×</w:t>
                  </w:r>
                  <w:r>
                    <w:rPr>
                      <w:rFonts w:hint="eastAsia"/>
                      <w:lang w:val="en-US" w:eastAsia="zh-CN"/>
                    </w:rPr>
                    <w:t>2m），一座事故监控水池1548m</w:t>
                  </w:r>
                  <w:r>
                    <w:rPr>
                      <w:rFonts w:hint="eastAsia"/>
                      <w:vertAlign w:val="superscript"/>
                      <w:lang w:val="en-US" w:eastAsia="zh-CN"/>
                    </w:rPr>
                    <w:t>3</w:t>
                  </w:r>
                  <w:r>
                    <w:rPr>
                      <w:rFonts w:hint="eastAsia"/>
                      <w:lang w:val="en-US" w:eastAsia="zh-CN"/>
                    </w:rPr>
                    <w:t>（43m</w:t>
                  </w:r>
                  <w:r>
                    <w:rPr>
                      <w:rFonts w:hint="default" w:ascii="Arial" w:hAnsi="Arial" w:cs="Arial"/>
                      <w:lang w:val="en-US" w:eastAsia="zh-CN"/>
                    </w:rPr>
                    <w:t>×</w:t>
                  </w:r>
                  <w:r>
                    <w:rPr>
                      <w:rFonts w:hint="eastAsia"/>
                      <w:lang w:val="en-US" w:eastAsia="zh-CN"/>
                    </w:rPr>
                    <w:t>18m</w:t>
                  </w:r>
                  <w:r>
                    <w:rPr>
                      <w:rFonts w:hint="default" w:ascii="Arial" w:hAnsi="Arial" w:cs="Arial"/>
                      <w:lang w:val="en-US" w:eastAsia="zh-CN"/>
                    </w:rPr>
                    <w:t>×</w:t>
                  </w:r>
                  <w:r>
                    <w:rPr>
                      <w:rFonts w:hint="eastAsia"/>
                      <w:lang w:val="en-US" w:eastAsia="zh-CN"/>
                    </w:rPr>
                    <w:t>2m）。生活污水经预处理池处理后排入园区管网。</w:t>
                  </w:r>
                </w:p>
                <w:p>
                  <w:pPr>
                    <w:pStyle w:val="22"/>
                    <w:bidi w:val="0"/>
                    <w:rPr>
                      <w:rFonts w:hint="default"/>
                      <w:lang w:val="en-US" w:eastAsia="zh-CN"/>
                    </w:rPr>
                  </w:pPr>
                  <w:r>
                    <w:rPr>
                      <w:rFonts w:hint="eastAsia"/>
                      <w:lang w:val="en-US" w:eastAsia="zh-CN"/>
                    </w:rPr>
                    <w:t>消防站：消防站生活污水经预处理池处理达标后排入园区管网；消防训练废水经沉淀池沉淀处理后排入园区管网</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eastAsia"/>
                      <w:lang w:val="en-US" w:eastAsia="zh-CN"/>
                    </w:rPr>
                  </w:pPr>
                </w:p>
              </w:tc>
              <w:tc>
                <w:tcPr>
                  <w:tcW w:w="921" w:type="pct"/>
                  <w:gridSpan w:val="2"/>
                  <w:noWrap w:val="0"/>
                  <w:vAlign w:val="center"/>
                </w:tcPr>
                <w:p>
                  <w:pPr>
                    <w:pStyle w:val="22"/>
                    <w:bidi w:val="0"/>
                    <w:rPr>
                      <w:rFonts w:hint="default"/>
                      <w:lang w:val="en-US" w:eastAsia="zh-CN"/>
                    </w:rPr>
                  </w:pPr>
                  <w:r>
                    <w:rPr>
                      <w:rFonts w:hint="eastAsia"/>
                      <w:lang w:val="en-US" w:eastAsia="zh-CN"/>
                    </w:rPr>
                    <w:t>废气工程</w:t>
                  </w:r>
                </w:p>
              </w:tc>
              <w:tc>
                <w:tcPr>
                  <w:tcW w:w="2542" w:type="pct"/>
                  <w:noWrap w:val="0"/>
                  <w:vAlign w:val="center"/>
                </w:tcPr>
                <w:p>
                  <w:pPr>
                    <w:pStyle w:val="22"/>
                    <w:bidi w:val="0"/>
                    <w:rPr>
                      <w:rFonts w:hint="eastAsia"/>
                      <w:lang w:eastAsia="zh-CN"/>
                    </w:rPr>
                  </w:pPr>
                  <w:r>
                    <w:rPr>
                      <w:rFonts w:hint="eastAsia"/>
                      <w:lang w:val="en-US" w:eastAsia="zh-CN"/>
                    </w:rPr>
                    <w:t>洗车场：洗罐车间设置一套</w:t>
                  </w:r>
                  <w:r>
                    <w:t>清洗罐的</w:t>
                  </w:r>
                  <w:r>
                    <w:rPr>
                      <w:rFonts w:hint="eastAsia"/>
                    </w:rPr>
                    <w:t>排气</w:t>
                  </w:r>
                  <w:r>
                    <w:t>阀与集气管相连，废气引至碱液喷淋+干式过滤棉+二级蜂窝状活性炭处理后，通过排气筒（DA001）15米高排放</w:t>
                  </w:r>
                  <w:r>
                    <w:rPr>
                      <w:rFonts w:hint="eastAsia"/>
                      <w:lang w:eastAsia="zh-CN"/>
                    </w:rPr>
                    <w:t>；</w:t>
                  </w:r>
                </w:p>
                <w:p>
                  <w:pPr>
                    <w:pStyle w:val="22"/>
                    <w:bidi w:val="0"/>
                    <w:rPr>
                      <w:rFonts w:hint="default"/>
                      <w:lang w:val="en-US" w:eastAsia="zh-CN"/>
                    </w:rPr>
                  </w:pPr>
                  <w:r>
                    <w:rPr>
                      <w:rFonts w:hint="eastAsia"/>
                      <w:lang w:val="en-US" w:eastAsia="zh-CN"/>
                    </w:rPr>
                    <w:t>消防站食堂废气：经油烟净化器收集处理后通过管道引至楼顶排放。</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废水、固废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9" w:type="pct"/>
                  <w:vMerge w:val="continue"/>
                  <w:noWrap w:val="0"/>
                  <w:vAlign w:val="center"/>
                </w:tcPr>
                <w:p>
                  <w:pPr>
                    <w:pStyle w:val="22"/>
                    <w:bidi w:val="0"/>
                    <w:rPr>
                      <w:rFonts w:hint="eastAsia"/>
                      <w:lang w:val="en-US" w:eastAsia="zh-CN"/>
                    </w:rPr>
                  </w:pPr>
                </w:p>
              </w:tc>
              <w:tc>
                <w:tcPr>
                  <w:tcW w:w="921" w:type="pct"/>
                  <w:gridSpan w:val="2"/>
                  <w:noWrap w:val="0"/>
                  <w:vAlign w:val="center"/>
                </w:tcPr>
                <w:p>
                  <w:pPr>
                    <w:pStyle w:val="22"/>
                    <w:bidi w:val="0"/>
                    <w:rPr>
                      <w:rFonts w:hint="default"/>
                      <w:lang w:val="en-US" w:eastAsia="zh-CN"/>
                    </w:rPr>
                  </w:pPr>
                  <w:r>
                    <w:rPr>
                      <w:rFonts w:hint="eastAsia"/>
                      <w:lang w:val="en-US" w:eastAsia="zh-CN"/>
                    </w:rPr>
                    <w:t>噪声工程</w:t>
                  </w:r>
                </w:p>
              </w:tc>
              <w:tc>
                <w:tcPr>
                  <w:tcW w:w="2542" w:type="pct"/>
                  <w:noWrap w:val="0"/>
                  <w:vAlign w:val="center"/>
                </w:tcPr>
                <w:p>
                  <w:pPr>
                    <w:pStyle w:val="22"/>
                    <w:bidi w:val="0"/>
                    <w:rPr>
                      <w:rFonts w:hint="default"/>
                      <w:lang w:val="en-US" w:eastAsia="zh-CN"/>
                    </w:rPr>
                  </w:pPr>
                  <w:r>
                    <w:rPr>
                      <w:rFonts w:hint="eastAsia"/>
                      <w:lang w:val="en-US" w:eastAsia="zh-CN"/>
                    </w:rPr>
                    <w:t>选用低噪声设备，加强设备维护保证正常运转，合理布局等。</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noWrap w:val="0"/>
                  <w:vAlign w:val="center"/>
                </w:tcPr>
                <w:p>
                  <w:pPr>
                    <w:pStyle w:val="22"/>
                    <w:bidi w:val="0"/>
                    <w:rPr>
                      <w:rFonts w:hint="eastAsia"/>
                      <w:lang w:val="en-US" w:eastAsia="zh-CN"/>
                    </w:rPr>
                  </w:pPr>
                </w:p>
              </w:tc>
              <w:tc>
                <w:tcPr>
                  <w:tcW w:w="921" w:type="pct"/>
                  <w:gridSpan w:val="2"/>
                  <w:noWrap w:val="0"/>
                  <w:vAlign w:val="center"/>
                </w:tcPr>
                <w:p>
                  <w:pPr>
                    <w:pStyle w:val="22"/>
                    <w:bidi w:val="0"/>
                    <w:rPr>
                      <w:rFonts w:hint="default"/>
                      <w:lang w:val="en-US" w:eastAsia="zh-CN"/>
                    </w:rPr>
                  </w:pPr>
                  <w:r>
                    <w:rPr>
                      <w:rFonts w:hint="eastAsia"/>
                      <w:lang w:val="en-US" w:eastAsia="zh-CN"/>
                    </w:rPr>
                    <w:t>固废处理</w:t>
                  </w:r>
                </w:p>
              </w:tc>
              <w:tc>
                <w:tcPr>
                  <w:tcW w:w="2542" w:type="pct"/>
                  <w:noWrap w:val="0"/>
                  <w:vAlign w:val="center"/>
                </w:tcPr>
                <w:p>
                  <w:pPr>
                    <w:pStyle w:val="22"/>
                    <w:bidi w:val="0"/>
                    <w:rPr>
                      <w:rFonts w:hint="default"/>
                      <w:lang w:val="en-US" w:eastAsia="zh-CN"/>
                    </w:rPr>
                  </w:pPr>
                  <w:r>
                    <w:rPr>
                      <w:rFonts w:hint="eastAsia"/>
                      <w:lang w:val="en-US" w:eastAsia="zh-CN"/>
                    </w:rPr>
                    <w:t>危废暂存间：面积约10m</w:t>
                  </w:r>
                  <w:r>
                    <w:rPr>
                      <w:rFonts w:hint="eastAsia"/>
                      <w:vertAlign w:val="superscript"/>
                      <w:lang w:val="en-US" w:eastAsia="zh-CN"/>
                    </w:rPr>
                    <w:t>2</w:t>
                  </w:r>
                  <w:r>
                    <w:rPr>
                      <w:rFonts w:hint="eastAsia"/>
                      <w:lang w:val="en-US" w:eastAsia="zh-CN"/>
                    </w:rPr>
                    <w:t>，位于洗罐车间内</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9" w:type="pct"/>
                  <w:vMerge w:val="continue"/>
                  <w:noWrap w:val="0"/>
                  <w:vAlign w:val="center"/>
                </w:tcPr>
                <w:p>
                  <w:pPr>
                    <w:pStyle w:val="22"/>
                    <w:bidi w:val="0"/>
                    <w:rPr>
                      <w:rFonts w:hint="eastAsia"/>
                      <w:lang w:val="en-US" w:eastAsia="zh-CN"/>
                    </w:rPr>
                  </w:pPr>
                </w:p>
              </w:tc>
              <w:tc>
                <w:tcPr>
                  <w:tcW w:w="921" w:type="pct"/>
                  <w:gridSpan w:val="2"/>
                  <w:noWrap w:val="0"/>
                  <w:vAlign w:val="center"/>
                </w:tcPr>
                <w:p>
                  <w:pPr>
                    <w:pStyle w:val="22"/>
                    <w:bidi w:val="0"/>
                    <w:rPr>
                      <w:rFonts w:hint="default"/>
                      <w:lang w:val="en-US" w:eastAsia="zh-CN"/>
                    </w:rPr>
                  </w:pPr>
                  <w:r>
                    <w:rPr>
                      <w:rFonts w:hint="eastAsia"/>
                      <w:lang w:val="en-US" w:eastAsia="zh-CN"/>
                    </w:rPr>
                    <w:t>防渗和风险防范措施</w:t>
                  </w:r>
                </w:p>
              </w:tc>
              <w:tc>
                <w:tcPr>
                  <w:tcW w:w="2542" w:type="pct"/>
                  <w:noWrap w:val="0"/>
                  <w:vAlign w:val="center"/>
                </w:tcPr>
                <w:p>
                  <w:pPr>
                    <w:pStyle w:val="30"/>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重点污染防治区（</w:t>
                  </w:r>
                  <w:r>
                    <w:rPr>
                      <w:rFonts w:hint="eastAsia"/>
                      <w:sz w:val="21"/>
                      <w:szCs w:val="21"/>
                      <w:lang w:val="en-US" w:eastAsia="zh-CN"/>
                    </w:rPr>
                    <w:t>危废暂存间、洗罐车间、污水处理站、事故池</w:t>
                  </w:r>
                  <w:r>
                    <w:rPr>
                      <w:rFonts w:hint="eastAsia" w:ascii="Times New Roman" w:hAnsi="Times New Roman" w:eastAsia="宋体" w:cs="Times New Roman"/>
                      <w:sz w:val="21"/>
                      <w:szCs w:val="21"/>
                      <w:lang w:val="en-US" w:eastAsia="zh-CN"/>
                    </w:rPr>
                    <w:t>）：</w:t>
                  </w:r>
                  <w:r>
                    <w:rPr>
                      <w:rFonts w:hint="eastAsia"/>
                      <w:sz w:val="21"/>
                      <w:szCs w:val="21"/>
                      <w:lang w:val="en-US" w:eastAsia="zh-CN"/>
                    </w:rPr>
                    <w:t>地面防渗钢筋混凝土，不小于 15cm的C30混凝土整体浇筑，其上铺设2.0mm厚HDPE膜或其他等效防渗工艺，液体危废采用专用容器盛装且下设防渗托盘；危废暂存间设置有导流沟渠。防渗系数不低于10</w:t>
                  </w:r>
                  <w:r>
                    <w:rPr>
                      <w:rFonts w:hint="eastAsia"/>
                      <w:sz w:val="21"/>
                      <w:szCs w:val="21"/>
                      <w:vertAlign w:val="superscript"/>
                      <w:lang w:val="en-US" w:eastAsia="zh-CN"/>
                    </w:rPr>
                    <w:t>-7</w:t>
                  </w:r>
                  <w:r>
                    <w:rPr>
                      <w:rFonts w:hint="eastAsia"/>
                      <w:sz w:val="21"/>
                      <w:szCs w:val="21"/>
                      <w:lang w:val="en-US" w:eastAsia="zh-CN"/>
                    </w:rPr>
                    <w:t>cm/s</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一般污染防治区（</w:t>
                  </w:r>
                  <w:r>
                    <w:rPr>
                      <w:rFonts w:hint="eastAsia" w:cs="Times New Roman"/>
                      <w:sz w:val="21"/>
                      <w:szCs w:val="21"/>
                      <w:lang w:val="en-US" w:eastAsia="zh-CN"/>
                    </w:rPr>
                    <w:t>洗车车间</w:t>
                  </w:r>
                  <w:r>
                    <w:rPr>
                      <w:rFonts w:hint="eastAsia" w:ascii="Times New Roman" w:hAnsi="Times New Roman" w:eastAsia="宋体" w:cs="Times New Roman"/>
                      <w:sz w:val="21"/>
                      <w:szCs w:val="21"/>
                      <w:lang w:val="en-US" w:eastAsia="zh-CN"/>
                    </w:rPr>
                    <w:t>）：</w:t>
                  </w:r>
                  <w:r>
                    <w:rPr>
                      <w:rFonts w:hint="eastAsia"/>
                      <w:sz w:val="21"/>
                      <w:szCs w:val="21"/>
                      <w:lang w:val="en-US" w:eastAsia="zh-CN"/>
                    </w:rPr>
                    <w:t>采用“P6等级混凝土防渗或等效防渗措施”，等效粘土防渗层Mb≥1.5m，防渗系数不低于10</w:t>
                  </w:r>
                  <w:r>
                    <w:rPr>
                      <w:rFonts w:hint="eastAsia"/>
                      <w:sz w:val="21"/>
                      <w:szCs w:val="21"/>
                      <w:vertAlign w:val="superscript"/>
                      <w:lang w:val="en-US" w:eastAsia="zh-CN"/>
                    </w:rPr>
                    <w:t>-7</w:t>
                  </w:r>
                  <w:r>
                    <w:rPr>
                      <w:rFonts w:hint="eastAsia"/>
                      <w:sz w:val="21"/>
                      <w:szCs w:val="21"/>
                      <w:lang w:val="en-US" w:eastAsia="zh-CN"/>
                    </w:rPr>
                    <w:t>cm/s</w:t>
                  </w:r>
                </w:p>
                <w:p>
                  <w:pPr>
                    <w:pStyle w:val="22"/>
                    <w:bidi w:val="0"/>
                    <w:rPr>
                      <w:rFonts w:hint="eastAsia"/>
                      <w:lang w:val="en-US" w:eastAsia="zh-CN"/>
                    </w:rPr>
                  </w:pPr>
                  <w:r>
                    <w:rPr>
                      <w:rFonts w:hint="eastAsia" w:ascii="Times New Roman" w:hAnsi="Times New Roman" w:eastAsia="宋体" w:cs="Times New Roman"/>
                      <w:sz w:val="21"/>
                      <w:szCs w:val="21"/>
                      <w:lang w:val="en-US" w:eastAsia="zh-CN"/>
                    </w:rPr>
                    <w:t>非污染防治区（除重点、一般污染防治区以外的区域）：</w:t>
                  </w:r>
                  <w:r>
                    <w:rPr>
                      <w:rFonts w:hint="eastAsia"/>
                      <w:sz w:val="21"/>
                      <w:szCs w:val="21"/>
                      <w:lang w:val="en-US" w:eastAsia="zh-CN"/>
                    </w:rPr>
                    <w:t>一般水泥地面硬化</w:t>
                  </w:r>
                </w:p>
              </w:tc>
              <w:tc>
                <w:tcPr>
                  <w:tcW w:w="616" w:type="pct"/>
                  <w:vMerge w:val="continue"/>
                  <w:noWrap w:val="0"/>
                  <w:vAlign w:val="center"/>
                </w:tcPr>
                <w:p>
                  <w:pPr>
                    <w:pStyle w:val="22"/>
                    <w:bidi w:val="0"/>
                    <w:rPr>
                      <w:rFonts w:hint="default"/>
                      <w:lang w:eastAsia="zh-CN"/>
                    </w:rPr>
                  </w:pPr>
                </w:p>
              </w:tc>
              <w:tc>
                <w:tcPr>
                  <w:tcW w:w="590" w:type="pct"/>
                  <w:noWrap w:val="0"/>
                  <w:vAlign w:val="center"/>
                </w:tcPr>
                <w:p>
                  <w:pPr>
                    <w:pStyle w:val="22"/>
                    <w:bidi w:val="0"/>
                    <w:rPr>
                      <w:rFonts w:hint="default"/>
                      <w:lang w:val="en-US" w:eastAsia="zh-CN"/>
                    </w:rPr>
                  </w:pPr>
                  <w:r>
                    <w:rPr>
                      <w:rFonts w:hint="eastAsia"/>
                      <w:lang w:val="en-US" w:eastAsia="zh-CN"/>
                    </w:rPr>
                    <w:t>/</w:t>
                  </w:r>
                </w:p>
              </w:tc>
            </w:tr>
          </w:tbl>
          <w:p>
            <w:pPr>
              <w:pStyle w:val="36"/>
              <w:keepNext w:val="0"/>
              <w:keepLines w:val="0"/>
              <w:pageBreakBefore w:val="0"/>
              <w:widowControl/>
              <w:kinsoku/>
              <w:wordWrap/>
              <w:overflowPunct/>
              <w:topLinePunct w:val="0"/>
              <w:autoSpaceDE/>
              <w:autoSpaceDN/>
              <w:bidi w:val="0"/>
              <w:adjustRightInd/>
              <w:snapToGrid/>
              <w:ind w:firstLine="482" w:firstLineChars="200"/>
              <w:jc w:val="both"/>
              <w:textAlignment w:val="auto"/>
              <w:rPr>
                <w:rFonts w:hint="eastAsia" w:ascii="Times New Roman" w:hAnsi="Times New Roman" w:cs="Times New Roman"/>
                <w:bCs/>
                <w:szCs w:val="21"/>
                <w:lang w:val="en-US" w:eastAsia="zh-CN"/>
              </w:rPr>
            </w:pPr>
            <w:r>
              <w:rPr>
                <w:rFonts w:hint="eastAsia" w:ascii="Times New Roman" w:hAnsi="Times New Roman" w:cs="Times New Roman"/>
                <w:bCs/>
                <w:szCs w:val="21"/>
                <w:lang w:val="en-US" w:eastAsia="zh-CN"/>
              </w:rPr>
              <w:t>2.4清洗方案</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Cs/>
                <w:szCs w:val="21"/>
                <w:lang w:val="en-US" w:eastAsia="zh-CN"/>
              </w:rPr>
            </w:pPr>
            <w:r>
              <w:rPr>
                <w:rFonts w:hint="eastAsia" w:cs="Times New Roman"/>
                <w:bCs/>
                <w:szCs w:val="21"/>
                <w:lang w:val="en-US" w:eastAsia="zh-CN"/>
              </w:rPr>
              <w:t>本项目停车场罐体清洗方案如下表所示。</w:t>
            </w:r>
          </w:p>
          <w:p>
            <w:pPr>
              <w:pStyle w:val="26"/>
              <w:bidi w:val="0"/>
              <w:rPr>
                <w:rFonts w:hint="eastAsia"/>
                <w:lang w:val="en-US" w:eastAsia="zh-CN"/>
              </w:rPr>
            </w:pPr>
            <w:r>
              <w:rPr>
                <w:rFonts w:hint="eastAsia"/>
                <w:lang w:val="en-US" w:eastAsia="zh-CN"/>
              </w:rPr>
              <w:t>表2-2 本项目清洗方案一览表</w:t>
            </w:r>
          </w:p>
          <w:tbl>
            <w:tblPr>
              <w:tblStyle w:val="1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2"/>
              <w:gridCol w:w="1218"/>
              <w:gridCol w:w="2376"/>
              <w:gridCol w:w="1453"/>
              <w:gridCol w:w="1453"/>
              <w:gridCol w:w="14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序号</w:t>
                  </w:r>
                </w:p>
              </w:tc>
              <w:tc>
                <w:tcPr>
                  <w:tcW w:w="698" w:type="pc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清洗内容</w:t>
                  </w:r>
                </w:p>
              </w:tc>
              <w:tc>
                <w:tcPr>
                  <w:tcW w:w="1362" w:type="pc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车辆运输介质</w:t>
                  </w:r>
                </w:p>
              </w:tc>
              <w:tc>
                <w:tcPr>
                  <w:tcW w:w="833" w:type="pc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物质形态</w:t>
                  </w:r>
                </w:p>
              </w:tc>
              <w:tc>
                <w:tcPr>
                  <w:tcW w:w="833" w:type="pc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罐体容积（m</w:t>
                  </w:r>
                  <w:r>
                    <w:rPr>
                      <w:rFonts w:hint="default"/>
                      <w:vertAlign w:val="superscript"/>
                      <w:lang w:val="en-US" w:eastAsia="zh-CN"/>
                    </w:rPr>
                    <w:t>3</w:t>
                  </w:r>
                  <w:r>
                    <w:rPr>
                      <w:rFonts w:hint="default"/>
                      <w:lang w:val="en-US" w:eastAsia="zh-CN"/>
                    </w:rPr>
                    <w:t>）</w:t>
                  </w:r>
                </w:p>
              </w:tc>
              <w:tc>
                <w:tcPr>
                  <w:tcW w:w="834" w:type="pc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清洗数量（</w:t>
                  </w:r>
                  <w:r>
                    <w:rPr>
                      <w:rFonts w:hint="eastAsia"/>
                      <w:lang w:val="en-US" w:eastAsia="zh-CN"/>
                    </w:rPr>
                    <w:t>辆</w:t>
                  </w:r>
                  <w:r>
                    <w:rPr>
                      <w:rFonts w:hint="default"/>
                      <w:lang w:val="en-US" w:eastAsia="zh-CN"/>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w:t>
                  </w:r>
                </w:p>
              </w:tc>
              <w:tc>
                <w:tcPr>
                  <w:tcW w:w="698"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危化品运输槽罐车的罐体</w:t>
                  </w: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天然气</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50</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98%</w:t>
                  </w:r>
                  <w:r>
                    <w:rPr>
                      <w:rFonts w:hint="eastAsia"/>
                      <w:lang w:val="en-US" w:eastAsia="zh-CN"/>
                    </w:rPr>
                    <w:t>硫酸</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18</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试剂硫酸</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18</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31%</w:t>
                  </w:r>
                  <w:r>
                    <w:rPr>
                      <w:rFonts w:hint="eastAsia"/>
                      <w:lang w:val="en-US" w:eastAsia="zh-CN"/>
                    </w:rPr>
                    <w:t>盐酸</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28</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5</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42%</w:t>
                  </w:r>
                  <w:r>
                    <w:rPr>
                      <w:rFonts w:hint="eastAsia"/>
                      <w:lang w:val="en-US" w:eastAsia="zh-CN"/>
                    </w:rPr>
                    <w:t>氢氧化钠</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6</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40%</w:t>
                  </w:r>
                  <w:r>
                    <w:rPr>
                      <w:rFonts w:hint="eastAsia"/>
                      <w:lang w:val="en-US" w:eastAsia="zh-CN"/>
                    </w:rPr>
                    <w:t>氢氟酸</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22</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7</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85%</w:t>
                  </w:r>
                  <w:r>
                    <w:rPr>
                      <w:rFonts w:hint="eastAsia"/>
                      <w:lang w:val="en-US" w:eastAsia="zh-CN"/>
                    </w:rPr>
                    <w:t>磷酸</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30</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8</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99%</w:t>
                  </w:r>
                  <w:r>
                    <w:rPr>
                      <w:rFonts w:hint="eastAsia"/>
                      <w:lang w:val="en-US" w:eastAsia="zh-CN"/>
                    </w:rPr>
                    <w:t>液氧</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26</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9</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液碱</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18.5</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甲醇</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11</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苯酚</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32</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12</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三乙胺</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32</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13</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液硫</w:t>
                  </w:r>
                  <w:r>
                    <w:rPr>
                      <w:rFonts w:hint="default"/>
                      <w:lang w:val="en-US" w:eastAsia="zh-CN"/>
                    </w:rPr>
                    <w:t>/</w:t>
                  </w:r>
                  <w:r>
                    <w:rPr>
                      <w:rFonts w:hint="eastAsia"/>
                      <w:lang w:val="en-US" w:eastAsia="zh-CN"/>
                    </w:rPr>
                    <w:t>二硫化碳</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25.4</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14</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液硫、二硫化碳</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25.4</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15</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油</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25</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16</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硝酸</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13.5</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17</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烧碱</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固态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28.1</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lang w:val="en-US"/>
                    </w:rPr>
                  </w:pPr>
                  <w:r>
                    <w:rPr>
                      <w:rFonts w:hint="eastAsia"/>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18</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氨水</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19</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液氮</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30</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20</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液氩</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21.2</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21</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电子级碳酸二甲酯</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22</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液氨</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24.38</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23</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草酸</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18.5</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24</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碳酸甲乙酯</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2.3</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25</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碳酸二乙酯</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12.16</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26</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液体二氧化碳</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lang w:val="en-US"/>
                    </w:rPr>
                  </w:pPr>
                  <w:r>
                    <w:rPr>
                      <w:rFonts w:hint="eastAsia"/>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27</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优级品碳酸二甲酯</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28</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轻质二元醇</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24</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29</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混合一元醇</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24</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30</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重质二元醇</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24</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762" w:type="dxa"/>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31</w:t>
                  </w:r>
                </w:p>
              </w:tc>
              <w:tc>
                <w:tcPr>
                  <w:tcW w:w="69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乙二醇</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液态</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24</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37"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合计</w:t>
                  </w:r>
                </w:p>
              </w:tc>
              <w:tc>
                <w:tcPr>
                  <w:tcW w:w="698"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136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w:t>
                  </w: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83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w:t>
                  </w:r>
                </w:p>
              </w:tc>
              <w:tc>
                <w:tcPr>
                  <w:tcW w:w="83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600</w:t>
                  </w:r>
                </w:p>
              </w:tc>
            </w:tr>
          </w:tbl>
          <w:p>
            <w:pPr>
              <w:pStyle w:val="26"/>
              <w:bidi w:val="0"/>
              <w:rPr>
                <w:rFonts w:hint="default"/>
                <w:lang w:val="en-US" w:eastAsia="zh-CN"/>
              </w:rPr>
            </w:pPr>
            <w:r>
              <w:rPr>
                <w:rFonts w:hint="eastAsia"/>
                <w:lang w:val="en-US" w:eastAsia="zh-CN"/>
              </w:rPr>
              <w:t>表2-3 运输介质理化性质表</w:t>
            </w:r>
          </w:p>
          <w:tbl>
            <w:tblPr>
              <w:tblStyle w:val="1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7"/>
              <w:gridCol w:w="1578"/>
              <w:gridCol w:w="744"/>
              <w:gridCol w:w="982"/>
              <w:gridCol w:w="1406"/>
              <w:gridCol w:w="1439"/>
              <w:gridCol w:w="1016"/>
              <w:gridCol w:w="1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序号</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车辆运输介质</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物质形态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lang w:val="en-US" w:eastAsia="zh-CN"/>
                    </w:rPr>
                    <w:t>爆炸下限%</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lang w:val="en-US" w:eastAsia="zh-CN"/>
                    </w:rPr>
                    <w:t>油蒸汽（相对蒸气密度）密度kg/m</w:t>
                  </w:r>
                  <w:r>
                    <w:rPr>
                      <w:vertAlign w:val="superscript"/>
                      <w:lang w:val="en-US" w:eastAsia="zh-CN"/>
                    </w:rPr>
                    <w:t>3</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溶解性</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挥发性</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沸点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天然气</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0.5548</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2</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lang w:val="en-US" w:eastAsia="zh-CN"/>
                    </w:rPr>
                    <w:t>98%硫酸</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2.7</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3</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试剂硫酸</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eastAsia="宋体"/>
                      <w:lang w:val="en-US" w:eastAsia="zh-CN"/>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eastAsia="宋体"/>
                      <w:lang w:val="en-US" w:eastAsia="zh-CN"/>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lang w:val="en-US" w:eastAsia="zh-CN"/>
                    </w:rPr>
                  </w:pPr>
                  <w:r>
                    <w:rPr>
                      <w:rFonts w:hint="eastAsia"/>
                      <w:lang w:val="en-US" w:eastAsia="zh-CN"/>
                    </w:rPr>
                    <w:t>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4</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lang w:val="en-US" w:eastAsia="zh-CN"/>
                    </w:rPr>
                    <w:t>31%盐酸</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1.26</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5</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lang w:val="en-US" w:eastAsia="zh-CN"/>
                    </w:rPr>
                    <w:t>42%氢氧化钠</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6</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lang w:val="en-US" w:eastAsia="zh-CN"/>
                    </w:rPr>
                    <w:t>40%氢氟酸</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1.27</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7</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lang w:val="en-US" w:eastAsia="zh-CN"/>
                    </w:rPr>
                    <w:t>85%磷酸</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8</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lang w:val="en-US" w:eastAsia="zh-CN"/>
                    </w:rPr>
                    <w:t>99%液氧</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9</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液碱</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lang w:val="en-US" w:eastAsia="zh-CN"/>
                    </w:rPr>
                  </w:pPr>
                  <w:r>
                    <w:rPr>
                      <w:rFonts w:hint="eastAsia"/>
                      <w:lang w:val="en-US" w:eastAsia="zh-CN"/>
                    </w:rPr>
                    <w:t>1390℃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10</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甲醇</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5.50%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1.11</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11</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苯酚</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3.24</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微溶于水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12</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三乙胺</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1.20%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3.48</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微溶于水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89.5℃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13</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lang w:val="en-US" w:eastAsia="zh-CN"/>
                    </w:rPr>
                    <w:t>液硫/二硫化碳</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2.97</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14</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液硫/二硫化碳</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1.30%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2.97</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15</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油</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4</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40~200℃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16</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硝酸</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16.70%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2.17</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17</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烧碱</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固态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lang w:val="en-US" w:eastAsia="zh-CN"/>
                    </w:rPr>
                  </w:pPr>
                  <w:r>
                    <w:rPr>
                      <w:rFonts w:hint="eastAsia"/>
                      <w:lang w:val="en-US" w:eastAsia="zh-CN"/>
                    </w:rPr>
                    <w:t>1390℃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default"/>
                    </w:rPr>
                  </w:pPr>
                  <w:r>
                    <w:rPr>
                      <w:rFonts w:hint="default"/>
                      <w:lang w:val="en-US" w:eastAsia="zh-CN"/>
                    </w:rPr>
                    <w:t>18</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氨水</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0.59</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19</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液氮</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20</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液氩</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21</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电子级碳酸二甲酯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1.60%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3.1</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一定挥发性</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22</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液氨</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15%</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0.59</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23</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草酸</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24</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碳酸甲乙酯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1.20%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2.94</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25</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碳酸二乙酯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26</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液体二氧化碳</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27</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优级品碳酸二甲酯</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1.60%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3.1</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一定挥发性</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lang w:val="en-US" w:eastAsia="zh-CN"/>
                    </w:rPr>
                  </w:pPr>
                  <w:r>
                    <w:rPr>
                      <w:rFonts w:hint="eastAsia"/>
                      <w:lang w:val="en-US" w:eastAsia="zh-CN"/>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28</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轻质二元醇</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29</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混合一元醇</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5.50%</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1.11</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30</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重质二元醇</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eastAsia"/>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ind w:firstLine="0" w:firstLineChars="0"/>
                    <w:rPr>
                      <w:rFonts w:hint="default"/>
                    </w:rPr>
                  </w:pPr>
                  <w:r>
                    <w:rPr>
                      <w:rFonts w:hint="default"/>
                      <w:lang w:val="en-US" w:eastAsia="zh-CN"/>
                    </w:rPr>
                    <w:t>31</w:t>
                  </w:r>
                </w:p>
              </w:tc>
              <w:tc>
                <w:tcPr>
                  <w:tcW w:w="90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乙二醇</w:t>
                  </w:r>
                </w:p>
              </w:tc>
              <w:tc>
                <w:tcPr>
                  <w:tcW w:w="430" w:type="pct"/>
                  <w:tcBorders>
                    <w:top w:val="single" w:color="000000" w:sz="4" w:space="0"/>
                    <w:left w:val="single" w:color="000000" w:sz="4" w:space="0"/>
                    <w:bottom w:val="single" w:color="000000" w:sz="4" w:space="0"/>
                    <w:right w:val="single" w:color="000000" w:sz="4" w:space="0"/>
                  </w:tcBorders>
                  <w:shd w:val="clear" w:color="auto" w:fill="auto"/>
                  <w:vAlign w:val="top"/>
                </w:tcPr>
                <w:p>
                  <w:pPr>
                    <w:pStyle w:val="22"/>
                    <w:bidi w:val="0"/>
                    <w:rPr>
                      <w:rFonts w:hint="eastAsia"/>
                    </w:rPr>
                  </w:pPr>
                  <w:r>
                    <w:rPr>
                      <w:rFonts w:hint="eastAsia"/>
                      <w:lang w:val="en-US" w:eastAsia="zh-CN"/>
                    </w:rPr>
                    <w:t>液态</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default"/>
                    </w:rPr>
                  </w:pPr>
                  <w:r>
                    <w:rPr>
                      <w:rFonts w:hint="eastAsia"/>
                      <w:lang w:val="en-US" w:eastAsia="zh-CN"/>
                    </w:rPr>
                    <w:t>/</w:t>
                  </w:r>
                </w:p>
              </w:tc>
              <w:tc>
                <w:tcPr>
                  <w:tcW w:w="809"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ind w:firstLine="0" w:firstLineChars="0"/>
                    <w:rPr>
                      <w:rFonts w:hint="default"/>
                    </w:rPr>
                  </w:pPr>
                  <w:r>
                    <w:rPr>
                      <w:rFonts w:hint="eastAsia"/>
                      <w:lang w:val="en-US" w:eastAsia="zh-CN"/>
                    </w:rPr>
                    <w:t>/</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易溶于水</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不易挥发</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lang w:val="en-US" w:eastAsia="zh-CN"/>
                    </w:rPr>
                  </w:pPr>
                  <w:r>
                    <w:rPr>
                      <w:rFonts w:hint="eastAsia"/>
                      <w:lang w:val="en-US" w:eastAsia="zh-CN"/>
                    </w:rPr>
                    <w:t>197.5℃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val="0"/>
                <w:szCs w:val="21"/>
                <w:lang w:val="en-US" w:eastAsia="zh-CN"/>
              </w:rPr>
            </w:pPr>
            <w:r>
              <w:rPr>
                <w:rFonts w:hint="eastAsia" w:cs="Times New Roman"/>
                <w:b/>
                <w:bCs w:val="0"/>
                <w:szCs w:val="21"/>
                <w:lang w:val="en-US" w:eastAsia="zh-CN"/>
              </w:rPr>
              <w:t>2.5主要原辅料及能耗使用情况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Cs/>
                <w:szCs w:val="21"/>
                <w:lang w:val="en-US" w:eastAsia="zh-CN"/>
              </w:rPr>
            </w:pPr>
            <w:r>
              <w:rPr>
                <w:rFonts w:hint="eastAsia" w:cs="Times New Roman"/>
                <w:bCs/>
                <w:szCs w:val="21"/>
                <w:lang w:val="en-US" w:eastAsia="zh-CN"/>
              </w:rPr>
              <w:t>项目使用的 原辅材料及能源如下表所示。</w:t>
            </w:r>
          </w:p>
          <w:p>
            <w:pPr>
              <w:pStyle w:val="26"/>
              <w:bidi w:val="0"/>
              <w:rPr>
                <w:rFonts w:hint="eastAsia" w:cs="Times New Roman"/>
                <w:bCs/>
                <w:szCs w:val="21"/>
                <w:lang w:val="en-US" w:eastAsia="zh-CN"/>
              </w:rPr>
            </w:pPr>
            <w:r>
              <w:rPr>
                <w:rFonts w:hint="eastAsia"/>
                <w:lang w:val="en-US" w:eastAsia="zh-CN"/>
              </w:rPr>
              <w:t>表2-3 本项目原辅材料及能耗使用情况</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1489"/>
              <w:gridCol w:w="1742"/>
              <w:gridCol w:w="1742"/>
              <w:gridCol w:w="1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pct"/>
                  <w:noWrap w:val="0"/>
                  <w:vAlign w:val="center"/>
                </w:tcPr>
                <w:p>
                  <w:pPr>
                    <w:pStyle w:val="22"/>
                    <w:bidi w:val="0"/>
                    <w:jc w:val="center"/>
                    <w:rPr>
                      <w:rFonts w:hint="default"/>
                      <w:lang w:val="en-US" w:eastAsia="zh-CN"/>
                    </w:rPr>
                  </w:pPr>
                  <w:r>
                    <w:rPr>
                      <w:rFonts w:hint="eastAsia"/>
                      <w:lang w:val="en-US" w:eastAsia="zh-CN"/>
                    </w:rPr>
                    <w:t>名称</w:t>
                  </w:r>
                </w:p>
              </w:tc>
              <w:tc>
                <w:tcPr>
                  <w:tcW w:w="855" w:type="pct"/>
                  <w:noWrap w:val="0"/>
                  <w:vAlign w:val="center"/>
                </w:tcPr>
                <w:p>
                  <w:pPr>
                    <w:pStyle w:val="22"/>
                    <w:bidi w:val="0"/>
                    <w:jc w:val="center"/>
                    <w:rPr>
                      <w:rFonts w:hint="default"/>
                      <w:lang w:val="en-US" w:eastAsia="zh-CN"/>
                    </w:rPr>
                  </w:pPr>
                  <w:r>
                    <w:rPr>
                      <w:rFonts w:hint="eastAsia"/>
                      <w:lang w:val="en-US" w:eastAsia="zh-CN"/>
                    </w:rPr>
                    <w:t>年用量</w:t>
                  </w:r>
                </w:p>
              </w:tc>
              <w:tc>
                <w:tcPr>
                  <w:tcW w:w="1000" w:type="pct"/>
                  <w:noWrap w:val="0"/>
                  <w:vAlign w:val="center"/>
                </w:tcPr>
                <w:p>
                  <w:pPr>
                    <w:pStyle w:val="22"/>
                    <w:bidi w:val="0"/>
                    <w:jc w:val="center"/>
                    <w:rPr>
                      <w:rFonts w:hint="default"/>
                      <w:lang w:val="en-US" w:eastAsia="zh-CN"/>
                    </w:rPr>
                  </w:pPr>
                  <w:r>
                    <w:rPr>
                      <w:rFonts w:hint="eastAsia"/>
                      <w:lang w:val="en-US" w:eastAsia="zh-CN"/>
                    </w:rPr>
                    <w:t>单位</w:t>
                  </w:r>
                </w:p>
              </w:tc>
              <w:tc>
                <w:tcPr>
                  <w:tcW w:w="1000" w:type="pct"/>
                  <w:noWrap w:val="0"/>
                  <w:vAlign w:val="center"/>
                </w:tcPr>
                <w:p>
                  <w:pPr>
                    <w:pStyle w:val="22"/>
                    <w:bidi w:val="0"/>
                    <w:jc w:val="center"/>
                    <w:rPr>
                      <w:rFonts w:hint="default"/>
                      <w:lang w:val="en-US" w:eastAsia="zh-CN"/>
                    </w:rPr>
                  </w:pPr>
                  <w:r>
                    <w:rPr>
                      <w:rFonts w:hint="eastAsia"/>
                      <w:lang w:val="en-US" w:eastAsia="zh-CN"/>
                    </w:rPr>
                    <w:t>来源</w:t>
                  </w:r>
                </w:p>
              </w:tc>
              <w:tc>
                <w:tcPr>
                  <w:tcW w:w="1000" w:type="pct"/>
                  <w:noWrap w:val="0"/>
                  <w:vAlign w:val="center"/>
                </w:tcPr>
                <w:p>
                  <w:pPr>
                    <w:pStyle w:val="22"/>
                    <w:bidi w:val="0"/>
                    <w:jc w:val="center"/>
                    <w:rPr>
                      <w:rFonts w:hint="default"/>
                      <w:lang w:val="en-US" w:eastAsia="zh-CN"/>
                    </w:rPr>
                  </w:pPr>
                  <w:r>
                    <w:rPr>
                      <w:rFonts w:hint="eastAsia"/>
                      <w:lang w:val="en-US"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pct"/>
                  <w:noWrap w:val="0"/>
                  <w:vAlign w:val="center"/>
                </w:tcPr>
                <w:p>
                  <w:pPr>
                    <w:pStyle w:val="22"/>
                    <w:bidi w:val="0"/>
                    <w:jc w:val="center"/>
                    <w:rPr>
                      <w:rFonts w:hint="default"/>
                      <w:lang w:val="en-US" w:eastAsia="zh-CN"/>
                    </w:rPr>
                  </w:pPr>
                  <w:r>
                    <w:rPr>
                      <w:rFonts w:hint="eastAsia"/>
                      <w:lang w:val="en-US" w:eastAsia="zh-CN"/>
                    </w:rPr>
                    <w:t>片碱</w:t>
                  </w:r>
                </w:p>
              </w:tc>
              <w:tc>
                <w:tcPr>
                  <w:tcW w:w="855" w:type="pct"/>
                  <w:noWrap w:val="0"/>
                  <w:vAlign w:val="center"/>
                </w:tcPr>
                <w:p>
                  <w:pPr>
                    <w:pStyle w:val="22"/>
                    <w:bidi w:val="0"/>
                    <w:jc w:val="center"/>
                    <w:rPr>
                      <w:rFonts w:hint="default"/>
                      <w:lang w:val="en-US" w:eastAsia="zh-CN"/>
                    </w:rPr>
                  </w:pPr>
                  <w:r>
                    <w:rPr>
                      <w:rFonts w:hint="eastAsia"/>
                      <w:lang w:val="en-US" w:eastAsia="zh-CN"/>
                    </w:rPr>
                    <w:t>1.2</w:t>
                  </w:r>
                </w:p>
              </w:tc>
              <w:tc>
                <w:tcPr>
                  <w:tcW w:w="1000" w:type="pct"/>
                  <w:noWrap w:val="0"/>
                  <w:vAlign w:val="center"/>
                </w:tcPr>
                <w:p>
                  <w:pPr>
                    <w:pStyle w:val="22"/>
                    <w:bidi w:val="0"/>
                    <w:jc w:val="center"/>
                    <w:rPr>
                      <w:rFonts w:hint="default"/>
                      <w:lang w:val="en-US" w:eastAsia="zh-CN"/>
                    </w:rPr>
                  </w:pPr>
                  <w:r>
                    <w:rPr>
                      <w:rFonts w:hint="eastAsia"/>
                      <w:lang w:val="en-US" w:eastAsia="zh-CN"/>
                    </w:rPr>
                    <w:t>t/a</w:t>
                  </w:r>
                </w:p>
              </w:tc>
              <w:tc>
                <w:tcPr>
                  <w:tcW w:w="1000" w:type="pct"/>
                  <w:noWrap w:val="0"/>
                  <w:vAlign w:val="center"/>
                </w:tcPr>
                <w:p>
                  <w:pPr>
                    <w:pStyle w:val="22"/>
                    <w:bidi w:val="0"/>
                    <w:jc w:val="center"/>
                    <w:rPr>
                      <w:rFonts w:hint="default"/>
                      <w:lang w:val="en-US" w:eastAsia="zh-CN"/>
                    </w:rPr>
                  </w:pPr>
                  <w:r>
                    <w:rPr>
                      <w:rFonts w:hint="eastAsia"/>
                      <w:lang w:val="en-US" w:eastAsia="zh-CN"/>
                    </w:rPr>
                    <w:t>外购</w:t>
                  </w:r>
                </w:p>
              </w:tc>
              <w:tc>
                <w:tcPr>
                  <w:tcW w:w="1000" w:type="pct"/>
                  <w:noWrap w:val="0"/>
                  <w:vAlign w:val="center"/>
                </w:tcPr>
                <w:p>
                  <w:pPr>
                    <w:pStyle w:val="22"/>
                    <w:bidi w:val="0"/>
                    <w:jc w:val="center"/>
                    <w:rPr>
                      <w:rFonts w:hint="default"/>
                      <w:lang w:val="en-US" w:eastAsia="zh-CN"/>
                    </w:rPr>
                  </w:pPr>
                  <w:r>
                    <w:rPr>
                      <w:rFonts w:hint="eastAsia"/>
                      <w:lang w:val="en-US" w:eastAsia="zh-CN"/>
                    </w:rPr>
                    <w:t>清洗罐体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pct"/>
                  <w:noWrap w:val="0"/>
                  <w:vAlign w:val="center"/>
                </w:tcPr>
                <w:p>
                  <w:pPr>
                    <w:pStyle w:val="22"/>
                    <w:bidi w:val="0"/>
                    <w:jc w:val="center"/>
                    <w:rPr>
                      <w:rFonts w:hint="default"/>
                      <w:lang w:val="en-US" w:eastAsia="zh-CN"/>
                    </w:rPr>
                  </w:pPr>
                  <w:r>
                    <w:rPr>
                      <w:rFonts w:hint="eastAsia"/>
                      <w:lang w:val="en-US" w:eastAsia="zh-CN"/>
                    </w:rPr>
                    <w:t>非离子表面活性剂</w:t>
                  </w:r>
                </w:p>
              </w:tc>
              <w:tc>
                <w:tcPr>
                  <w:tcW w:w="855" w:type="pct"/>
                  <w:noWrap w:val="0"/>
                  <w:vAlign w:val="center"/>
                </w:tcPr>
                <w:p>
                  <w:pPr>
                    <w:pStyle w:val="22"/>
                    <w:bidi w:val="0"/>
                    <w:jc w:val="center"/>
                    <w:rPr>
                      <w:rFonts w:hint="default"/>
                      <w:lang w:val="en-US" w:eastAsia="zh-CN"/>
                    </w:rPr>
                  </w:pPr>
                  <w:r>
                    <w:rPr>
                      <w:rFonts w:hint="eastAsia"/>
                      <w:lang w:val="en-US" w:eastAsia="zh-CN"/>
                    </w:rPr>
                    <w:t>1.8</w:t>
                  </w:r>
                </w:p>
              </w:tc>
              <w:tc>
                <w:tcPr>
                  <w:tcW w:w="1000" w:type="pct"/>
                  <w:noWrap w:val="0"/>
                  <w:vAlign w:val="center"/>
                </w:tcPr>
                <w:p>
                  <w:pPr>
                    <w:pStyle w:val="22"/>
                    <w:bidi w:val="0"/>
                    <w:jc w:val="center"/>
                    <w:rPr>
                      <w:rFonts w:hint="default"/>
                      <w:lang w:val="en-US" w:eastAsia="zh-CN"/>
                    </w:rPr>
                  </w:pPr>
                  <w:r>
                    <w:rPr>
                      <w:rFonts w:hint="eastAsia"/>
                      <w:lang w:val="en-US" w:eastAsia="zh-CN"/>
                    </w:rPr>
                    <w:t>t/a</w:t>
                  </w:r>
                </w:p>
              </w:tc>
              <w:tc>
                <w:tcPr>
                  <w:tcW w:w="1000" w:type="pct"/>
                  <w:noWrap w:val="0"/>
                  <w:vAlign w:val="center"/>
                </w:tcPr>
                <w:p>
                  <w:pPr>
                    <w:pStyle w:val="22"/>
                    <w:bidi w:val="0"/>
                    <w:jc w:val="center"/>
                    <w:rPr>
                      <w:rFonts w:hint="default"/>
                      <w:lang w:val="en-US" w:eastAsia="zh-CN"/>
                    </w:rPr>
                  </w:pPr>
                  <w:r>
                    <w:rPr>
                      <w:rFonts w:hint="eastAsia"/>
                      <w:lang w:val="en-US" w:eastAsia="zh-CN"/>
                    </w:rPr>
                    <w:t>外购</w:t>
                  </w:r>
                </w:p>
              </w:tc>
              <w:tc>
                <w:tcPr>
                  <w:tcW w:w="1000" w:type="pct"/>
                  <w:noWrap w:val="0"/>
                  <w:vAlign w:val="center"/>
                </w:tcPr>
                <w:p>
                  <w:pPr>
                    <w:pStyle w:val="22"/>
                    <w:bidi w:val="0"/>
                    <w:jc w:val="center"/>
                    <w:rPr>
                      <w:rFonts w:hint="default"/>
                      <w:lang w:val="en-US" w:eastAsia="zh-CN"/>
                    </w:rPr>
                  </w:pPr>
                  <w:r>
                    <w:rPr>
                      <w:rFonts w:hint="eastAsia"/>
                      <w:lang w:val="en-US" w:eastAsia="zh-CN"/>
                    </w:rPr>
                    <w:t>清洗罐体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pct"/>
                  <w:noWrap w:val="0"/>
                  <w:vAlign w:val="center"/>
                </w:tcPr>
                <w:p>
                  <w:pPr>
                    <w:pStyle w:val="22"/>
                    <w:bidi w:val="0"/>
                    <w:jc w:val="center"/>
                    <w:rPr>
                      <w:rFonts w:hint="default"/>
                      <w:lang w:val="en-US" w:eastAsia="zh-CN"/>
                    </w:rPr>
                  </w:pPr>
                  <w:r>
                    <w:rPr>
                      <w:rFonts w:hint="eastAsia"/>
                      <w:lang w:val="en-US" w:eastAsia="zh-CN"/>
                    </w:rPr>
                    <w:t>洗衣粉</w:t>
                  </w:r>
                </w:p>
              </w:tc>
              <w:tc>
                <w:tcPr>
                  <w:tcW w:w="855" w:type="pct"/>
                  <w:noWrap w:val="0"/>
                  <w:vAlign w:val="center"/>
                </w:tcPr>
                <w:p>
                  <w:pPr>
                    <w:pStyle w:val="22"/>
                    <w:bidi w:val="0"/>
                    <w:jc w:val="center"/>
                    <w:rPr>
                      <w:rFonts w:hint="default"/>
                      <w:lang w:val="en-US" w:eastAsia="zh-CN"/>
                    </w:rPr>
                  </w:pPr>
                  <w:r>
                    <w:rPr>
                      <w:rFonts w:hint="eastAsia"/>
                      <w:lang w:val="en-US" w:eastAsia="zh-CN"/>
                    </w:rPr>
                    <w:t>1</w:t>
                  </w:r>
                </w:p>
              </w:tc>
              <w:tc>
                <w:tcPr>
                  <w:tcW w:w="1000" w:type="pct"/>
                  <w:noWrap w:val="0"/>
                  <w:vAlign w:val="center"/>
                </w:tcPr>
                <w:p>
                  <w:pPr>
                    <w:pStyle w:val="22"/>
                    <w:bidi w:val="0"/>
                    <w:jc w:val="center"/>
                    <w:rPr>
                      <w:rFonts w:hint="default"/>
                      <w:lang w:val="en-US" w:eastAsia="zh-CN"/>
                    </w:rPr>
                  </w:pPr>
                  <w:r>
                    <w:rPr>
                      <w:rFonts w:hint="eastAsia"/>
                      <w:lang w:val="en-US" w:eastAsia="zh-CN"/>
                    </w:rPr>
                    <w:t>t/a</w:t>
                  </w:r>
                </w:p>
              </w:tc>
              <w:tc>
                <w:tcPr>
                  <w:tcW w:w="1000" w:type="pct"/>
                  <w:noWrap w:val="0"/>
                  <w:vAlign w:val="center"/>
                </w:tcPr>
                <w:p>
                  <w:pPr>
                    <w:pStyle w:val="22"/>
                    <w:bidi w:val="0"/>
                    <w:jc w:val="center"/>
                    <w:rPr>
                      <w:rFonts w:hint="default"/>
                      <w:lang w:val="en-US" w:eastAsia="zh-CN"/>
                    </w:rPr>
                  </w:pPr>
                  <w:r>
                    <w:rPr>
                      <w:rFonts w:hint="eastAsia"/>
                      <w:lang w:val="en-US" w:eastAsia="zh-CN"/>
                    </w:rPr>
                    <w:t>外购</w:t>
                  </w:r>
                </w:p>
              </w:tc>
              <w:tc>
                <w:tcPr>
                  <w:tcW w:w="1000" w:type="pct"/>
                  <w:noWrap w:val="0"/>
                  <w:vAlign w:val="center"/>
                </w:tcPr>
                <w:p>
                  <w:pPr>
                    <w:pStyle w:val="22"/>
                    <w:bidi w:val="0"/>
                    <w:jc w:val="center"/>
                    <w:rPr>
                      <w:rFonts w:hint="default"/>
                      <w:lang w:val="en-US" w:eastAsia="zh-CN"/>
                    </w:rPr>
                  </w:pPr>
                  <w:r>
                    <w:rPr>
                      <w:rFonts w:hint="eastAsia"/>
                      <w:lang w:val="en-US" w:eastAsia="zh-CN"/>
                    </w:rPr>
                    <w:t>清洗罐体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pct"/>
                  <w:noWrap w:val="0"/>
                  <w:vAlign w:val="center"/>
                </w:tcPr>
                <w:p>
                  <w:pPr>
                    <w:pStyle w:val="22"/>
                    <w:bidi w:val="0"/>
                    <w:jc w:val="center"/>
                    <w:rPr>
                      <w:rFonts w:hint="default"/>
                      <w:lang w:val="en-US" w:eastAsia="zh-CN"/>
                    </w:rPr>
                  </w:pPr>
                  <w:r>
                    <w:rPr>
                      <w:rFonts w:hint="eastAsia"/>
                      <w:lang w:val="en-US" w:eastAsia="zh-CN"/>
                    </w:rPr>
                    <w:t>柴油</w:t>
                  </w:r>
                </w:p>
              </w:tc>
              <w:tc>
                <w:tcPr>
                  <w:tcW w:w="855" w:type="pct"/>
                  <w:noWrap w:val="0"/>
                  <w:vAlign w:val="center"/>
                </w:tcPr>
                <w:p>
                  <w:pPr>
                    <w:pStyle w:val="22"/>
                    <w:bidi w:val="0"/>
                    <w:jc w:val="center"/>
                    <w:rPr>
                      <w:rFonts w:hint="default"/>
                      <w:lang w:val="en-US" w:eastAsia="zh-CN"/>
                    </w:rPr>
                  </w:pPr>
                  <w:r>
                    <w:rPr>
                      <w:rFonts w:hint="eastAsia"/>
                      <w:lang w:val="en-US" w:eastAsia="zh-CN"/>
                    </w:rPr>
                    <w:t>按需购买</w:t>
                  </w:r>
                </w:p>
              </w:tc>
              <w:tc>
                <w:tcPr>
                  <w:tcW w:w="1000" w:type="pct"/>
                  <w:noWrap w:val="0"/>
                  <w:vAlign w:val="center"/>
                </w:tcPr>
                <w:p>
                  <w:pPr>
                    <w:pStyle w:val="22"/>
                    <w:bidi w:val="0"/>
                    <w:jc w:val="center"/>
                    <w:rPr>
                      <w:rFonts w:hint="default"/>
                      <w:lang w:val="en-US" w:eastAsia="zh-CN"/>
                    </w:rPr>
                  </w:pPr>
                  <w:r>
                    <w:rPr>
                      <w:rFonts w:hint="eastAsia"/>
                      <w:lang w:val="en-US" w:eastAsia="zh-CN"/>
                    </w:rPr>
                    <w:t>/</w:t>
                  </w:r>
                </w:p>
              </w:tc>
              <w:tc>
                <w:tcPr>
                  <w:tcW w:w="1000" w:type="pct"/>
                  <w:noWrap w:val="0"/>
                  <w:vAlign w:val="center"/>
                </w:tcPr>
                <w:p>
                  <w:pPr>
                    <w:pStyle w:val="22"/>
                    <w:bidi w:val="0"/>
                    <w:jc w:val="center"/>
                    <w:rPr>
                      <w:rFonts w:hint="default"/>
                      <w:lang w:val="en-US" w:eastAsia="zh-CN"/>
                    </w:rPr>
                  </w:pPr>
                  <w:r>
                    <w:rPr>
                      <w:rFonts w:hint="eastAsia"/>
                      <w:lang w:val="en-US" w:eastAsia="zh-CN"/>
                    </w:rPr>
                    <w:t>外购</w:t>
                  </w:r>
                </w:p>
              </w:tc>
              <w:tc>
                <w:tcPr>
                  <w:tcW w:w="1000" w:type="pct"/>
                  <w:noWrap w:val="0"/>
                  <w:vAlign w:val="center"/>
                </w:tcPr>
                <w:p>
                  <w:pPr>
                    <w:pStyle w:val="22"/>
                    <w:bidi w:val="0"/>
                    <w:jc w:val="center"/>
                    <w:rPr>
                      <w:rFonts w:hint="default"/>
                      <w:lang w:val="en-US" w:eastAsia="zh-CN"/>
                    </w:rPr>
                  </w:pPr>
                  <w:r>
                    <w:rPr>
                      <w:rFonts w:hint="eastAsia"/>
                      <w:lang w:val="en-US" w:eastAsia="zh-CN"/>
                    </w:rPr>
                    <w:t>备用发电机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pct"/>
                  <w:noWrap w:val="0"/>
                  <w:vAlign w:val="center"/>
                </w:tcPr>
                <w:p>
                  <w:pPr>
                    <w:pStyle w:val="22"/>
                    <w:bidi w:val="0"/>
                    <w:jc w:val="center"/>
                    <w:rPr>
                      <w:rFonts w:hint="default"/>
                      <w:lang w:val="en-US" w:eastAsia="zh-CN"/>
                    </w:rPr>
                  </w:pPr>
                  <w:r>
                    <w:rPr>
                      <w:rFonts w:hint="eastAsia"/>
                      <w:lang w:val="en-US" w:eastAsia="zh-CN"/>
                    </w:rPr>
                    <w:t>用电</w:t>
                  </w:r>
                </w:p>
              </w:tc>
              <w:tc>
                <w:tcPr>
                  <w:tcW w:w="855" w:type="pct"/>
                  <w:noWrap w:val="0"/>
                  <w:vAlign w:val="center"/>
                </w:tcPr>
                <w:p>
                  <w:pPr>
                    <w:pStyle w:val="22"/>
                    <w:bidi w:val="0"/>
                    <w:jc w:val="center"/>
                    <w:rPr>
                      <w:rFonts w:hint="default"/>
                      <w:lang w:val="en-US" w:eastAsia="zh-CN"/>
                    </w:rPr>
                  </w:pPr>
                  <w:r>
                    <w:rPr>
                      <w:rFonts w:hint="eastAsia"/>
                      <w:lang w:val="en-US" w:eastAsia="zh-CN"/>
                    </w:rPr>
                    <w:t>120000</w:t>
                  </w:r>
                </w:p>
              </w:tc>
              <w:tc>
                <w:tcPr>
                  <w:tcW w:w="1000" w:type="pct"/>
                  <w:noWrap w:val="0"/>
                  <w:vAlign w:val="center"/>
                </w:tcPr>
                <w:p>
                  <w:pPr>
                    <w:pStyle w:val="22"/>
                    <w:bidi w:val="0"/>
                    <w:jc w:val="center"/>
                    <w:rPr>
                      <w:rFonts w:hint="default"/>
                      <w:lang w:val="en-US" w:eastAsia="zh-CN"/>
                    </w:rPr>
                  </w:pPr>
                  <w:r>
                    <w:rPr>
                      <w:rFonts w:hint="eastAsia"/>
                      <w:lang w:val="en-US" w:eastAsia="zh-CN"/>
                    </w:rPr>
                    <w:t>kw·h/年</w:t>
                  </w:r>
                </w:p>
              </w:tc>
              <w:tc>
                <w:tcPr>
                  <w:tcW w:w="1000" w:type="pct"/>
                  <w:noWrap w:val="0"/>
                  <w:vAlign w:val="center"/>
                </w:tcPr>
                <w:p>
                  <w:pPr>
                    <w:pStyle w:val="22"/>
                    <w:bidi w:val="0"/>
                    <w:jc w:val="center"/>
                    <w:rPr>
                      <w:rFonts w:hint="default"/>
                      <w:lang w:val="en-US" w:eastAsia="zh-CN"/>
                    </w:rPr>
                  </w:pPr>
                  <w:r>
                    <w:rPr>
                      <w:rFonts w:hint="eastAsia"/>
                      <w:lang w:val="en-US" w:eastAsia="zh-CN"/>
                    </w:rPr>
                    <w:t>园区供电</w:t>
                  </w:r>
                </w:p>
              </w:tc>
              <w:tc>
                <w:tcPr>
                  <w:tcW w:w="1000" w:type="pct"/>
                  <w:noWrap w:val="0"/>
                  <w:vAlign w:val="center"/>
                </w:tcPr>
                <w:p>
                  <w:pPr>
                    <w:pStyle w:val="22"/>
                    <w:bidi w:val="0"/>
                    <w:jc w:val="center"/>
                    <w:rPr>
                      <w:rFonts w:hint="default"/>
                      <w:lang w:val="en-US" w:eastAsia="zh-CN"/>
                    </w:rPr>
                  </w:pPr>
                  <w:r>
                    <w:rPr>
                      <w:rFonts w:hint="eastAsia"/>
                      <w:lang w:val="en-US" w:eastAsia="zh-CN"/>
                    </w:rPr>
                    <w:t>生产、办公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3" w:type="pct"/>
                  <w:noWrap w:val="0"/>
                  <w:vAlign w:val="center"/>
                </w:tcPr>
                <w:p>
                  <w:pPr>
                    <w:pStyle w:val="22"/>
                    <w:bidi w:val="0"/>
                    <w:jc w:val="center"/>
                    <w:rPr>
                      <w:rFonts w:hint="default"/>
                      <w:lang w:val="en-US" w:eastAsia="zh-CN"/>
                    </w:rPr>
                  </w:pPr>
                  <w:r>
                    <w:rPr>
                      <w:rFonts w:hint="eastAsia"/>
                      <w:lang w:val="en-US" w:eastAsia="zh-CN"/>
                    </w:rPr>
                    <w:t>水</w:t>
                  </w:r>
                </w:p>
              </w:tc>
              <w:tc>
                <w:tcPr>
                  <w:tcW w:w="855" w:type="pct"/>
                  <w:noWrap w:val="0"/>
                  <w:vAlign w:val="center"/>
                </w:tcPr>
                <w:p>
                  <w:pPr>
                    <w:pStyle w:val="22"/>
                    <w:bidi w:val="0"/>
                    <w:jc w:val="center"/>
                    <w:rPr>
                      <w:rFonts w:hint="default"/>
                      <w:lang w:val="en-US" w:eastAsia="zh-CN"/>
                    </w:rPr>
                  </w:pPr>
                  <w:r>
                    <w:rPr>
                      <w:rFonts w:hint="eastAsia"/>
                      <w:lang w:val="en-US" w:eastAsia="zh-CN"/>
                    </w:rPr>
                    <w:t>130000</w:t>
                  </w:r>
                </w:p>
              </w:tc>
              <w:tc>
                <w:tcPr>
                  <w:tcW w:w="1000" w:type="pct"/>
                  <w:noWrap w:val="0"/>
                  <w:vAlign w:val="center"/>
                </w:tcPr>
                <w:p>
                  <w:pPr>
                    <w:pStyle w:val="22"/>
                    <w:bidi w:val="0"/>
                    <w:jc w:val="center"/>
                    <w:rPr>
                      <w:rFonts w:hint="default"/>
                      <w:lang w:val="en-US" w:eastAsia="zh-CN"/>
                    </w:rPr>
                  </w:pPr>
                  <w:r>
                    <w:rPr>
                      <w:rFonts w:hint="eastAsia"/>
                      <w:lang w:val="en-US" w:eastAsia="zh-CN"/>
                    </w:rPr>
                    <w:t>m</w:t>
                  </w:r>
                  <w:r>
                    <w:rPr>
                      <w:rFonts w:hint="eastAsia"/>
                      <w:vertAlign w:val="superscript"/>
                      <w:lang w:val="en-US" w:eastAsia="zh-CN"/>
                    </w:rPr>
                    <w:t>3</w:t>
                  </w:r>
                  <w:r>
                    <w:rPr>
                      <w:rFonts w:hint="eastAsia"/>
                      <w:lang w:val="en-US" w:eastAsia="zh-CN"/>
                    </w:rPr>
                    <w:t>/a</w:t>
                  </w:r>
                </w:p>
              </w:tc>
              <w:tc>
                <w:tcPr>
                  <w:tcW w:w="1000" w:type="pct"/>
                  <w:noWrap w:val="0"/>
                  <w:vAlign w:val="center"/>
                </w:tcPr>
                <w:p>
                  <w:pPr>
                    <w:pStyle w:val="22"/>
                    <w:bidi w:val="0"/>
                    <w:jc w:val="center"/>
                    <w:rPr>
                      <w:rFonts w:hint="default"/>
                      <w:lang w:val="en-US" w:eastAsia="zh-CN"/>
                    </w:rPr>
                  </w:pPr>
                  <w:r>
                    <w:rPr>
                      <w:rFonts w:hint="eastAsia"/>
                      <w:lang w:val="en-US" w:eastAsia="zh-CN"/>
                    </w:rPr>
                    <w:t>市政管网提供</w:t>
                  </w:r>
                </w:p>
              </w:tc>
              <w:tc>
                <w:tcPr>
                  <w:tcW w:w="1000" w:type="pct"/>
                  <w:noWrap w:val="0"/>
                  <w:vAlign w:val="center"/>
                </w:tcPr>
                <w:p>
                  <w:pPr>
                    <w:pStyle w:val="22"/>
                    <w:bidi w:val="0"/>
                    <w:jc w:val="center"/>
                    <w:rPr>
                      <w:rFonts w:hint="default"/>
                      <w:lang w:val="en-US" w:eastAsia="zh-CN"/>
                    </w:rPr>
                  </w:pPr>
                  <w:r>
                    <w:rPr>
                      <w:rFonts w:hint="eastAsia"/>
                      <w:lang w:val="en-US" w:eastAsia="zh-CN"/>
                    </w:rPr>
                    <w:t>生产办公</w:t>
                  </w:r>
                </w:p>
              </w:tc>
            </w:tr>
          </w:tbl>
          <w:p>
            <w:pPr>
              <w:pStyle w:val="26"/>
              <w:bidi w:val="0"/>
              <w:rPr>
                <w:rFonts w:hint="default"/>
                <w:lang w:val="en-US" w:eastAsia="zh-CN"/>
              </w:rPr>
            </w:pPr>
            <w:r>
              <w:rPr>
                <w:rFonts w:hint="eastAsia"/>
                <w:lang w:val="en-US" w:eastAsia="zh-CN"/>
              </w:rPr>
              <w:t>表2-4 主要原辅材料理化性质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280"/>
              <w:gridCol w:w="6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pPr>
                    <w:pStyle w:val="22"/>
                    <w:bidi w:val="0"/>
                    <w:rPr>
                      <w:rFonts w:hint="default"/>
                      <w:lang w:val="en-US" w:eastAsia="zh-CN"/>
                    </w:rPr>
                  </w:pPr>
                  <w:r>
                    <w:rPr>
                      <w:rFonts w:hint="eastAsia"/>
                      <w:lang w:val="en-US" w:eastAsia="zh-CN"/>
                    </w:rPr>
                    <w:t>序号</w:t>
                  </w:r>
                </w:p>
              </w:tc>
              <w:tc>
                <w:tcPr>
                  <w:tcW w:w="735" w:type="pct"/>
                  <w:noWrap w:val="0"/>
                  <w:vAlign w:val="center"/>
                </w:tcPr>
                <w:p>
                  <w:pPr>
                    <w:pStyle w:val="22"/>
                    <w:bidi w:val="0"/>
                    <w:rPr>
                      <w:rFonts w:hint="default"/>
                      <w:lang w:val="en-US" w:eastAsia="zh-CN"/>
                    </w:rPr>
                  </w:pPr>
                  <w:r>
                    <w:rPr>
                      <w:rFonts w:hint="eastAsia"/>
                      <w:lang w:val="en-US" w:eastAsia="zh-CN"/>
                    </w:rPr>
                    <w:t>原辅料名称</w:t>
                  </w:r>
                </w:p>
              </w:tc>
              <w:tc>
                <w:tcPr>
                  <w:tcW w:w="3845" w:type="pct"/>
                  <w:noWrap w:val="0"/>
                  <w:vAlign w:val="center"/>
                </w:tcPr>
                <w:p>
                  <w:pPr>
                    <w:pStyle w:val="22"/>
                    <w:bidi w:val="0"/>
                    <w:rPr>
                      <w:rFonts w:hint="default"/>
                      <w:lang w:val="en-US" w:eastAsia="zh-CN"/>
                    </w:rPr>
                  </w:pPr>
                  <w:r>
                    <w:rPr>
                      <w:rFonts w:hint="eastAsia"/>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pPr>
                    <w:pStyle w:val="22"/>
                    <w:bidi w:val="0"/>
                    <w:rPr>
                      <w:rFonts w:hint="default"/>
                      <w:lang w:val="en-US" w:eastAsia="zh-CN"/>
                    </w:rPr>
                  </w:pPr>
                  <w:r>
                    <w:rPr>
                      <w:rFonts w:hint="eastAsia"/>
                      <w:lang w:val="en-US" w:eastAsia="zh-CN"/>
                    </w:rPr>
                    <w:t>1</w:t>
                  </w:r>
                </w:p>
              </w:tc>
              <w:tc>
                <w:tcPr>
                  <w:tcW w:w="735" w:type="pct"/>
                  <w:noWrap w:val="0"/>
                  <w:vAlign w:val="center"/>
                </w:tcPr>
                <w:p>
                  <w:pPr>
                    <w:pStyle w:val="22"/>
                    <w:bidi w:val="0"/>
                    <w:rPr>
                      <w:rFonts w:hint="default"/>
                      <w:lang w:val="en-US" w:eastAsia="zh-CN"/>
                    </w:rPr>
                  </w:pPr>
                  <w:r>
                    <w:rPr>
                      <w:rFonts w:hint="eastAsia"/>
                      <w:lang w:val="en-US" w:eastAsia="zh-CN"/>
                    </w:rPr>
                    <w:t>片碱</w:t>
                  </w:r>
                </w:p>
              </w:tc>
              <w:tc>
                <w:tcPr>
                  <w:tcW w:w="3845" w:type="pct"/>
                  <w:noWrap w:val="0"/>
                  <w:vAlign w:val="center"/>
                </w:tcPr>
                <w:p>
                  <w:pPr>
                    <w:pStyle w:val="22"/>
                    <w:bidi w:val="0"/>
                    <w:rPr>
                      <w:rFonts w:hint="default"/>
                      <w:lang w:val="en-US" w:eastAsia="zh-CN"/>
                    </w:rPr>
                  </w:pPr>
                  <w:r>
                    <w:rPr>
                      <w:rFonts w:hint="default"/>
                      <w:lang w:val="en-US" w:eastAsia="zh-CN"/>
                    </w:rPr>
                    <w:t>主要为氢氧化钠，白色半透明片状固体，相对密度2.130，熔点318.4℃。沸点1390℃。为基本化工原料，广泛用于造纸、合成洗涤及肥皂、粘胶纤维、人造丝及绵织品等轻纺工业方面，农药、染料、胶和化学工业方面、石油钻探，精炼石油油脂和提炼焦油的石油工业，以及国防工业、机械工业、木材加工、治金工业，医药工业及城市建设等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noWrap w:val="0"/>
                  <w:vAlign w:val="center"/>
                </w:tcPr>
                <w:p>
                  <w:pPr>
                    <w:pStyle w:val="22"/>
                    <w:bidi w:val="0"/>
                    <w:rPr>
                      <w:rFonts w:hint="default"/>
                      <w:lang w:val="en-US" w:eastAsia="zh-CN"/>
                    </w:rPr>
                  </w:pPr>
                  <w:r>
                    <w:rPr>
                      <w:rFonts w:hint="eastAsia"/>
                      <w:lang w:val="en-US" w:eastAsia="zh-CN"/>
                    </w:rPr>
                    <w:t>2</w:t>
                  </w:r>
                </w:p>
              </w:tc>
              <w:tc>
                <w:tcPr>
                  <w:tcW w:w="735" w:type="pct"/>
                  <w:noWrap w:val="0"/>
                  <w:vAlign w:val="center"/>
                </w:tcPr>
                <w:p>
                  <w:pPr>
                    <w:pStyle w:val="22"/>
                    <w:bidi w:val="0"/>
                    <w:rPr>
                      <w:rFonts w:hint="default"/>
                      <w:lang w:val="en-US" w:eastAsia="zh-CN"/>
                    </w:rPr>
                  </w:pPr>
                  <w:r>
                    <w:rPr>
                      <w:rFonts w:hint="eastAsia"/>
                      <w:lang w:val="en-US" w:eastAsia="zh-CN"/>
                    </w:rPr>
                    <w:t>非离子表面活性剂</w:t>
                  </w:r>
                </w:p>
              </w:tc>
              <w:tc>
                <w:tcPr>
                  <w:tcW w:w="3845" w:type="pct"/>
                  <w:noWrap w:val="0"/>
                  <w:vAlign w:val="center"/>
                </w:tcPr>
                <w:p>
                  <w:pPr>
                    <w:pStyle w:val="22"/>
                    <w:bidi w:val="0"/>
                    <w:rPr>
                      <w:rFonts w:hint="default"/>
                      <w:lang w:val="en-US" w:eastAsia="zh-CN"/>
                    </w:rPr>
                  </w:pPr>
                  <w:r>
                    <w:rPr>
                      <w:rFonts w:hint="default"/>
                      <w:lang w:val="en-US" w:eastAsia="zh-CN"/>
                    </w:rPr>
                    <w:t>非离子表面活性剂是指在水溶液中不电离，其亲水基主要是由具有一定数量的含氧基团(一般为醚基和羟基)构成。白色、无色透明或淡黄色凝胶状膏体。溶于水，密度:1.070g/cm</w:t>
                  </w:r>
                  <w:r>
                    <w:rPr>
                      <w:rFonts w:hint="eastAsia"/>
                      <w:vertAlign w:val="superscript"/>
                      <w:lang w:val="en-US" w:eastAsia="zh-CN"/>
                    </w:rPr>
                    <w:t>3</w:t>
                  </w:r>
                  <w:r>
                    <w:rPr>
                      <w:rFonts w:hint="default"/>
                      <w:lang w:val="en-US" w:eastAsia="zh-CN"/>
                    </w:rPr>
                    <w:t>。pH:6.5~9.5。主要成分为乙氧基化烷基硫酸钠(70%)、天然脂肪醇聚氧乙烯醚(2%)、水(28%)。</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val="0"/>
                <w:szCs w:val="21"/>
                <w:lang w:val="en-US" w:eastAsia="zh-CN"/>
              </w:rPr>
            </w:pPr>
            <w:r>
              <w:rPr>
                <w:rFonts w:hint="eastAsia" w:cs="Times New Roman"/>
                <w:b/>
                <w:bCs w:val="0"/>
                <w:szCs w:val="21"/>
                <w:lang w:val="en-US" w:eastAsia="zh-CN"/>
              </w:rPr>
              <w:t>2.6主要设备及数量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Cs/>
                <w:szCs w:val="21"/>
                <w:lang w:val="en-US" w:eastAsia="zh-CN"/>
              </w:rPr>
            </w:pPr>
            <w:r>
              <w:rPr>
                <w:rFonts w:hint="eastAsia" w:cs="Times New Roman"/>
                <w:bCs/>
                <w:szCs w:val="21"/>
                <w:lang w:val="en-US" w:eastAsia="zh-CN"/>
              </w:rPr>
              <w:t>本项目主要设备见下表：</w:t>
            </w:r>
          </w:p>
          <w:p>
            <w:pPr>
              <w:pStyle w:val="26"/>
              <w:bidi w:val="0"/>
              <w:rPr>
                <w:rFonts w:hint="eastAsia"/>
                <w:lang w:val="en-US" w:eastAsia="zh-CN"/>
              </w:rPr>
            </w:pPr>
            <w:r>
              <w:rPr>
                <w:rFonts w:hint="eastAsia"/>
                <w:lang w:val="en-US" w:eastAsia="zh-CN"/>
              </w:rPr>
              <w:t>表2-5 停车场主要设备一览表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4626"/>
              <w:gridCol w:w="2384"/>
              <w:gridCol w:w="427"/>
              <w:gridCol w:w="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trPr>
              <w:tc>
                <w:tcPr>
                  <w:tcW w:w="397" w:type="pct"/>
                  <w:noWrap/>
                  <w:vAlign w:val="center"/>
                </w:tcPr>
                <w:p>
                  <w:pPr>
                    <w:pStyle w:val="22"/>
                    <w:bidi w:val="0"/>
                    <w:rPr>
                      <w:rFonts w:hint="default"/>
                    </w:rPr>
                  </w:pPr>
                  <w:r>
                    <w:rPr>
                      <w:rFonts w:hint="default"/>
                      <w:lang w:val="en-US" w:eastAsia="zh-CN"/>
                    </w:rPr>
                    <w:t>序号</w:t>
                  </w:r>
                </w:p>
              </w:tc>
              <w:tc>
                <w:tcPr>
                  <w:tcW w:w="2252" w:type="pct"/>
                  <w:noWrap w:val="0"/>
                  <w:vAlign w:val="center"/>
                </w:tcPr>
                <w:p>
                  <w:pPr>
                    <w:pStyle w:val="22"/>
                    <w:bidi w:val="0"/>
                    <w:rPr>
                      <w:rFonts w:hint="default"/>
                    </w:rPr>
                  </w:pPr>
                  <w:r>
                    <w:rPr>
                      <w:rFonts w:hint="default"/>
                      <w:lang w:val="en-US" w:eastAsia="zh-CN"/>
                    </w:rPr>
                    <w:t>名称</w:t>
                  </w:r>
                </w:p>
              </w:tc>
              <w:tc>
                <w:tcPr>
                  <w:tcW w:w="1685" w:type="pct"/>
                  <w:noWrap/>
                  <w:vAlign w:val="center"/>
                </w:tcPr>
                <w:p>
                  <w:pPr>
                    <w:pStyle w:val="22"/>
                    <w:bidi w:val="0"/>
                    <w:rPr>
                      <w:rFonts w:hint="default"/>
                    </w:rPr>
                  </w:pPr>
                  <w:r>
                    <w:rPr>
                      <w:rFonts w:hint="default"/>
                      <w:lang w:val="en-US" w:eastAsia="zh-CN"/>
                    </w:rPr>
                    <w:t>型号及技术参数</w:t>
                  </w:r>
                </w:p>
              </w:tc>
              <w:tc>
                <w:tcPr>
                  <w:tcW w:w="266" w:type="pct"/>
                  <w:noWrap w:val="0"/>
                  <w:vAlign w:val="center"/>
                </w:tcPr>
                <w:p>
                  <w:pPr>
                    <w:pStyle w:val="22"/>
                    <w:bidi w:val="0"/>
                    <w:rPr>
                      <w:rFonts w:hint="default"/>
                    </w:rPr>
                  </w:pPr>
                  <w:r>
                    <w:rPr>
                      <w:rFonts w:hint="default"/>
                      <w:lang w:val="en-US" w:eastAsia="zh-CN"/>
                    </w:rPr>
                    <w:t>数量</w:t>
                  </w:r>
                </w:p>
              </w:tc>
              <w:tc>
                <w:tcPr>
                  <w:tcW w:w="397" w:type="pct"/>
                  <w:noWrap/>
                  <w:vAlign w:val="center"/>
                </w:tcPr>
                <w:p>
                  <w:pPr>
                    <w:pStyle w:val="22"/>
                    <w:bidi w:val="0"/>
                    <w:rPr>
                      <w:rFonts w:hint="default"/>
                    </w:rPr>
                  </w:pPr>
                  <w:r>
                    <w:rPr>
                      <w:rFonts w:hint="default"/>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w:t>
                  </w:r>
                </w:p>
              </w:tc>
              <w:tc>
                <w:tcPr>
                  <w:tcW w:w="4602" w:type="pct"/>
                  <w:gridSpan w:val="4"/>
                  <w:noWrap w:val="0"/>
                  <w:vAlign w:val="center"/>
                </w:tcPr>
                <w:p>
                  <w:pPr>
                    <w:pStyle w:val="22"/>
                    <w:bidi w:val="0"/>
                    <w:rPr>
                      <w:rFonts w:hint="default"/>
                    </w:rPr>
                  </w:pPr>
                  <w:r>
                    <w:rPr>
                      <w:rFonts w:hint="default"/>
                      <w:lang w:val="en-US" w:eastAsia="zh-CN"/>
                    </w:rPr>
                    <w:t>高压清洗泵站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1.1</w:t>
                  </w:r>
                </w:p>
              </w:tc>
              <w:tc>
                <w:tcPr>
                  <w:tcW w:w="2252" w:type="pct"/>
                  <w:noWrap w:val="0"/>
                  <w:vAlign w:val="center"/>
                </w:tcPr>
                <w:p>
                  <w:pPr>
                    <w:pStyle w:val="22"/>
                    <w:bidi w:val="0"/>
                    <w:rPr>
                      <w:rFonts w:hint="default"/>
                    </w:rPr>
                  </w:pPr>
                  <w:r>
                    <w:rPr>
                      <w:rFonts w:hint="default"/>
                      <w:lang w:val="en-US" w:eastAsia="zh-CN"/>
                    </w:rPr>
                    <w:t>柱塞泵</w:t>
                  </w:r>
                </w:p>
              </w:tc>
              <w:tc>
                <w:tcPr>
                  <w:tcW w:w="1685" w:type="pct"/>
                  <w:noWrap w:val="0"/>
                  <w:vAlign w:val="center"/>
                </w:tcPr>
                <w:p>
                  <w:pPr>
                    <w:pStyle w:val="22"/>
                    <w:bidi w:val="0"/>
                    <w:rPr>
                      <w:rFonts w:hint="default"/>
                    </w:rPr>
                  </w:pPr>
                  <w:r>
                    <w:rPr>
                      <w:rFonts w:hint="default"/>
                      <w:lang w:val="en-US" w:eastAsia="zh-CN"/>
                    </w:rPr>
                    <w:t>清洗压力0-15MPa，压力可调，流量0-60L/min/20KW</w:t>
                  </w:r>
                </w:p>
              </w:tc>
              <w:tc>
                <w:tcPr>
                  <w:tcW w:w="266" w:type="pct"/>
                  <w:noWrap w:val="0"/>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1.2</w:t>
                  </w:r>
                </w:p>
              </w:tc>
              <w:tc>
                <w:tcPr>
                  <w:tcW w:w="2252" w:type="pct"/>
                  <w:noWrap w:val="0"/>
                  <w:vAlign w:val="center"/>
                </w:tcPr>
                <w:p>
                  <w:pPr>
                    <w:pStyle w:val="22"/>
                    <w:bidi w:val="0"/>
                    <w:rPr>
                      <w:rFonts w:hint="default"/>
                    </w:rPr>
                  </w:pPr>
                  <w:r>
                    <w:rPr>
                      <w:rFonts w:hint="default"/>
                      <w:lang w:val="en-US" w:eastAsia="zh-CN"/>
                    </w:rPr>
                    <w:t>电机</w:t>
                  </w:r>
                </w:p>
              </w:tc>
              <w:tc>
                <w:tcPr>
                  <w:tcW w:w="1685" w:type="pct"/>
                  <w:noWrap w:val="0"/>
                  <w:vAlign w:val="center"/>
                </w:tcPr>
                <w:p>
                  <w:pPr>
                    <w:pStyle w:val="22"/>
                    <w:bidi w:val="0"/>
                    <w:rPr>
                      <w:rFonts w:hint="default"/>
                    </w:rPr>
                  </w:pPr>
                  <w:r>
                    <w:rPr>
                      <w:rFonts w:hint="default"/>
                      <w:lang w:val="en-US" w:eastAsia="zh-CN"/>
                    </w:rPr>
                    <w:t>380V/20kw/防爆等级：ExdIIBT4</w:t>
                  </w:r>
                </w:p>
              </w:tc>
              <w:tc>
                <w:tcPr>
                  <w:tcW w:w="266" w:type="pct"/>
                  <w:noWrap w:val="0"/>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1.3</w:t>
                  </w:r>
                </w:p>
              </w:tc>
              <w:tc>
                <w:tcPr>
                  <w:tcW w:w="2252" w:type="pct"/>
                  <w:noWrap w:val="0"/>
                  <w:vAlign w:val="center"/>
                </w:tcPr>
                <w:p>
                  <w:pPr>
                    <w:pStyle w:val="22"/>
                    <w:bidi w:val="0"/>
                    <w:rPr>
                      <w:rFonts w:hint="default"/>
                    </w:rPr>
                  </w:pPr>
                  <w:r>
                    <w:rPr>
                      <w:rFonts w:hint="default"/>
                      <w:lang w:val="en-US" w:eastAsia="zh-CN"/>
                    </w:rPr>
                    <w:t>增压泵</w:t>
                  </w:r>
                </w:p>
              </w:tc>
              <w:tc>
                <w:tcPr>
                  <w:tcW w:w="1685" w:type="pct"/>
                  <w:noWrap w:val="0"/>
                  <w:vAlign w:val="center"/>
                </w:tcPr>
                <w:p>
                  <w:pPr>
                    <w:pStyle w:val="22"/>
                    <w:bidi w:val="0"/>
                    <w:rPr>
                      <w:rFonts w:hint="default"/>
                    </w:rPr>
                  </w:pPr>
                  <w:r>
                    <w:rPr>
                      <w:rFonts w:hint="default"/>
                      <w:lang w:val="en-US" w:eastAsia="zh-CN"/>
                    </w:rPr>
                    <w:t>304不锈钢/2.2KW/防爆等级：ExdIIBT4</w:t>
                  </w:r>
                </w:p>
              </w:tc>
              <w:tc>
                <w:tcPr>
                  <w:tcW w:w="266" w:type="pct"/>
                  <w:noWrap w:val="0"/>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w:t>
                  </w:r>
                </w:p>
              </w:tc>
              <w:tc>
                <w:tcPr>
                  <w:tcW w:w="2252" w:type="pct"/>
                  <w:noWrap w:val="0"/>
                  <w:vAlign w:val="center"/>
                </w:tcPr>
                <w:p>
                  <w:pPr>
                    <w:pStyle w:val="22"/>
                    <w:bidi w:val="0"/>
                    <w:rPr>
                      <w:rFonts w:hint="default"/>
                    </w:rPr>
                  </w:pPr>
                  <w:r>
                    <w:rPr>
                      <w:rFonts w:hint="default"/>
                      <w:lang w:val="en-US" w:eastAsia="zh-CN"/>
                    </w:rPr>
                    <w:t>过滤器</w:t>
                  </w:r>
                </w:p>
              </w:tc>
              <w:tc>
                <w:tcPr>
                  <w:tcW w:w="1685" w:type="pct"/>
                  <w:noWrap w:val="0"/>
                  <w:vAlign w:val="center"/>
                </w:tcPr>
                <w:p>
                  <w:pPr>
                    <w:pStyle w:val="22"/>
                    <w:bidi w:val="0"/>
                    <w:rPr>
                      <w:rFonts w:hint="default"/>
                    </w:rPr>
                  </w:pPr>
                  <w:r>
                    <w:rPr>
                      <w:rFonts w:hint="default"/>
                      <w:lang w:val="en-US" w:eastAsia="zh-CN"/>
                    </w:rPr>
                    <w:t>304不锈钢</w:t>
                  </w:r>
                </w:p>
              </w:tc>
              <w:tc>
                <w:tcPr>
                  <w:tcW w:w="266" w:type="pct"/>
                  <w:noWrap w:val="0"/>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1.5</w:t>
                  </w:r>
                </w:p>
              </w:tc>
              <w:tc>
                <w:tcPr>
                  <w:tcW w:w="2252" w:type="pct"/>
                  <w:noWrap w:val="0"/>
                  <w:vAlign w:val="center"/>
                </w:tcPr>
                <w:p>
                  <w:pPr>
                    <w:pStyle w:val="22"/>
                    <w:bidi w:val="0"/>
                    <w:rPr>
                      <w:rFonts w:hint="default"/>
                    </w:rPr>
                  </w:pPr>
                  <w:r>
                    <w:rPr>
                      <w:rFonts w:hint="default"/>
                      <w:lang w:val="en-US" w:eastAsia="zh-CN"/>
                    </w:rPr>
                    <w:t>调压阀，安全阀等</w:t>
                  </w:r>
                </w:p>
              </w:tc>
              <w:tc>
                <w:tcPr>
                  <w:tcW w:w="1685" w:type="pct"/>
                  <w:noWrap w:val="0"/>
                  <w:vAlign w:val="center"/>
                </w:tcPr>
                <w:p>
                  <w:pPr>
                    <w:pStyle w:val="22"/>
                    <w:bidi w:val="0"/>
                    <w:rPr>
                      <w:rFonts w:hint="default"/>
                    </w:rPr>
                  </w:pPr>
                  <w:r>
                    <w:rPr>
                      <w:rFonts w:hint="default"/>
                      <w:lang w:val="en-US" w:eastAsia="zh-CN"/>
                    </w:rPr>
                    <w:t>304不锈钢</w:t>
                  </w:r>
                </w:p>
              </w:tc>
              <w:tc>
                <w:tcPr>
                  <w:tcW w:w="266" w:type="pct"/>
                  <w:noWrap w:val="0"/>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1.6</w:t>
                  </w:r>
                </w:p>
              </w:tc>
              <w:tc>
                <w:tcPr>
                  <w:tcW w:w="2252" w:type="pct"/>
                  <w:noWrap w:val="0"/>
                  <w:vAlign w:val="center"/>
                </w:tcPr>
                <w:p>
                  <w:pPr>
                    <w:pStyle w:val="22"/>
                    <w:bidi w:val="0"/>
                    <w:rPr>
                      <w:rFonts w:hint="default"/>
                    </w:rPr>
                  </w:pPr>
                  <w:r>
                    <w:rPr>
                      <w:rFonts w:hint="default"/>
                      <w:lang w:val="en-US" w:eastAsia="zh-CN"/>
                    </w:rPr>
                    <w:t>热</w:t>
                  </w:r>
                  <w:r>
                    <w:rPr>
                      <w:rFonts w:hint="eastAsia"/>
                      <w:lang w:val="en-US" w:eastAsia="zh-CN"/>
                    </w:rPr>
                    <w:t>水蒸气</w:t>
                  </w:r>
                  <w:r>
                    <w:rPr>
                      <w:rFonts w:hint="default"/>
                      <w:lang w:val="en-US" w:eastAsia="zh-CN"/>
                    </w:rPr>
                    <w:t>翅片换热器</w:t>
                  </w:r>
                </w:p>
              </w:tc>
              <w:tc>
                <w:tcPr>
                  <w:tcW w:w="1685" w:type="pct"/>
                  <w:noWrap w:val="0"/>
                  <w:vAlign w:val="center"/>
                </w:tcPr>
                <w:p>
                  <w:pPr>
                    <w:pStyle w:val="22"/>
                    <w:bidi w:val="0"/>
                    <w:rPr>
                      <w:rFonts w:hint="default"/>
                    </w:rPr>
                  </w:pPr>
                  <w:r>
                    <w:rPr>
                      <w:rFonts w:hint="default"/>
                      <w:lang w:val="en-US" w:eastAsia="zh-CN"/>
                    </w:rPr>
                    <w:t>过流部件304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1.7</w:t>
                  </w:r>
                </w:p>
              </w:tc>
              <w:tc>
                <w:tcPr>
                  <w:tcW w:w="2252" w:type="pct"/>
                  <w:noWrap w:val="0"/>
                  <w:vAlign w:val="center"/>
                </w:tcPr>
                <w:p>
                  <w:pPr>
                    <w:pStyle w:val="22"/>
                    <w:bidi w:val="0"/>
                    <w:rPr>
                      <w:rFonts w:hint="default"/>
                    </w:rPr>
                  </w:pPr>
                  <w:r>
                    <w:rPr>
                      <w:rFonts w:hint="default"/>
                      <w:lang w:val="en-US" w:eastAsia="zh-CN"/>
                    </w:rPr>
                    <w:t>蒸汽调接阀、蒸汽气动球阀，泄水阀等</w:t>
                  </w:r>
                </w:p>
              </w:tc>
              <w:tc>
                <w:tcPr>
                  <w:tcW w:w="1685" w:type="pct"/>
                  <w:noWrap w:val="0"/>
                  <w:vAlign w:val="center"/>
                </w:tcPr>
                <w:p>
                  <w:pPr>
                    <w:pStyle w:val="22"/>
                    <w:bidi w:val="0"/>
                    <w:rPr>
                      <w:rFonts w:hint="default"/>
                    </w:rPr>
                  </w:pPr>
                  <w:r>
                    <w:rPr>
                      <w:rFonts w:hint="default"/>
                      <w:lang w:val="en-US" w:eastAsia="zh-CN"/>
                    </w:rPr>
                    <w:t>DN50/DN40/304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w:t>
                  </w:r>
                </w:p>
              </w:tc>
              <w:tc>
                <w:tcPr>
                  <w:tcW w:w="4602" w:type="pct"/>
                  <w:gridSpan w:val="4"/>
                  <w:noWrap w:val="0"/>
                  <w:vAlign w:val="center"/>
                </w:tcPr>
                <w:p>
                  <w:pPr>
                    <w:pStyle w:val="22"/>
                    <w:bidi w:val="0"/>
                    <w:rPr>
                      <w:rFonts w:hint="default"/>
                    </w:rPr>
                  </w:pPr>
                  <w:r>
                    <w:rPr>
                      <w:rFonts w:hint="default"/>
                      <w:lang w:val="en-US" w:eastAsia="zh-CN"/>
                    </w:rPr>
                    <w:t>全自动清洗装置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2.1</w:t>
                  </w:r>
                </w:p>
              </w:tc>
              <w:tc>
                <w:tcPr>
                  <w:tcW w:w="2252" w:type="pct"/>
                  <w:noWrap w:val="0"/>
                  <w:vAlign w:val="center"/>
                </w:tcPr>
                <w:p>
                  <w:pPr>
                    <w:pStyle w:val="22"/>
                    <w:bidi w:val="0"/>
                    <w:rPr>
                      <w:rFonts w:hint="default"/>
                    </w:rPr>
                  </w:pPr>
                  <w:r>
                    <w:rPr>
                      <w:rFonts w:hint="default"/>
                      <w:lang w:val="en-US" w:eastAsia="zh-CN"/>
                    </w:rPr>
                    <w:t>纵向双轨运动小车</w:t>
                  </w:r>
                </w:p>
              </w:tc>
              <w:tc>
                <w:tcPr>
                  <w:tcW w:w="1685" w:type="pct"/>
                  <w:noWrap w:val="0"/>
                  <w:vAlign w:val="center"/>
                </w:tcPr>
                <w:p>
                  <w:pPr>
                    <w:pStyle w:val="22"/>
                    <w:bidi w:val="0"/>
                    <w:rPr>
                      <w:rFonts w:hint="default"/>
                    </w:rPr>
                  </w:pPr>
                  <w:r>
                    <w:rPr>
                      <w:rFonts w:hint="default"/>
                      <w:lang w:val="en-US" w:eastAsia="zh-CN"/>
                    </w:rPr>
                    <w:t>防爆等级：ExdIIBT4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2.2</w:t>
                  </w:r>
                </w:p>
              </w:tc>
              <w:tc>
                <w:tcPr>
                  <w:tcW w:w="2252" w:type="pct"/>
                  <w:noWrap w:val="0"/>
                  <w:vAlign w:val="center"/>
                </w:tcPr>
                <w:p>
                  <w:pPr>
                    <w:pStyle w:val="22"/>
                    <w:bidi w:val="0"/>
                    <w:rPr>
                      <w:rFonts w:hint="default"/>
                    </w:rPr>
                  </w:pPr>
                  <w:r>
                    <w:rPr>
                      <w:rFonts w:hint="default"/>
                      <w:lang w:val="en-US" w:eastAsia="zh-CN"/>
                    </w:rPr>
                    <w:t>横向双轨运动小车</w:t>
                  </w:r>
                </w:p>
              </w:tc>
              <w:tc>
                <w:tcPr>
                  <w:tcW w:w="1685" w:type="pct"/>
                  <w:noWrap w:val="0"/>
                  <w:vAlign w:val="center"/>
                </w:tcPr>
                <w:p>
                  <w:pPr>
                    <w:pStyle w:val="22"/>
                    <w:bidi w:val="0"/>
                    <w:rPr>
                      <w:rFonts w:hint="default"/>
                    </w:rPr>
                  </w:pPr>
                  <w:r>
                    <w:rPr>
                      <w:rFonts w:hint="default"/>
                      <w:lang w:val="en-US" w:eastAsia="zh-CN"/>
                    </w:rPr>
                    <w:t>防爆等级：ExdIIBT4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2.3</w:t>
                  </w:r>
                </w:p>
              </w:tc>
              <w:tc>
                <w:tcPr>
                  <w:tcW w:w="2252" w:type="pct"/>
                  <w:noWrap w:val="0"/>
                  <w:vAlign w:val="center"/>
                </w:tcPr>
                <w:p>
                  <w:pPr>
                    <w:pStyle w:val="22"/>
                    <w:bidi w:val="0"/>
                    <w:rPr>
                      <w:rFonts w:hint="default"/>
                    </w:rPr>
                  </w:pPr>
                  <w:r>
                    <w:rPr>
                      <w:rFonts w:hint="default"/>
                      <w:lang w:val="en-US" w:eastAsia="zh-CN"/>
                    </w:rPr>
                    <w:t>回转装置</w:t>
                  </w:r>
                </w:p>
              </w:tc>
              <w:tc>
                <w:tcPr>
                  <w:tcW w:w="1685" w:type="pct"/>
                  <w:noWrap w:val="0"/>
                  <w:vAlign w:val="center"/>
                </w:tcPr>
                <w:p>
                  <w:pPr>
                    <w:pStyle w:val="22"/>
                    <w:bidi w:val="0"/>
                    <w:rPr>
                      <w:rFonts w:hint="default"/>
                    </w:rPr>
                  </w:pPr>
                  <w:r>
                    <w:rPr>
                      <w:rFonts w:hint="default"/>
                      <w:lang w:val="en-US" w:eastAsia="zh-CN"/>
                    </w:rPr>
                    <w:t>防爆等级：ExdIIBT4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2.4</w:t>
                  </w:r>
                </w:p>
              </w:tc>
              <w:tc>
                <w:tcPr>
                  <w:tcW w:w="2252" w:type="pct"/>
                  <w:noWrap w:val="0"/>
                  <w:vAlign w:val="center"/>
                </w:tcPr>
                <w:p>
                  <w:pPr>
                    <w:pStyle w:val="22"/>
                    <w:bidi w:val="0"/>
                    <w:rPr>
                      <w:rFonts w:hint="default"/>
                    </w:rPr>
                  </w:pPr>
                  <w:r>
                    <w:rPr>
                      <w:rFonts w:hint="default"/>
                      <w:lang w:val="en-US" w:eastAsia="zh-CN"/>
                    </w:rPr>
                    <w:t>升降装置</w:t>
                  </w:r>
                </w:p>
              </w:tc>
              <w:tc>
                <w:tcPr>
                  <w:tcW w:w="1685" w:type="pct"/>
                  <w:noWrap w:val="0"/>
                  <w:vAlign w:val="center"/>
                </w:tcPr>
                <w:p>
                  <w:pPr>
                    <w:pStyle w:val="22"/>
                    <w:bidi w:val="0"/>
                    <w:rPr>
                      <w:rFonts w:hint="default"/>
                    </w:rPr>
                  </w:pPr>
                  <w:r>
                    <w:rPr>
                      <w:rFonts w:hint="default"/>
                      <w:lang w:val="en-US" w:eastAsia="zh-CN"/>
                    </w:rPr>
                    <w:t>防爆等级：ExdIIBT4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2.5</w:t>
                  </w:r>
                </w:p>
              </w:tc>
              <w:tc>
                <w:tcPr>
                  <w:tcW w:w="2252" w:type="pct"/>
                  <w:noWrap w:val="0"/>
                  <w:vAlign w:val="center"/>
                </w:tcPr>
                <w:p>
                  <w:pPr>
                    <w:pStyle w:val="22"/>
                    <w:bidi w:val="0"/>
                    <w:rPr>
                      <w:rFonts w:hint="default"/>
                    </w:rPr>
                  </w:pPr>
                  <w:r>
                    <w:rPr>
                      <w:rFonts w:hint="default"/>
                      <w:lang w:val="en-US" w:eastAsia="zh-CN"/>
                    </w:rPr>
                    <w:t>运动导轨</w:t>
                  </w:r>
                </w:p>
              </w:tc>
              <w:tc>
                <w:tcPr>
                  <w:tcW w:w="1685" w:type="pct"/>
                  <w:noWrap w:val="0"/>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2.6</w:t>
                  </w:r>
                </w:p>
              </w:tc>
              <w:tc>
                <w:tcPr>
                  <w:tcW w:w="2252" w:type="pct"/>
                  <w:noWrap w:val="0"/>
                  <w:vAlign w:val="center"/>
                </w:tcPr>
                <w:p>
                  <w:pPr>
                    <w:pStyle w:val="22"/>
                    <w:bidi w:val="0"/>
                    <w:rPr>
                      <w:rFonts w:hint="default"/>
                    </w:rPr>
                  </w:pPr>
                  <w:r>
                    <w:rPr>
                      <w:rFonts w:hint="default"/>
                      <w:lang w:val="en-US" w:eastAsia="zh-CN"/>
                    </w:rPr>
                    <w:t>清洗头伸缩机构</w:t>
                  </w:r>
                </w:p>
              </w:tc>
              <w:tc>
                <w:tcPr>
                  <w:tcW w:w="1685" w:type="pct"/>
                  <w:noWrap w:val="0"/>
                  <w:vAlign w:val="center"/>
                </w:tcPr>
                <w:p>
                  <w:pPr>
                    <w:pStyle w:val="22"/>
                    <w:bidi w:val="0"/>
                    <w:rPr>
                      <w:rFonts w:hint="default"/>
                    </w:rPr>
                  </w:pPr>
                  <w:r>
                    <w:rPr>
                      <w:rFonts w:hint="default"/>
                      <w:lang w:val="en-US" w:eastAsia="zh-CN"/>
                    </w:rPr>
                    <w:t>304不锈钢材质</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2.7</w:t>
                  </w:r>
                </w:p>
              </w:tc>
              <w:tc>
                <w:tcPr>
                  <w:tcW w:w="2252" w:type="pct"/>
                  <w:noWrap w:val="0"/>
                  <w:vAlign w:val="center"/>
                </w:tcPr>
                <w:p>
                  <w:pPr>
                    <w:pStyle w:val="22"/>
                    <w:bidi w:val="0"/>
                    <w:rPr>
                      <w:rFonts w:hint="default"/>
                    </w:rPr>
                  </w:pPr>
                  <w:r>
                    <w:rPr>
                      <w:rFonts w:hint="default"/>
                      <w:lang w:val="en-US" w:eastAsia="zh-CN"/>
                    </w:rPr>
                    <w:t>洗罐定制集成法兰盖</w:t>
                  </w:r>
                </w:p>
              </w:tc>
              <w:tc>
                <w:tcPr>
                  <w:tcW w:w="1685" w:type="pct"/>
                  <w:noWrap w:val="0"/>
                  <w:vAlign w:val="center"/>
                </w:tcPr>
                <w:p>
                  <w:pPr>
                    <w:pStyle w:val="22"/>
                    <w:bidi w:val="0"/>
                    <w:rPr>
                      <w:rFonts w:hint="default"/>
                    </w:rPr>
                  </w:pPr>
                  <w:r>
                    <w:rPr>
                      <w:rFonts w:hint="default"/>
                      <w:lang w:val="en-US" w:eastAsia="zh-CN"/>
                    </w:rPr>
                    <w:t xml:space="preserve">清洗过程可密闭抽废气（含废气接口，清洗接口和压力等） </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2.8</w:t>
                  </w:r>
                </w:p>
              </w:tc>
              <w:tc>
                <w:tcPr>
                  <w:tcW w:w="2252" w:type="pct"/>
                  <w:noWrap w:val="0"/>
                  <w:vAlign w:val="center"/>
                </w:tcPr>
                <w:p>
                  <w:pPr>
                    <w:pStyle w:val="22"/>
                    <w:bidi w:val="0"/>
                    <w:rPr>
                      <w:rFonts w:hint="default"/>
                    </w:rPr>
                  </w:pPr>
                  <w:r>
                    <w:rPr>
                      <w:rFonts w:hint="default"/>
                      <w:lang w:val="en-US" w:eastAsia="zh-CN"/>
                    </w:rPr>
                    <w:t>软管汇集</w:t>
                  </w:r>
                </w:p>
              </w:tc>
              <w:tc>
                <w:tcPr>
                  <w:tcW w:w="1685" w:type="pct"/>
                  <w:noWrap w:val="0"/>
                  <w:vAlign w:val="center"/>
                </w:tcPr>
                <w:p>
                  <w:pPr>
                    <w:pStyle w:val="22"/>
                    <w:bidi w:val="0"/>
                    <w:rPr>
                      <w:rFonts w:hint="default"/>
                    </w:rPr>
                  </w:pPr>
                  <w:r>
                    <w:rPr>
                      <w:rFonts w:hint="default"/>
                      <w:lang w:val="en-US" w:eastAsia="zh-CN"/>
                    </w:rPr>
                    <w:t>高压软管/防静电废气软管等</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2.9</w:t>
                  </w:r>
                </w:p>
              </w:tc>
              <w:tc>
                <w:tcPr>
                  <w:tcW w:w="2252" w:type="pct"/>
                  <w:noWrap w:val="0"/>
                  <w:vAlign w:val="center"/>
                </w:tcPr>
                <w:p>
                  <w:pPr>
                    <w:pStyle w:val="22"/>
                    <w:bidi w:val="0"/>
                    <w:rPr>
                      <w:rFonts w:hint="default"/>
                    </w:rPr>
                  </w:pPr>
                  <w:r>
                    <w:rPr>
                      <w:rFonts w:hint="default"/>
                      <w:lang w:val="en-US" w:eastAsia="zh-CN"/>
                    </w:rPr>
                    <w:t>轨道支撑架</w:t>
                  </w:r>
                </w:p>
              </w:tc>
              <w:tc>
                <w:tcPr>
                  <w:tcW w:w="1685" w:type="pct"/>
                  <w:noWrap w:val="0"/>
                  <w:vAlign w:val="center"/>
                </w:tcPr>
                <w:p>
                  <w:pPr>
                    <w:pStyle w:val="22"/>
                    <w:bidi w:val="0"/>
                    <w:rPr>
                      <w:rFonts w:hint="default"/>
                    </w:rPr>
                  </w:pPr>
                  <w:r>
                    <w:rPr>
                      <w:rFonts w:hint="default"/>
                      <w:lang w:val="en-US" w:eastAsia="zh-CN"/>
                    </w:rPr>
                    <w:t xml:space="preserve">Q235A </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lang w:val="en-US"/>
                    </w:rPr>
                  </w:pPr>
                  <w:r>
                    <w:rPr>
                      <w:rFonts w:hint="default"/>
                      <w:lang w:val="en-US" w:eastAsia="zh-CN"/>
                    </w:rPr>
                    <w:t>2.1</w:t>
                  </w:r>
                  <w:r>
                    <w:rPr>
                      <w:rFonts w:hint="eastAsia"/>
                      <w:lang w:val="en-US" w:eastAsia="zh-CN"/>
                    </w:rPr>
                    <w:t>0</w:t>
                  </w:r>
                </w:p>
              </w:tc>
              <w:tc>
                <w:tcPr>
                  <w:tcW w:w="2252" w:type="pct"/>
                  <w:noWrap w:val="0"/>
                  <w:vAlign w:val="center"/>
                </w:tcPr>
                <w:p>
                  <w:pPr>
                    <w:pStyle w:val="22"/>
                    <w:bidi w:val="0"/>
                    <w:rPr>
                      <w:rFonts w:hint="default"/>
                    </w:rPr>
                  </w:pPr>
                  <w:r>
                    <w:rPr>
                      <w:rFonts w:hint="default"/>
                      <w:lang w:val="en-US" w:eastAsia="zh-CN"/>
                    </w:rPr>
                    <w:t>视觉定位系统（含显示屏）防爆等级ExdIIBT4）</w:t>
                  </w:r>
                </w:p>
              </w:tc>
              <w:tc>
                <w:tcPr>
                  <w:tcW w:w="1685" w:type="pct"/>
                  <w:noWrap w:val="0"/>
                  <w:vAlign w:val="center"/>
                </w:tcPr>
                <w:p>
                  <w:pPr>
                    <w:pStyle w:val="22"/>
                    <w:bidi w:val="0"/>
                    <w:rPr>
                      <w:rFonts w:hint="default"/>
                    </w:rPr>
                  </w:pPr>
                  <w:r>
                    <w:rPr>
                      <w:rFonts w:hint="default"/>
                      <w:lang w:val="en-US" w:eastAsia="zh-CN"/>
                    </w:rPr>
                    <w:t>防爆等级：ExdIIBT4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3</w:t>
                  </w:r>
                </w:p>
              </w:tc>
              <w:tc>
                <w:tcPr>
                  <w:tcW w:w="2252" w:type="pct"/>
                  <w:noWrap/>
                  <w:vAlign w:val="center"/>
                </w:tcPr>
                <w:p>
                  <w:pPr>
                    <w:pStyle w:val="22"/>
                    <w:bidi w:val="0"/>
                    <w:rPr>
                      <w:rFonts w:hint="default"/>
                    </w:rPr>
                  </w:pPr>
                  <w:r>
                    <w:rPr>
                      <w:rFonts w:hint="default"/>
                      <w:lang w:val="en-US" w:eastAsia="zh-CN"/>
                    </w:rPr>
                    <w:t>高压三维清洗头</w:t>
                  </w:r>
                </w:p>
              </w:tc>
              <w:tc>
                <w:tcPr>
                  <w:tcW w:w="1685" w:type="pct"/>
                  <w:noWrap/>
                  <w:vAlign w:val="center"/>
                </w:tcPr>
                <w:p>
                  <w:pPr>
                    <w:pStyle w:val="22"/>
                    <w:bidi w:val="0"/>
                    <w:rPr>
                      <w:rFonts w:hint="default"/>
                    </w:rPr>
                  </w:pPr>
                  <w:r>
                    <w:rPr>
                      <w:rFonts w:hint="default"/>
                      <w:lang w:val="en-US" w:eastAsia="zh-CN"/>
                    </w:rPr>
                    <w:t>316L　</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4</w:t>
                  </w:r>
                </w:p>
              </w:tc>
              <w:tc>
                <w:tcPr>
                  <w:tcW w:w="2252" w:type="pct"/>
                  <w:noWrap/>
                  <w:vAlign w:val="center"/>
                </w:tcPr>
                <w:p>
                  <w:pPr>
                    <w:pStyle w:val="22"/>
                    <w:bidi w:val="0"/>
                    <w:rPr>
                      <w:rFonts w:hint="default"/>
                    </w:rPr>
                  </w:pPr>
                  <w:r>
                    <w:rPr>
                      <w:rFonts w:hint="default"/>
                      <w:lang w:val="en-US" w:eastAsia="zh-CN"/>
                    </w:rPr>
                    <w:t>蒸汽蒸煮集成盖总成（带废气管，压力，温度）</w:t>
                  </w:r>
                </w:p>
              </w:tc>
              <w:tc>
                <w:tcPr>
                  <w:tcW w:w="1685" w:type="pct"/>
                  <w:noWrap w:val="0"/>
                  <w:vAlign w:val="center"/>
                </w:tcPr>
                <w:p>
                  <w:pPr>
                    <w:pStyle w:val="22"/>
                    <w:bidi w:val="0"/>
                    <w:rPr>
                      <w:rFonts w:hint="default"/>
                    </w:rPr>
                  </w:pPr>
                  <w:r>
                    <w:rPr>
                      <w:rFonts w:hint="default"/>
                      <w:lang w:val="en-US" w:eastAsia="zh-CN"/>
                    </w:rPr>
                    <w:t>304SS/新增/防爆等级：ExdIIBT4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5</w:t>
                  </w:r>
                </w:p>
              </w:tc>
              <w:tc>
                <w:tcPr>
                  <w:tcW w:w="2252" w:type="pct"/>
                  <w:noWrap/>
                  <w:vAlign w:val="center"/>
                </w:tcPr>
                <w:p>
                  <w:pPr>
                    <w:pStyle w:val="22"/>
                    <w:bidi w:val="0"/>
                    <w:rPr>
                      <w:rFonts w:hint="default"/>
                    </w:rPr>
                  </w:pPr>
                  <w:r>
                    <w:rPr>
                      <w:rFonts w:hint="default"/>
                      <w:lang w:val="en-US" w:eastAsia="zh-CN"/>
                    </w:rPr>
                    <w:t>烘干执行装置</w:t>
                  </w:r>
                </w:p>
              </w:tc>
              <w:tc>
                <w:tcPr>
                  <w:tcW w:w="1685" w:type="pct"/>
                  <w:noWrap w:val="0"/>
                  <w:vAlign w:val="center"/>
                </w:tcPr>
                <w:p>
                  <w:pPr>
                    <w:pStyle w:val="22"/>
                    <w:bidi w:val="0"/>
                    <w:rPr>
                      <w:rFonts w:hint="default"/>
                    </w:rPr>
                  </w:pPr>
                  <w:r>
                    <w:rPr>
                      <w:rFonts w:hint="default"/>
                      <w:lang w:val="en-US" w:eastAsia="zh-CN"/>
                    </w:rPr>
                    <w:t>304SS</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6</w:t>
                  </w:r>
                </w:p>
              </w:tc>
              <w:tc>
                <w:tcPr>
                  <w:tcW w:w="4602" w:type="pct"/>
                  <w:gridSpan w:val="4"/>
                  <w:noWrap/>
                  <w:vAlign w:val="center"/>
                </w:tcPr>
                <w:p>
                  <w:pPr>
                    <w:pStyle w:val="22"/>
                    <w:bidi w:val="0"/>
                    <w:rPr>
                      <w:rFonts w:hint="default"/>
                    </w:rPr>
                  </w:pPr>
                  <w:r>
                    <w:rPr>
                      <w:rFonts w:hint="default"/>
                      <w:lang w:val="en-US" w:eastAsia="zh-CN"/>
                    </w:rPr>
                    <w:t>供水系统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6.1</w:t>
                  </w:r>
                </w:p>
              </w:tc>
              <w:tc>
                <w:tcPr>
                  <w:tcW w:w="2252" w:type="pct"/>
                  <w:noWrap w:val="0"/>
                  <w:vAlign w:val="center"/>
                </w:tcPr>
                <w:p>
                  <w:pPr>
                    <w:pStyle w:val="22"/>
                    <w:bidi w:val="0"/>
                    <w:rPr>
                      <w:rFonts w:hint="default"/>
                    </w:rPr>
                  </w:pPr>
                  <w:r>
                    <w:rPr>
                      <w:rFonts w:hint="default"/>
                      <w:lang w:val="en-US" w:eastAsia="zh-CN"/>
                    </w:rPr>
                    <w:t>冷水罐组件（含进出水阀，液位计等）</w:t>
                  </w:r>
                </w:p>
              </w:tc>
              <w:tc>
                <w:tcPr>
                  <w:tcW w:w="1685" w:type="pct"/>
                  <w:noWrap w:val="0"/>
                  <w:vAlign w:val="center"/>
                </w:tcPr>
                <w:p>
                  <w:pPr>
                    <w:pStyle w:val="22"/>
                    <w:bidi w:val="0"/>
                    <w:rPr>
                      <w:rFonts w:hint="default"/>
                    </w:rPr>
                  </w:pPr>
                  <w:r>
                    <w:rPr>
                      <w:rFonts w:hint="default"/>
                      <w:lang w:val="en-US" w:eastAsia="zh-CN"/>
                    </w:rPr>
                    <w:t>304ss/ V=3m³</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6.2</w:t>
                  </w:r>
                </w:p>
              </w:tc>
              <w:tc>
                <w:tcPr>
                  <w:tcW w:w="2252" w:type="pct"/>
                  <w:noWrap/>
                  <w:vAlign w:val="center"/>
                </w:tcPr>
                <w:p>
                  <w:pPr>
                    <w:pStyle w:val="22"/>
                    <w:bidi w:val="0"/>
                    <w:rPr>
                      <w:rFonts w:hint="default"/>
                    </w:rPr>
                  </w:pPr>
                  <w:r>
                    <w:rPr>
                      <w:rFonts w:hint="default"/>
                      <w:lang w:val="en-US" w:eastAsia="zh-CN"/>
                    </w:rPr>
                    <w:t>阀门汇集</w:t>
                  </w:r>
                </w:p>
              </w:tc>
              <w:tc>
                <w:tcPr>
                  <w:tcW w:w="1685" w:type="pct"/>
                  <w:noWrap/>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6.3</w:t>
                  </w:r>
                </w:p>
              </w:tc>
              <w:tc>
                <w:tcPr>
                  <w:tcW w:w="2252" w:type="pct"/>
                  <w:noWrap/>
                  <w:vAlign w:val="center"/>
                </w:tcPr>
                <w:p>
                  <w:pPr>
                    <w:pStyle w:val="22"/>
                    <w:bidi w:val="0"/>
                    <w:rPr>
                      <w:rFonts w:hint="default"/>
                    </w:rPr>
                  </w:pPr>
                  <w:r>
                    <w:rPr>
                      <w:rFonts w:hint="default"/>
                      <w:lang w:val="en-US" w:eastAsia="zh-CN"/>
                    </w:rPr>
                    <w:t>压力，温度传感仪表汇集</w:t>
                  </w:r>
                </w:p>
              </w:tc>
              <w:tc>
                <w:tcPr>
                  <w:tcW w:w="1685" w:type="pct"/>
                  <w:noWrap/>
                  <w:vAlign w:val="center"/>
                </w:tcPr>
                <w:p>
                  <w:pPr>
                    <w:pStyle w:val="22"/>
                    <w:bidi w:val="0"/>
                    <w:rPr>
                      <w:rFonts w:hint="default"/>
                    </w:rPr>
                  </w:pPr>
                  <w:r>
                    <w:rPr>
                      <w:rFonts w:hint="default"/>
                      <w:lang w:val="en-US" w:eastAsia="zh-CN"/>
                    </w:rPr>
                    <w:t>4-20ma/24V　</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7</w:t>
                  </w:r>
                </w:p>
              </w:tc>
              <w:tc>
                <w:tcPr>
                  <w:tcW w:w="4602" w:type="pct"/>
                  <w:gridSpan w:val="4"/>
                  <w:noWrap/>
                  <w:vAlign w:val="center"/>
                </w:tcPr>
                <w:p>
                  <w:pPr>
                    <w:pStyle w:val="22"/>
                    <w:bidi w:val="0"/>
                    <w:rPr>
                      <w:rFonts w:hint="default"/>
                    </w:rPr>
                  </w:pPr>
                  <w:r>
                    <w:rPr>
                      <w:rFonts w:hint="default"/>
                      <w:lang w:val="en-US" w:eastAsia="zh-CN"/>
                    </w:rPr>
                    <w:t>加药系统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7.1</w:t>
                  </w:r>
                </w:p>
              </w:tc>
              <w:tc>
                <w:tcPr>
                  <w:tcW w:w="2252" w:type="pct"/>
                  <w:noWrap/>
                  <w:vAlign w:val="center"/>
                </w:tcPr>
                <w:p>
                  <w:pPr>
                    <w:pStyle w:val="22"/>
                    <w:bidi w:val="0"/>
                    <w:rPr>
                      <w:rFonts w:hint="default"/>
                    </w:rPr>
                  </w:pPr>
                  <w:r>
                    <w:rPr>
                      <w:rFonts w:hint="default"/>
                      <w:lang w:val="en-US" w:eastAsia="zh-CN"/>
                    </w:rPr>
                    <w:t>加药系统</w:t>
                  </w:r>
                </w:p>
              </w:tc>
              <w:tc>
                <w:tcPr>
                  <w:tcW w:w="1685" w:type="pct"/>
                  <w:noWrap w:val="0"/>
                  <w:vAlign w:val="center"/>
                </w:tcPr>
                <w:p>
                  <w:pPr>
                    <w:pStyle w:val="22"/>
                    <w:bidi w:val="0"/>
                    <w:rPr>
                      <w:rFonts w:hint="default"/>
                    </w:rPr>
                  </w:pPr>
                  <w:r>
                    <w:rPr>
                      <w:rFonts w:hint="default"/>
                      <w:lang w:val="en-US" w:eastAsia="zh-CN"/>
                    </w:rPr>
                    <w:t>PE材质，具有加药，搅拌,液位控制等功能/防爆等级：ExdIIBT4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7.2</w:t>
                  </w:r>
                </w:p>
              </w:tc>
              <w:tc>
                <w:tcPr>
                  <w:tcW w:w="2252" w:type="pct"/>
                  <w:noWrap/>
                  <w:vAlign w:val="center"/>
                </w:tcPr>
                <w:p>
                  <w:pPr>
                    <w:pStyle w:val="22"/>
                    <w:bidi w:val="0"/>
                    <w:rPr>
                      <w:rFonts w:hint="default"/>
                    </w:rPr>
                  </w:pPr>
                  <w:r>
                    <w:rPr>
                      <w:rFonts w:hint="default"/>
                      <w:lang w:val="en-US" w:eastAsia="zh-CN"/>
                    </w:rPr>
                    <w:t>阀门，液位汇集</w:t>
                  </w:r>
                </w:p>
              </w:tc>
              <w:tc>
                <w:tcPr>
                  <w:tcW w:w="1685" w:type="pct"/>
                  <w:noWrap/>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8</w:t>
                  </w:r>
                </w:p>
              </w:tc>
              <w:tc>
                <w:tcPr>
                  <w:tcW w:w="4602" w:type="pct"/>
                  <w:gridSpan w:val="4"/>
                  <w:noWrap/>
                  <w:vAlign w:val="center"/>
                </w:tcPr>
                <w:p>
                  <w:pPr>
                    <w:pStyle w:val="22"/>
                    <w:bidi w:val="0"/>
                    <w:rPr>
                      <w:rFonts w:hint="default"/>
                    </w:rPr>
                  </w:pPr>
                  <w:r>
                    <w:rPr>
                      <w:rFonts w:hint="default"/>
                      <w:lang w:val="en-US" w:eastAsia="zh-CN"/>
                    </w:rPr>
                    <w:t>通风及烘干系统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8.1</w:t>
                  </w:r>
                </w:p>
              </w:tc>
              <w:tc>
                <w:tcPr>
                  <w:tcW w:w="2252" w:type="pct"/>
                  <w:noWrap w:val="0"/>
                  <w:vAlign w:val="center"/>
                </w:tcPr>
                <w:p>
                  <w:pPr>
                    <w:pStyle w:val="22"/>
                    <w:bidi w:val="0"/>
                    <w:rPr>
                      <w:rFonts w:hint="default"/>
                    </w:rPr>
                  </w:pPr>
                  <w:r>
                    <w:rPr>
                      <w:rFonts w:hint="default"/>
                      <w:lang w:val="en-US" w:eastAsia="zh-CN"/>
                    </w:rPr>
                    <w:t>变频离心风机</w:t>
                  </w:r>
                </w:p>
              </w:tc>
              <w:tc>
                <w:tcPr>
                  <w:tcW w:w="1685" w:type="pct"/>
                  <w:noWrap w:val="0"/>
                  <w:vAlign w:val="center"/>
                </w:tcPr>
                <w:p>
                  <w:pPr>
                    <w:pStyle w:val="22"/>
                    <w:bidi w:val="0"/>
                    <w:rPr>
                      <w:rFonts w:hint="default"/>
                    </w:rPr>
                  </w:pPr>
                  <w:r>
                    <w:rPr>
                      <w:rFonts w:hint="default"/>
                      <w:lang w:val="en-US" w:eastAsia="zh-CN"/>
                    </w:rPr>
                    <w:t>风量10000m³/h，风压3200pa，功率18.5KW，电机防爆等级：ExdIIBT4</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8.2</w:t>
                  </w:r>
                </w:p>
              </w:tc>
              <w:tc>
                <w:tcPr>
                  <w:tcW w:w="2252" w:type="pct"/>
                  <w:noWrap w:val="0"/>
                  <w:vAlign w:val="center"/>
                </w:tcPr>
                <w:p>
                  <w:pPr>
                    <w:pStyle w:val="22"/>
                    <w:bidi w:val="0"/>
                    <w:rPr>
                      <w:rFonts w:hint="default"/>
                    </w:rPr>
                  </w:pPr>
                  <w:r>
                    <w:rPr>
                      <w:rFonts w:hint="default"/>
                      <w:lang w:val="en-US" w:eastAsia="zh-CN"/>
                    </w:rPr>
                    <w:t>蒸汽散热器</w:t>
                  </w:r>
                </w:p>
              </w:tc>
              <w:tc>
                <w:tcPr>
                  <w:tcW w:w="1685" w:type="pct"/>
                  <w:noWrap w:val="0"/>
                  <w:vAlign w:val="center"/>
                </w:tcPr>
                <w:p>
                  <w:pPr>
                    <w:pStyle w:val="22"/>
                    <w:bidi w:val="0"/>
                    <w:rPr>
                      <w:rFonts w:hint="default"/>
                    </w:rPr>
                  </w:pPr>
                  <w:r>
                    <w:rPr>
                      <w:rFonts w:hint="default"/>
                      <w:lang w:val="en-US" w:eastAsia="zh-CN"/>
                    </w:rPr>
                    <w:t>钢铝复合/散热面积140平方</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8.3</w:t>
                  </w:r>
                </w:p>
              </w:tc>
              <w:tc>
                <w:tcPr>
                  <w:tcW w:w="2252" w:type="pct"/>
                  <w:noWrap w:val="0"/>
                  <w:vAlign w:val="center"/>
                </w:tcPr>
                <w:p>
                  <w:pPr>
                    <w:pStyle w:val="22"/>
                    <w:bidi w:val="0"/>
                    <w:rPr>
                      <w:rFonts w:hint="default"/>
                    </w:rPr>
                  </w:pPr>
                  <w:r>
                    <w:rPr>
                      <w:rFonts w:hint="default"/>
                      <w:lang w:val="en-US" w:eastAsia="zh-CN"/>
                    </w:rPr>
                    <w:t>蒸汽调压阀、泄水阀</w:t>
                  </w:r>
                </w:p>
              </w:tc>
              <w:tc>
                <w:tcPr>
                  <w:tcW w:w="1685" w:type="pct"/>
                  <w:noWrap w:val="0"/>
                  <w:vAlign w:val="center"/>
                </w:tcPr>
                <w:p>
                  <w:pPr>
                    <w:pStyle w:val="22"/>
                    <w:bidi w:val="0"/>
                    <w:rPr>
                      <w:rFonts w:hint="default"/>
                    </w:rPr>
                  </w:pPr>
                  <w:r>
                    <w:rPr>
                      <w:rFonts w:hint="default"/>
                      <w:lang w:val="en-US" w:eastAsia="zh-CN"/>
                    </w:rPr>
                    <w:t>DN50/SUS304</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8.4</w:t>
                  </w:r>
                </w:p>
              </w:tc>
              <w:tc>
                <w:tcPr>
                  <w:tcW w:w="2252" w:type="pct"/>
                  <w:noWrap/>
                  <w:vAlign w:val="center"/>
                </w:tcPr>
                <w:p>
                  <w:pPr>
                    <w:pStyle w:val="22"/>
                    <w:bidi w:val="0"/>
                    <w:rPr>
                      <w:rFonts w:hint="default"/>
                    </w:rPr>
                  </w:pPr>
                  <w:r>
                    <w:rPr>
                      <w:rFonts w:hint="default"/>
                      <w:lang w:val="en-US" w:eastAsia="zh-CN"/>
                    </w:rPr>
                    <w:t>电动防爆风阀等阀门汇集</w:t>
                  </w:r>
                </w:p>
              </w:tc>
              <w:tc>
                <w:tcPr>
                  <w:tcW w:w="1685" w:type="pct"/>
                  <w:noWrap/>
                  <w:vAlign w:val="center"/>
                </w:tcPr>
                <w:p>
                  <w:pPr>
                    <w:pStyle w:val="22"/>
                    <w:bidi w:val="0"/>
                    <w:rPr>
                      <w:rFonts w:hint="default"/>
                    </w:rPr>
                  </w:pPr>
                  <w:r>
                    <w:rPr>
                      <w:rFonts w:hint="default"/>
                      <w:lang w:val="en-US" w:eastAsia="zh-CN"/>
                    </w:rPr>
                    <w:t xml:space="preserve">DN250/304 </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8.5</w:t>
                  </w:r>
                </w:p>
              </w:tc>
              <w:tc>
                <w:tcPr>
                  <w:tcW w:w="2252" w:type="pct"/>
                  <w:noWrap/>
                  <w:vAlign w:val="center"/>
                </w:tcPr>
                <w:p>
                  <w:pPr>
                    <w:pStyle w:val="22"/>
                    <w:bidi w:val="0"/>
                    <w:rPr>
                      <w:rFonts w:hint="default"/>
                    </w:rPr>
                  </w:pPr>
                  <w:r>
                    <w:rPr>
                      <w:rFonts w:hint="default"/>
                      <w:lang w:val="en-US" w:eastAsia="zh-CN"/>
                    </w:rPr>
                    <w:t>压力，温度传感仪表汇集</w:t>
                  </w:r>
                </w:p>
              </w:tc>
              <w:tc>
                <w:tcPr>
                  <w:tcW w:w="1685" w:type="pct"/>
                  <w:noWrap/>
                  <w:vAlign w:val="center"/>
                </w:tcPr>
                <w:p>
                  <w:pPr>
                    <w:pStyle w:val="22"/>
                    <w:bidi w:val="0"/>
                    <w:rPr>
                      <w:rFonts w:hint="default"/>
                    </w:rPr>
                  </w:pPr>
                  <w:r>
                    <w:rPr>
                      <w:rFonts w:hint="default"/>
                      <w:lang w:val="en-US" w:eastAsia="zh-CN"/>
                    </w:rPr>
                    <w:t>304</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8.6</w:t>
                  </w:r>
                </w:p>
              </w:tc>
              <w:tc>
                <w:tcPr>
                  <w:tcW w:w="2252" w:type="pct"/>
                  <w:noWrap/>
                  <w:vAlign w:val="center"/>
                </w:tcPr>
                <w:p>
                  <w:pPr>
                    <w:pStyle w:val="22"/>
                    <w:bidi w:val="0"/>
                    <w:rPr>
                      <w:rFonts w:hint="default"/>
                    </w:rPr>
                  </w:pPr>
                  <w:r>
                    <w:rPr>
                      <w:rFonts w:hint="default"/>
                      <w:lang w:val="en-US" w:eastAsia="zh-CN"/>
                    </w:rPr>
                    <w:t>通风软管</w:t>
                  </w:r>
                </w:p>
              </w:tc>
              <w:tc>
                <w:tcPr>
                  <w:tcW w:w="1685" w:type="pct"/>
                  <w:noWrap/>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9</w:t>
                  </w:r>
                </w:p>
              </w:tc>
              <w:tc>
                <w:tcPr>
                  <w:tcW w:w="4602" w:type="pct"/>
                  <w:gridSpan w:val="4"/>
                  <w:noWrap/>
                  <w:vAlign w:val="center"/>
                </w:tcPr>
                <w:p>
                  <w:pPr>
                    <w:pStyle w:val="22"/>
                    <w:bidi w:val="0"/>
                    <w:rPr>
                      <w:rFonts w:hint="default"/>
                    </w:rPr>
                  </w:pPr>
                  <w:r>
                    <w:rPr>
                      <w:rFonts w:hint="default"/>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9.1</w:t>
                  </w:r>
                </w:p>
              </w:tc>
              <w:tc>
                <w:tcPr>
                  <w:tcW w:w="2252" w:type="pct"/>
                  <w:noWrap w:val="0"/>
                  <w:vAlign w:val="center"/>
                </w:tcPr>
                <w:p>
                  <w:pPr>
                    <w:pStyle w:val="22"/>
                    <w:bidi w:val="0"/>
                    <w:rPr>
                      <w:rFonts w:hint="default"/>
                    </w:rPr>
                  </w:pPr>
                  <w:r>
                    <w:rPr>
                      <w:rFonts w:hint="default"/>
                      <w:lang w:val="en-US" w:eastAsia="zh-CN"/>
                    </w:rPr>
                    <w:t>易燃易爆检测装置</w:t>
                  </w:r>
                </w:p>
              </w:tc>
              <w:tc>
                <w:tcPr>
                  <w:tcW w:w="1685" w:type="pct"/>
                  <w:noWrap w:val="0"/>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9.2</w:t>
                  </w:r>
                </w:p>
              </w:tc>
              <w:tc>
                <w:tcPr>
                  <w:tcW w:w="2252" w:type="pct"/>
                  <w:noWrap w:val="0"/>
                  <w:vAlign w:val="center"/>
                </w:tcPr>
                <w:p>
                  <w:pPr>
                    <w:pStyle w:val="22"/>
                    <w:bidi w:val="0"/>
                    <w:rPr>
                      <w:rFonts w:hint="default"/>
                    </w:rPr>
                  </w:pPr>
                  <w:r>
                    <w:rPr>
                      <w:rFonts w:hint="default"/>
                      <w:lang w:val="en-US" w:eastAsia="zh-CN"/>
                    </w:rPr>
                    <w:t>有毒有害检测装置</w:t>
                  </w:r>
                </w:p>
              </w:tc>
              <w:tc>
                <w:tcPr>
                  <w:tcW w:w="1685" w:type="pct"/>
                  <w:noWrap w:val="0"/>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9.3</w:t>
                  </w:r>
                </w:p>
              </w:tc>
              <w:tc>
                <w:tcPr>
                  <w:tcW w:w="2252" w:type="pct"/>
                  <w:noWrap w:val="0"/>
                  <w:vAlign w:val="center"/>
                </w:tcPr>
                <w:p>
                  <w:pPr>
                    <w:pStyle w:val="22"/>
                    <w:bidi w:val="0"/>
                    <w:rPr>
                      <w:rFonts w:hint="default"/>
                    </w:rPr>
                  </w:pPr>
                  <w:r>
                    <w:rPr>
                      <w:rFonts w:hint="default"/>
                      <w:lang w:val="en-US" w:eastAsia="zh-CN"/>
                    </w:rPr>
                    <w:t>防坠落装置</w:t>
                  </w:r>
                </w:p>
              </w:tc>
              <w:tc>
                <w:tcPr>
                  <w:tcW w:w="1685" w:type="pct"/>
                  <w:noWrap w:val="0"/>
                  <w:vAlign w:val="center"/>
                </w:tcPr>
                <w:p>
                  <w:pPr>
                    <w:pStyle w:val="22"/>
                    <w:bidi w:val="0"/>
                    <w:rPr>
                      <w:rFonts w:hint="default"/>
                    </w:rPr>
                  </w:pPr>
                  <w:r>
                    <w:rPr>
                      <w:rFonts w:hint="default"/>
                      <w:lang w:val="en-US" w:eastAsia="zh-CN"/>
                    </w:rPr>
                    <w:t>不锈钢钢丝</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9.4</w:t>
                  </w:r>
                </w:p>
              </w:tc>
              <w:tc>
                <w:tcPr>
                  <w:tcW w:w="2252" w:type="pct"/>
                  <w:noWrap w:val="0"/>
                  <w:vAlign w:val="center"/>
                </w:tcPr>
                <w:p>
                  <w:pPr>
                    <w:pStyle w:val="22"/>
                    <w:bidi w:val="0"/>
                    <w:rPr>
                      <w:rFonts w:hint="default"/>
                    </w:rPr>
                  </w:pPr>
                  <w:r>
                    <w:rPr>
                      <w:rFonts w:hint="default"/>
                      <w:lang w:val="en-US" w:eastAsia="zh-CN"/>
                    </w:rPr>
                    <w:t>静电接地装置</w:t>
                  </w:r>
                </w:p>
              </w:tc>
              <w:tc>
                <w:tcPr>
                  <w:tcW w:w="1685" w:type="pct"/>
                  <w:noWrap w:val="0"/>
                  <w:vAlign w:val="center"/>
                </w:tcPr>
                <w:p>
                  <w:pPr>
                    <w:pStyle w:val="22"/>
                    <w:bidi w:val="0"/>
                    <w:rPr>
                      <w:rFonts w:hint="default"/>
                    </w:rPr>
                  </w:pPr>
                  <w:r>
                    <w:rPr>
                      <w:rFonts w:hint="default"/>
                      <w:lang w:val="en-US" w:eastAsia="zh-CN"/>
                    </w:rPr>
                    <w:t>15米长，40A，IP42</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10</w:t>
                  </w:r>
                </w:p>
              </w:tc>
              <w:tc>
                <w:tcPr>
                  <w:tcW w:w="4602" w:type="pct"/>
                  <w:gridSpan w:val="4"/>
                  <w:noWrap w:val="0"/>
                  <w:vAlign w:val="center"/>
                </w:tcPr>
                <w:p>
                  <w:pPr>
                    <w:pStyle w:val="22"/>
                    <w:bidi w:val="0"/>
                    <w:rPr>
                      <w:rFonts w:hint="default"/>
                    </w:rPr>
                  </w:pPr>
                  <w:r>
                    <w:rPr>
                      <w:rFonts w:hint="default"/>
                      <w:lang w:val="en-US" w:eastAsia="zh-CN"/>
                    </w:rPr>
                    <w:t>电气控制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10.1</w:t>
                  </w:r>
                </w:p>
              </w:tc>
              <w:tc>
                <w:tcPr>
                  <w:tcW w:w="2252" w:type="pct"/>
                  <w:noWrap/>
                  <w:vAlign w:val="center"/>
                </w:tcPr>
                <w:p>
                  <w:pPr>
                    <w:pStyle w:val="22"/>
                    <w:bidi w:val="0"/>
                    <w:rPr>
                      <w:rFonts w:hint="default"/>
                    </w:rPr>
                  </w:pPr>
                  <w:r>
                    <w:rPr>
                      <w:rFonts w:hint="default"/>
                      <w:lang w:val="en-US" w:eastAsia="zh-CN"/>
                    </w:rPr>
                    <w:t>PLC</w:t>
                  </w:r>
                </w:p>
              </w:tc>
              <w:tc>
                <w:tcPr>
                  <w:tcW w:w="1685" w:type="pct"/>
                  <w:noWrap w:val="0"/>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10.2</w:t>
                  </w:r>
                </w:p>
              </w:tc>
              <w:tc>
                <w:tcPr>
                  <w:tcW w:w="2252" w:type="pct"/>
                  <w:noWrap/>
                  <w:vAlign w:val="center"/>
                </w:tcPr>
                <w:p>
                  <w:pPr>
                    <w:pStyle w:val="22"/>
                    <w:bidi w:val="0"/>
                    <w:rPr>
                      <w:rFonts w:hint="default"/>
                    </w:rPr>
                  </w:pPr>
                  <w:r>
                    <w:rPr>
                      <w:rFonts w:hint="default"/>
                      <w:lang w:val="en-US" w:eastAsia="zh-CN"/>
                    </w:rPr>
                    <w:t>触摸屏</w:t>
                  </w:r>
                </w:p>
              </w:tc>
              <w:tc>
                <w:tcPr>
                  <w:tcW w:w="1685" w:type="pct"/>
                  <w:noWrap w:val="0"/>
                  <w:vAlign w:val="center"/>
                </w:tcPr>
                <w:p>
                  <w:pPr>
                    <w:pStyle w:val="22"/>
                    <w:bidi w:val="0"/>
                    <w:rPr>
                      <w:rFonts w:hint="default"/>
                    </w:rPr>
                  </w:pPr>
                  <w:r>
                    <w:rPr>
                      <w:rFonts w:hint="default"/>
                      <w:lang w:val="en-US" w:eastAsia="zh-CN"/>
                    </w:rPr>
                    <w:t>12寸</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10.3</w:t>
                  </w:r>
                </w:p>
              </w:tc>
              <w:tc>
                <w:tcPr>
                  <w:tcW w:w="2252" w:type="pct"/>
                  <w:noWrap/>
                  <w:vAlign w:val="center"/>
                </w:tcPr>
                <w:p>
                  <w:pPr>
                    <w:pStyle w:val="22"/>
                    <w:bidi w:val="0"/>
                    <w:rPr>
                      <w:rFonts w:hint="default"/>
                    </w:rPr>
                  </w:pPr>
                  <w:r>
                    <w:rPr>
                      <w:rFonts w:hint="default"/>
                      <w:lang w:val="en-US" w:eastAsia="zh-CN"/>
                    </w:rPr>
                    <w:t>低压电气</w:t>
                  </w:r>
                </w:p>
              </w:tc>
              <w:tc>
                <w:tcPr>
                  <w:tcW w:w="1685" w:type="pct"/>
                  <w:noWrap w:val="0"/>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10.4</w:t>
                  </w:r>
                </w:p>
              </w:tc>
              <w:tc>
                <w:tcPr>
                  <w:tcW w:w="2252" w:type="pct"/>
                  <w:noWrap/>
                  <w:vAlign w:val="center"/>
                </w:tcPr>
                <w:p>
                  <w:pPr>
                    <w:pStyle w:val="22"/>
                    <w:bidi w:val="0"/>
                    <w:rPr>
                      <w:rFonts w:hint="default"/>
                    </w:rPr>
                  </w:pPr>
                  <w:r>
                    <w:rPr>
                      <w:rFonts w:hint="default"/>
                      <w:lang w:val="en-US" w:eastAsia="zh-CN"/>
                    </w:rPr>
                    <w:t>控制柜</w:t>
                  </w:r>
                </w:p>
              </w:tc>
              <w:tc>
                <w:tcPr>
                  <w:tcW w:w="1685" w:type="pct"/>
                  <w:noWrap w:val="0"/>
                  <w:vAlign w:val="center"/>
                </w:tcPr>
                <w:p>
                  <w:pPr>
                    <w:pStyle w:val="22"/>
                    <w:bidi w:val="0"/>
                    <w:rPr>
                      <w:rFonts w:hint="default"/>
                    </w:rPr>
                  </w:pPr>
                  <w:r>
                    <w:rPr>
                      <w:rFonts w:hint="default"/>
                      <w:lang w:val="en-US" w:eastAsia="zh-CN"/>
                    </w:rPr>
                    <w:t>Q235-A</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10.5</w:t>
                  </w:r>
                </w:p>
              </w:tc>
              <w:tc>
                <w:tcPr>
                  <w:tcW w:w="2252" w:type="pct"/>
                  <w:noWrap/>
                  <w:vAlign w:val="center"/>
                </w:tcPr>
                <w:p>
                  <w:pPr>
                    <w:pStyle w:val="22"/>
                    <w:bidi w:val="0"/>
                    <w:rPr>
                      <w:rFonts w:hint="default"/>
                    </w:rPr>
                  </w:pPr>
                  <w:r>
                    <w:rPr>
                      <w:rFonts w:hint="default"/>
                      <w:lang w:val="en-US" w:eastAsia="zh-CN"/>
                    </w:rPr>
                    <w:t>防爆就地控制箱</w:t>
                  </w:r>
                </w:p>
              </w:tc>
              <w:tc>
                <w:tcPr>
                  <w:tcW w:w="1685" w:type="pct"/>
                  <w:noWrap w:val="0"/>
                  <w:vAlign w:val="center"/>
                </w:tcPr>
                <w:p>
                  <w:pPr>
                    <w:pStyle w:val="22"/>
                    <w:bidi w:val="0"/>
                    <w:rPr>
                      <w:rFonts w:hint="default"/>
                    </w:rPr>
                  </w:pPr>
                  <w:r>
                    <w:rPr>
                      <w:rFonts w:hint="default"/>
                      <w:lang w:val="en-US" w:eastAsia="zh-CN"/>
                    </w:rPr>
                    <w:t>304</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10.6</w:t>
                  </w:r>
                </w:p>
              </w:tc>
              <w:tc>
                <w:tcPr>
                  <w:tcW w:w="2252" w:type="pct"/>
                  <w:noWrap/>
                  <w:vAlign w:val="center"/>
                </w:tcPr>
                <w:p>
                  <w:pPr>
                    <w:pStyle w:val="22"/>
                    <w:bidi w:val="0"/>
                    <w:rPr>
                      <w:rFonts w:hint="default"/>
                    </w:rPr>
                  </w:pPr>
                  <w:r>
                    <w:rPr>
                      <w:rFonts w:hint="default"/>
                      <w:lang w:val="en-US" w:eastAsia="zh-CN"/>
                    </w:rPr>
                    <w:t>电缆</w:t>
                  </w:r>
                </w:p>
              </w:tc>
              <w:tc>
                <w:tcPr>
                  <w:tcW w:w="1685" w:type="pct"/>
                  <w:noWrap w:val="0"/>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10.7</w:t>
                  </w:r>
                </w:p>
              </w:tc>
              <w:tc>
                <w:tcPr>
                  <w:tcW w:w="2252" w:type="pct"/>
                  <w:noWrap/>
                  <w:vAlign w:val="center"/>
                </w:tcPr>
                <w:p>
                  <w:pPr>
                    <w:pStyle w:val="22"/>
                    <w:bidi w:val="0"/>
                    <w:rPr>
                      <w:rFonts w:hint="default"/>
                    </w:rPr>
                  </w:pPr>
                  <w:r>
                    <w:rPr>
                      <w:rFonts w:hint="default"/>
                      <w:lang w:val="en-US" w:eastAsia="zh-CN"/>
                    </w:rPr>
                    <w:t>桥架，挠性管及附件等</w:t>
                  </w:r>
                </w:p>
              </w:tc>
              <w:tc>
                <w:tcPr>
                  <w:tcW w:w="1685" w:type="pct"/>
                  <w:noWrap w:val="0"/>
                  <w:vAlign w:val="center"/>
                </w:tcPr>
                <w:p>
                  <w:pPr>
                    <w:pStyle w:val="22"/>
                    <w:bidi w:val="0"/>
                    <w:rPr>
                      <w:rFonts w:hint="default"/>
                    </w:rPr>
                  </w:pP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11</w:t>
                  </w:r>
                </w:p>
              </w:tc>
              <w:tc>
                <w:tcPr>
                  <w:tcW w:w="2252" w:type="pct"/>
                  <w:noWrap/>
                  <w:vAlign w:val="center"/>
                </w:tcPr>
                <w:p>
                  <w:pPr>
                    <w:pStyle w:val="22"/>
                    <w:bidi w:val="0"/>
                    <w:rPr>
                      <w:rFonts w:hint="default"/>
                    </w:rPr>
                  </w:pPr>
                  <w:r>
                    <w:rPr>
                      <w:rFonts w:hint="default"/>
                      <w:lang w:val="en-US" w:eastAsia="zh-CN"/>
                    </w:rPr>
                    <w:t>蒸汽球阀，气动球阀，手动阀及阀门汇集</w:t>
                  </w:r>
                </w:p>
              </w:tc>
              <w:tc>
                <w:tcPr>
                  <w:tcW w:w="1685" w:type="pct"/>
                  <w:noWrap w:val="0"/>
                  <w:vAlign w:val="center"/>
                </w:tcPr>
                <w:p>
                  <w:pPr>
                    <w:pStyle w:val="22"/>
                    <w:bidi w:val="0"/>
                    <w:rPr>
                      <w:rFonts w:hint="default"/>
                    </w:rPr>
                  </w:pPr>
                  <w:r>
                    <w:rPr>
                      <w:rFonts w:hint="default"/>
                      <w:lang w:val="en-US" w:eastAsia="zh-CN"/>
                    </w:rPr>
                    <w:t>304</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12</w:t>
                  </w:r>
                </w:p>
              </w:tc>
              <w:tc>
                <w:tcPr>
                  <w:tcW w:w="2252" w:type="pct"/>
                  <w:noWrap/>
                  <w:vAlign w:val="center"/>
                </w:tcPr>
                <w:p>
                  <w:pPr>
                    <w:pStyle w:val="22"/>
                    <w:bidi w:val="0"/>
                    <w:rPr>
                      <w:rFonts w:hint="default"/>
                    </w:rPr>
                  </w:pPr>
                  <w:r>
                    <w:rPr>
                      <w:rFonts w:hint="default"/>
                      <w:lang w:val="en-US" w:eastAsia="zh-CN"/>
                    </w:rPr>
                    <w:t>高压水管路，蒸汽管路，仪表风管路汇集</w:t>
                  </w:r>
                </w:p>
              </w:tc>
              <w:tc>
                <w:tcPr>
                  <w:tcW w:w="1685" w:type="pct"/>
                  <w:noWrap w:val="0"/>
                  <w:vAlign w:val="center"/>
                </w:tcPr>
                <w:p>
                  <w:pPr>
                    <w:pStyle w:val="22"/>
                    <w:bidi w:val="0"/>
                    <w:rPr>
                      <w:rFonts w:hint="default"/>
                    </w:rPr>
                  </w:pPr>
                  <w:r>
                    <w:rPr>
                      <w:rFonts w:hint="default"/>
                      <w:lang w:val="en-US" w:eastAsia="zh-CN"/>
                    </w:rPr>
                    <w:t>304</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13</w:t>
                  </w:r>
                </w:p>
              </w:tc>
              <w:tc>
                <w:tcPr>
                  <w:tcW w:w="2252" w:type="pct"/>
                  <w:noWrap/>
                  <w:vAlign w:val="center"/>
                </w:tcPr>
                <w:p>
                  <w:pPr>
                    <w:pStyle w:val="22"/>
                    <w:bidi w:val="0"/>
                    <w:rPr>
                      <w:rFonts w:hint="default"/>
                    </w:rPr>
                  </w:pPr>
                  <w:r>
                    <w:rPr>
                      <w:rFonts w:hint="default"/>
                      <w:lang w:val="en-US" w:eastAsia="zh-CN"/>
                    </w:rPr>
                    <w:t>通风管路，废气管路汇集</w:t>
                  </w:r>
                </w:p>
              </w:tc>
              <w:tc>
                <w:tcPr>
                  <w:tcW w:w="1685" w:type="pct"/>
                  <w:noWrap w:val="0"/>
                  <w:vAlign w:val="center"/>
                </w:tcPr>
                <w:p>
                  <w:pPr>
                    <w:pStyle w:val="22"/>
                    <w:bidi w:val="0"/>
                    <w:rPr>
                      <w:rFonts w:hint="default"/>
                    </w:rPr>
                  </w:pPr>
                  <w:r>
                    <w:rPr>
                      <w:rFonts w:hint="default"/>
                      <w:lang w:val="en-US" w:eastAsia="zh-CN"/>
                    </w:rPr>
                    <w:t>201</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w:t>
                  </w:r>
                </w:p>
              </w:tc>
              <w:tc>
                <w:tcPr>
                  <w:tcW w:w="4602" w:type="pct"/>
                  <w:gridSpan w:val="4"/>
                  <w:noWrap/>
                  <w:vAlign w:val="center"/>
                </w:tcPr>
                <w:p>
                  <w:pPr>
                    <w:pStyle w:val="22"/>
                    <w:bidi w:val="0"/>
                    <w:rPr>
                      <w:rFonts w:hint="default"/>
                    </w:rPr>
                  </w:pPr>
                  <w:r>
                    <w:rPr>
                      <w:rFonts w:hint="default"/>
                      <w:lang w:val="en-US" w:eastAsia="zh-CN"/>
                    </w:rPr>
                    <w:t>废气处理装置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14.1</w:t>
                  </w:r>
                </w:p>
              </w:tc>
              <w:tc>
                <w:tcPr>
                  <w:tcW w:w="2252" w:type="pct"/>
                  <w:noWrap w:val="0"/>
                  <w:vAlign w:val="center"/>
                </w:tcPr>
                <w:p>
                  <w:pPr>
                    <w:pStyle w:val="22"/>
                    <w:bidi w:val="0"/>
                    <w:rPr>
                      <w:rFonts w:hint="default"/>
                    </w:rPr>
                  </w:pPr>
                  <w:r>
                    <w:rPr>
                      <w:rFonts w:hint="default"/>
                      <w:lang w:val="en-US" w:eastAsia="zh-CN"/>
                    </w:rPr>
                    <w:t>风机</w:t>
                  </w:r>
                </w:p>
              </w:tc>
              <w:tc>
                <w:tcPr>
                  <w:tcW w:w="1685" w:type="pct"/>
                  <w:noWrap w:val="0"/>
                  <w:vAlign w:val="center"/>
                </w:tcPr>
                <w:p>
                  <w:pPr>
                    <w:pStyle w:val="22"/>
                    <w:bidi w:val="0"/>
                    <w:rPr>
                      <w:rFonts w:hint="default"/>
                    </w:rPr>
                  </w:pPr>
                  <w:r>
                    <w:rPr>
                      <w:rFonts w:hint="default"/>
                      <w:lang w:val="en-US" w:eastAsia="zh-CN"/>
                    </w:rPr>
                    <w:t>风量</w:t>
                  </w:r>
                  <w:r>
                    <w:rPr>
                      <w:rFonts w:hint="eastAsia"/>
                      <w:lang w:val="en-US" w:eastAsia="zh-CN"/>
                    </w:rPr>
                    <w:t>6</w:t>
                  </w:r>
                  <w:r>
                    <w:rPr>
                      <w:rFonts w:hint="default"/>
                      <w:lang w:val="en-US" w:eastAsia="zh-CN"/>
                    </w:rPr>
                    <w:t>000m</w:t>
                  </w:r>
                  <w:r>
                    <w:rPr>
                      <w:rFonts w:hint="eastAsia"/>
                      <w:vertAlign w:val="superscript"/>
                      <w:lang w:val="en-US" w:eastAsia="zh-CN"/>
                    </w:rPr>
                    <w:t>3</w:t>
                  </w:r>
                  <w:r>
                    <w:rPr>
                      <w:rFonts w:hint="default"/>
                      <w:lang w:val="en-US" w:eastAsia="zh-CN"/>
                    </w:rPr>
                    <w:t>/h，风压4200pa，功率18.5KW/电机防爆等级：ExdIIBT4</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14.2</w:t>
                  </w:r>
                </w:p>
              </w:tc>
              <w:tc>
                <w:tcPr>
                  <w:tcW w:w="2252" w:type="pct"/>
                  <w:noWrap w:val="0"/>
                  <w:vAlign w:val="center"/>
                </w:tcPr>
                <w:p>
                  <w:pPr>
                    <w:pStyle w:val="22"/>
                    <w:bidi w:val="0"/>
                    <w:rPr>
                      <w:rFonts w:hint="default"/>
                    </w:rPr>
                  </w:pPr>
                  <w:r>
                    <w:rPr>
                      <w:rFonts w:hint="default"/>
                      <w:lang w:val="en-US" w:eastAsia="zh-CN"/>
                    </w:rPr>
                    <w:t>喷淋塔（三层喷淋）</w:t>
                  </w:r>
                </w:p>
              </w:tc>
              <w:tc>
                <w:tcPr>
                  <w:tcW w:w="1685" w:type="pct"/>
                  <w:noWrap w:val="0"/>
                  <w:vAlign w:val="center"/>
                </w:tcPr>
                <w:p>
                  <w:pPr>
                    <w:pStyle w:val="22"/>
                    <w:bidi w:val="0"/>
                    <w:rPr>
                      <w:rFonts w:hint="default"/>
                    </w:rPr>
                  </w:pPr>
                  <w:r>
                    <w:rPr>
                      <w:rFonts w:hint="default"/>
                      <w:lang w:val="en-US" w:eastAsia="zh-CN"/>
                    </w:rPr>
                    <w:t>304不锈钢</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14.3</w:t>
                  </w:r>
                </w:p>
              </w:tc>
              <w:tc>
                <w:tcPr>
                  <w:tcW w:w="2252" w:type="pct"/>
                  <w:noWrap w:val="0"/>
                  <w:vAlign w:val="center"/>
                </w:tcPr>
                <w:p>
                  <w:pPr>
                    <w:pStyle w:val="22"/>
                    <w:bidi w:val="0"/>
                    <w:rPr>
                      <w:rFonts w:hint="default"/>
                    </w:rPr>
                  </w:pPr>
                  <w:r>
                    <w:rPr>
                      <w:rFonts w:hint="default"/>
                      <w:lang w:val="en-US" w:eastAsia="zh-CN"/>
                    </w:rPr>
                    <w:t>干式过滤器</w:t>
                  </w:r>
                </w:p>
              </w:tc>
              <w:tc>
                <w:tcPr>
                  <w:tcW w:w="1685" w:type="pct"/>
                  <w:noWrap w:val="0"/>
                  <w:vAlign w:val="center"/>
                </w:tcPr>
                <w:p>
                  <w:pPr>
                    <w:pStyle w:val="22"/>
                    <w:bidi w:val="0"/>
                    <w:rPr>
                      <w:rFonts w:hint="default"/>
                    </w:rPr>
                  </w:pPr>
                  <w:r>
                    <w:rPr>
                      <w:rFonts w:hint="default"/>
                      <w:lang w:val="en-US" w:eastAsia="zh-CN"/>
                    </w:rPr>
                    <w:t>201不锈钢</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14.4</w:t>
                  </w:r>
                </w:p>
              </w:tc>
              <w:tc>
                <w:tcPr>
                  <w:tcW w:w="2252" w:type="pct"/>
                  <w:noWrap w:val="0"/>
                  <w:vAlign w:val="center"/>
                </w:tcPr>
                <w:p>
                  <w:pPr>
                    <w:pStyle w:val="22"/>
                    <w:bidi w:val="0"/>
                    <w:rPr>
                      <w:rFonts w:hint="default"/>
                    </w:rPr>
                  </w:pPr>
                  <w:r>
                    <w:rPr>
                      <w:rFonts w:hint="default"/>
                      <w:lang w:val="en-US" w:eastAsia="zh-CN"/>
                    </w:rPr>
                    <w:t>活性炭吸附箱（装碳量1方）</w:t>
                  </w:r>
                </w:p>
              </w:tc>
              <w:tc>
                <w:tcPr>
                  <w:tcW w:w="1685" w:type="pct"/>
                  <w:noWrap w:val="0"/>
                  <w:vAlign w:val="center"/>
                </w:tcPr>
                <w:p>
                  <w:pPr>
                    <w:pStyle w:val="22"/>
                    <w:bidi w:val="0"/>
                    <w:rPr>
                      <w:rFonts w:hint="default"/>
                    </w:rPr>
                  </w:pPr>
                  <w:r>
                    <w:rPr>
                      <w:rFonts w:hint="default"/>
                      <w:lang w:val="en-US" w:eastAsia="zh-CN"/>
                    </w:rPr>
                    <w:t>201不锈钢</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14.5</w:t>
                  </w:r>
                </w:p>
              </w:tc>
              <w:tc>
                <w:tcPr>
                  <w:tcW w:w="2252" w:type="pct"/>
                  <w:noWrap w:val="0"/>
                  <w:vAlign w:val="center"/>
                </w:tcPr>
                <w:p>
                  <w:pPr>
                    <w:pStyle w:val="22"/>
                    <w:bidi w:val="0"/>
                    <w:rPr>
                      <w:rFonts w:hint="default"/>
                    </w:rPr>
                  </w:pPr>
                  <w:r>
                    <w:rPr>
                      <w:rFonts w:hint="default"/>
                      <w:lang w:val="en-US" w:eastAsia="zh-CN"/>
                    </w:rPr>
                    <w:t>活性炭吸附箱（装碳量1方）</w:t>
                  </w:r>
                </w:p>
              </w:tc>
              <w:tc>
                <w:tcPr>
                  <w:tcW w:w="1685" w:type="pct"/>
                  <w:noWrap w:val="0"/>
                  <w:vAlign w:val="center"/>
                </w:tcPr>
                <w:p>
                  <w:pPr>
                    <w:pStyle w:val="22"/>
                    <w:bidi w:val="0"/>
                    <w:rPr>
                      <w:rFonts w:hint="default"/>
                    </w:rPr>
                  </w:pPr>
                  <w:r>
                    <w:rPr>
                      <w:rFonts w:hint="default"/>
                      <w:lang w:val="en-US" w:eastAsia="zh-CN"/>
                    </w:rPr>
                    <w:t>201不锈钢</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14.6</w:t>
                  </w:r>
                </w:p>
              </w:tc>
              <w:tc>
                <w:tcPr>
                  <w:tcW w:w="2252" w:type="pct"/>
                  <w:noWrap w:val="0"/>
                  <w:vAlign w:val="center"/>
                </w:tcPr>
                <w:p>
                  <w:pPr>
                    <w:pStyle w:val="22"/>
                    <w:bidi w:val="0"/>
                    <w:rPr>
                      <w:rFonts w:hint="default"/>
                    </w:rPr>
                  </w:pPr>
                  <w:r>
                    <w:rPr>
                      <w:rFonts w:hint="default"/>
                      <w:lang w:val="en-US" w:eastAsia="zh-CN"/>
                    </w:rPr>
                    <w:t>废气电动防爆风阀门汇集</w:t>
                  </w:r>
                </w:p>
              </w:tc>
              <w:tc>
                <w:tcPr>
                  <w:tcW w:w="1685" w:type="pct"/>
                  <w:noWrap/>
                  <w:vAlign w:val="center"/>
                </w:tcPr>
                <w:p>
                  <w:pPr>
                    <w:pStyle w:val="22"/>
                    <w:bidi w:val="0"/>
                    <w:rPr>
                      <w:rFonts w:hint="default"/>
                    </w:rPr>
                  </w:pPr>
                  <w:r>
                    <w:rPr>
                      <w:rFonts w:hint="default"/>
                      <w:lang w:val="en-US" w:eastAsia="zh-CN"/>
                    </w:rPr>
                    <w:t>DN150/304</w:t>
                  </w:r>
                </w:p>
              </w:tc>
              <w:tc>
                <w:tcPr>
                  <w:tcW w:w="266" w:type="pct"/>
                  <w:noWrap/>
                  <w:vAlign w:val="center"/>
                </w:tcPr>
                <w:p>
                  <w:pPr>
                    <w:pStyle w:val="22"/>
                    <w:bidi w:val="0"/>
                    <w:rPr>
                      <w:rFonts w:hint="default"/>
                    </w:rPr>
                  </w:pPr>
                  <w:r>
                    <w:rPr>
                      <w:rFonts w:hint="default"/>
                      <w:lang w:val="en-US" w:eastAsia="zh-CN"/>
                    </w:rPr>
                    <w:t>2</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14.7</w:t>
                  </w:r>
                </w:p>
              </w:tc>
              <w:tc>
                <w:tcPr>
                  <w:tcW w:w="2252" w:type="pct"/>
                  <w:noWrap w:val="0"/>
                  <w:vAlign w:val="center"/>
                </w:tcPr>
                <w:p>
                  <w:pPr>
                    <w:pStyle w:val="22"/>
                    <w:bidi w:val="0"/>
                    <w:rPr>
                      <w:rFonts w:hint="default"/>
                    </w:rPr>
                  </w:pPr>
                  <w:r>
                    <w:rPr>
                      <w:rFonts w:hint="default"/>
                      <w:lang w:val="en-US" w:eastAsia="zh-CN"/>
                    </w:rPr>
                    <w:t>管路</w:t>
                  </w:r>
                </w:p>
              </w:tc>
              <w:tc>
                <w:tcPr>
                  <w:tcW w:w="1685" w:type="pct"/>
                  <w:noWrap/>
                  <w:vAlign w:val="center"/>
                </w:tcPr>
                <w:p>
                  <w:pPr>
                    <w:pStyle w:val="22"/>
                    <w:bidi w:val="0"/>
                    <w:rPr>
                      <w:rFonts w:hint="default"/>
                    </w:rPr>
                  </w:pPr>
                  <w:r>
                    <w:rPr>
                      <w:rFonts w:hint="default"/>
                      <w:lang w:val="en-US" w:eastAsia="zh-CN"/>
                    </w:rPr>
                    <w:t>201</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97" w:type="pct"/>
                  <w:noWrap/>
                  <w:vAlign w:val="center"/>
                </w:tcPr>
                <w:p>
                  <w:pPr>
                    <w:pStyle w:val="22"/>
                    <w:bidi w:val="0"/>
                    <w:rPr>
                      <w:rFonts w:hint="default"/>
                    </w:rPr>
                  </w:pPr>
                  <w:r>
                    <w:rPr>
                      <w:rFonts w:hint="default"/>
                      <w:lang w:val="en-US" w:eastAsia="zh-CN"/>
                    </w:rPr>
                    <w:t>14.8</w:t>
                  </w:r>
                </w:p>
              </w:tc>
              <w:tc>
                <w:tcPr>
                  <w:tcW w:w="2252" w:type="pct"/>
                  <w:noWrap w:val="0"/>
                  <w:vAlign w:val="center"/>
                </w:tcPr>
                <w:p>
                  <w:pPr>
                    <w:pStyle w:val="22"/>
                    <w:bidi w:val="0"/>
                    <w:rPr>
                      <w:rFonts w:hint="default"/>
                    </w:rPr>
                  </w:pPr>
                  <w:r>
                    <w:rPr>
                      <w:rFonts w:hint="default"/>
                      <w:lang w:val="en-US" w:eastAsia="zh-CN"/>
                    </w:rPr>
                    <w:t>烟囱，塔架等</w:t>
                  </w:r>
                </w:p>
              </w:tc>
              <w:tc>
                <w:tcPr>
                  <w:tcW w:w="1685" w:type="pct"/>
                  <w:noWrap w:val="0"/>
                  <w:vAlign w:val="center"/>
                </w:tcPr>
                <w:p>
                  <w:pPr>
                    <w:pStyle w:val="22"/>
                    <w:bidi w:val="0"/>
                    <w:rPr>
                      <w:rFonts w:hint="default"/>
                    </w:rPr>
                  </w:pPr>
                  <w:r>
                    <w:rPr>
                      <w:rFonts w:hint="default"/>
                      <w:lang w:val="en-US" w:eastAsia="zh-CN"/>
                    </w:rPr>
                    <w:t>碳钢</w:t>
                  </w:r>
                </w:p>
              </w:tc>
              <w:tc>
                <w:tcPr>
                  <w:tcW w:w="266" w:type="pct"/>
                  <w:noWrap/>
                  <w:vAlign w:val="center"/>
                </w:tcPr>
                <w:p>
                  <w:pPr>
                    <w:pStyle w:val="22"/>
                    <w:bidi w:val="0"/>
                    <w:rPr>
                      <w:rFonts w:hint="default"/>
                    </w:rPr>
                  </w:pPr>
                  <w:r>
                    <w:rPr>
                      <w:rFonts w:hint="default"/>
                      <w:lang w:val="en-US" w:eastAsia="zh-CN"/>
                    </w:rPr>
                    <w:t>1</w:t>
                  </w:r>
                </w:p>
              </w:tc>
              <w:tc>
                <w:tcPr>
                  <w:tcW w:w="397" w:type="pct"/>
                  <w:noWrap/>
                  <w:vAlign w:val="center"/>
                </w:tcPr>
                <w:p>
                  <w:pPr>
                    <w:pStyle w:val="22"/>
                    <w:bidi w:val="0"/>
                    <w:rPr>
                      <w:rFonts w:hint="default"/>
                    </w:rPr>
                  </w:pPr>
                  <w:r>
                    <w:rPr>
                      <w:rFonts w:hint="default"/>
                      <w:lang w:val="en-US" w:eastAsia="zh-CN"/>
                    </w:rPr>
                    <w:t>套</w:t>
                  </w:r>
                </w:p>
              </w:tc>
            </w:tr>
          </w:tbl>
          <w:p>
            <w:pPr>
              <w:pStyle w:val="26"/>
              <w:bidi w:val="0"/>
              <w:rPr>
                <w:rFonts w:hint="eastAsia"/>
                <w:lang w:val="en-US" w:eastAsia="zh-CN"/>
              </w:rPr>
            </w:pPr>
            <w:r>
              <w:rPr>
                <w:rFonts w:hint="eastAsia"/>
                <w:lang w:val="en-US" w:eastAsia="zh-CN"/>
              </w:rPr>
              <w:t>表2-6 消防站主要设备一览表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2777"/>
              <w:gridCol w:w="2679"/>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34" w:type="pct"/>
                  <w:noWrap w:val="0"/>
                  <w:vAlign w:val="top"/>
                </w:tcPr>
                <w:p>
                  <w:pPr>
                    <w:pStyle w:val="22"/>
                    <w:bidi w:val="0"/>
                    <w:rPr>
                      <w:rFonts w:hint="default"/>
                      <w:lang w:val="en-US" w:eastAsia="zh-CN"/>
                    </w:rPr>
                  </w:pPr>
                  <w:r>
                    <w:rPr>
                      <w:rFonts w:hint="eastAsia"/>
                      <w:lang w:val="en-US" w:eastAsia="zh-CN"/>
                    </w:rPr>
                    <w:t>序号</w:t>
                  </w:r>
                </w:p>
              </w:tc>
              <w:tc>
                <w:tcPr>
                  <w:tcW w:w="1594" w:type="pct"/>
                  <w:noWrap w:val="0"/>
                  <w:vAlign w:val="top"/>
                </w:tcPr>
                <w:p>
                  <w:pPr>
                    <w:pStyle w:val="22"/>
                    <w:bidi w:val="0"/>
                    <w:rPr>
                      <w:rFonts w:hint="default"/>
                      <w:lang w:val="en-US" w:eastAsia="zh-CN"/>
                    </w:rPr>
                  </w:pPr>
                  <w:r>
                    <w:rPr>
                      <w:rFonts w:hint="eastAsia"/>
                      <w:lang w:val="en-US" w:eastAsia="zh-CN"/>
                    </w:rPr>
                    <w:t>设备名称</w:t>
                  </w:r>
                </w:p>
              </w:tc>
              <w:tc>
                <w:tcPr>
                  <w:tcW w:w="1538" w:type="pct"/>
                  <w:noWrap w:val="0"/>
                  <w:vAlign w:val="top"/>
                </w:tcPr>
                <w:p>
                  <w:pPr>
                    <w:pStyle w:val="22"/>
                    <w:bidi w:val="0"/>
                    <w:rPr>
                      <w:rFonts w:hint="default"/>
                      <w:lang w:val="en-US" w:eastAsia="zh-CN"/>
                    </w:rPr>
                  </w:pPr>
                  <w:r>
                    <w:rPr>
                      <w:rFonts w:hint="eastAsia"/>
                      <w:lang w:val="en-US" w:eastAsia="zh-CN"/>
                    </w:rPr>
                    <w:t>数量</w:t>
                  </w:r>
                </w:p>
              </w:tc>
              <w:tc>
                <w:tcPr>
                  <w:tcW w:w="1332" w:type="pct"/>
                  <w:noWrap w:val="0"/>
                  <w:vAlign w:val="top"/>
                </w:tcPr>
                <w:p>
                  <w:pPr>
                    <w:pStyle w:val="22"/>
                    <w:bidi w:val="0"/>
                    <w:rPr>
                      <w:rFonts w:hint="default"/>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noWrap w:val="0"/>
                  <w:vAlign w:val="top"/>
                </w:tcPr>
                <w:p>
                  <w:pPr>
                    <w:pStyle w:val="22"/>
                    <w:bidi w:val="0"/>
                    <w:rPr>
                      <w:rFonts w:hint="default"/>
                      <w:lang w:val="en-US" w:eastAsia="zh-CN"/>
                    </w:rPr>
                  </w:pPr>
                  <w:r>
                    <w:rPr>
                      <w:rFonts w:hint="eastAsia"/>
                      <w:lang w:val="en-US" w:eastAsia="zh-CN"/>
                    </w:rPr>
                    <w:t>1</w:t>
                  </w:r>
                </w:p>
              </w:tc>
              <w:tc>
                <w:tcPr>
                  <w:tcW w:w="1594" w:type="pct"/>
                  <w:noWrap w:val="0"/>
                  <w:vAlign w:val="top"/>
                </w:tcPr>
                <w:p>
                  <w:pPr>
                    <w:pStyle w:val="22"/>
                    <w:bidi w:val="0"/>
                    <w:rPr>
                      <w:rFonts w:hint="default"/>
                      <w:lang w:val="en-US" w:eastAsia="zh-CN"/>
                    </w:rPr>
                  </w:pPr>
                  <w:r>
                    <w:rPr>
                      <w:rFonts w:hint="default"/>
                      <w:lang w:val="en-US" w:eastAsia="zh-CN"/>
                    </w:rPr>
                    <w:t>泡沫消防车</w:t>
                  </w:r>
                </w:p>
              </w:tc>
              <w:tc>
                <w:tcPr>
                  <w:tcW w:w="1538" w:type="pct"/>
                  <w:noWrap w:val="0"/>
                  <w:vAlign w:val="top"/>
                </w:tcPr>
                <w:p>
                  <w:pPr>
                    <w:pStyle w:val="22"/>
                    <w:bidi w:val="0"/>
                    <w:rPr>
                      <w:rFonts w:hint="default"/>
                      <w:lang w:val="en-US" w:eastAsia="zh-CN"/>
                    </w:rPr>
                  </w:pPr>
                  <w:r>
                    <w:rPr>
                      <w:rFonts w:hint="eastAsia"/>
                      <w:lang w:val="en-US" w:eastAsia="zh-CN"/>
                    </w:rPr>
                    <w:t>1辆</w:t>
                  </w:r>
                </w:p>
              </w:tc>
              <w:tc>
                <w:tcPr>
                  <w:tcW w:w="1332" w:type="pct"/>
                  <w:vMerge w:val="restart"/>
                  <w:noWrap w:val="0"/>
                  <w:vAlign w:val="top"/>
                </w:tcPr>
                <w:p>
                  <w:pPr>
                    <w:pStyle w:val="22"/>
                    <w:bidi w:val="0"/>
                    <w:rPr>
                      <w:rFonts w:hint="default"/>
                      <w:lang w:val="en-US" w:eastAsia="zh-CN"/>
                    </w:rPr>
                  </w:pPr>
                  <w:r>
                    <w:rPr>
                      <w:rFonts w:hint="eastAsia"/>
                      <w:lang w:val="en-US" w:eastAsia="zh-CN"/>
                    </w:rPr>
                    <w:t>同时配套消防所需器材，如水带、消防栓扳手、隔热服、面罩等。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noWrap w:val="0"/>
                  <w:vAlign w:val="top"/>
                </w:tcPr>
                <w:p>
                  <w:pPr>
                    <w:pStyle w:val="22"/>
                    <w:bidi w:val="0"/>
                    <w:rPr>
                      <w:rFonts w:hint="default"/>
                      <w:lang w:val="en-US" w:eastAsia="zh-CN"/>
                    </w:rPr>
                  </w:pPr>
                  <w:r>
                    <w:rPr>
                      <w:rFonts w:hint="eastAsia"/>
                      <w:lang w:val="en-US" w:eastAsia="zh-CN"/>
                    </w:rPr>
                    <w:t>2</w:t>
                  </w:r>
                </w:p>
              </w:tc>
              <w:tc>
                <w:tcPr>
                  <w:tcW w:w="1594" w:type="pct"/>
                  <w:noWrap w:val="0"/>
                  <w:vAlign w:val="top"/>
                </w:tcPr>
                <w:p>
                  <w:pPr>
                    <w:pStyle w:val="22"/>
                    <w:bidi w:val="0"/>
                    <w:rPr>
                      <w:rFonts w:hint="default"/>
                      <w:lang w:val="en-US" w:eastAsia="zh-CN"/>
                    </w:rPr>
                  </w:pPr>
                  <w:r>
                    <w:rPr>
                      <w:rFonts w:hint="default"/>
                      <w:lang w:val="en-US" w:eastAsia="zh-CN"/>
                    </w:rPr>
                    <w:t>干粉-泡沫联用消防车</w:t>
                  </w:r>
                </w:p>
              </w:tc>
              <w:tc>
                <w:tcPr>
                  <w:tcW w:w="1538" w:type="pct"/>
                  <w:noWrap w:val="0"/>
                  <w:vAlign w:val="top"/>
                </w:tcPr>
                <w:p>
                  <w:pPr>
                    <w:pStyle w:val="22"/>
                    <w:bidi w:val="0"/>
                    <w:rPr>
                      <w:rFonts w:hint="default"/>
                      <w:lang w:val="en-US" w:eastAsia="zh-CN"/>
                    </w:rPr>
                  </w:pPr>
                  <w:r>
                    <w:rPr>
                      <w:rFonts w:hint="eastAsia"/>
                      <w:lang w:val="en-US" w:eastAsia="zh-CN"/>
                    </w:rPr>
                    <w:t>1辆</w:t>
                  </w:r>
                </w:p>
              </w:tc>
              <w:tc>
                <w:tcPr>
                  <w:tcW w:w="1332" w:type="pct"/>
                  <w:vMerge w:val="continue"/>
                  <w:noWrap w:val="0"/>
                  <w:vAlign w:val="top"/>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noWrap w:val="0"/>
                  <w:vAlign w:val="top"/>
                </w:tcPr>
                <w:p>
                  <w:pPr>
                    <w:pStyle w:val="22"/>
                    <w:bidi w:val="0"/>
                    <w:rPr>
                      <w:rFonts w:hint="default"/>
                      <w:lang w:val="en-US" w:eastAsia="zh-CN"/>
                    </w:rPr>
                  </w:pPr>
                  <w:r>
                    <w:rPr>
                      <w:rFonts w:hint="eastAsia"/>
                      <w:lang w:val="en-US" w:eastAsia="zh-CN"/>
                    </w:rPr>
                    <w:t>3</w:t>
                  </w:r>
                </w:p>
              </w:tc>
              <w:tc>
                <w:tcPr>
                  <w:tcW w:w="1594" w:type="pct"/>
                  <w:noWrap w:val="0"/>
                  <w:vAlign w:val="top"/>
                </w:tcPr>
                <w:p>
                  <w:pPr>
                    <w:pStyle w:val="22"/>
                    <w:bidi w:val="0"/>
                    <w:rPr>
                      <w:rFonts w:hint="default"/>
                      <w:lang w:val="en-US" w:eastAsia="zh-CN"/>
                    </w:rPr>
                  </w:pPr>
                  <w:r>
                    <w:rPr>
                      <w:rFonts w:hint="default"/>
                      <w:lang w:val="en-US" w:eastAsia="zh-CN"/>
                    </w:rPr>
                    <w:t>举高喷射消防车</w:t>
                  </w:r>
                </w:p>
              </w:tc>
              <w:tc>
                <w:tcPr>
                  <w:tcW w:w="1538" w:type="pct"/>
                  <w:noWrap w:val="0"/>
                  <w:vAlign w:val="top"/>
                </w:tcPr>
                <w:p>
                  <w:pPr>
                    <w:pStyle w:val="22"/>
                    <w:bidi w:val="0"/>
                    <w:rPr>
                      <w:rFonts w:hint="default"/>
                      <w:lang w:val="en-US" w:eastAsia="zh-CN"/>
                    </w:rPr>
                  </w:pPr>
                  <w:r>
                    <w:rPr>
                      <w:rFonts w:hint="eastAsia"/>
                      <w:lang w:val="en-US" w:eastAsia="zh-CN"/>
                    </w:rPr>
                    <w:t>1辆</w:t>
                  </w:r>
                </w:p>
              </w:tc>
              <w:tc>
                <w:tcPr>
                  <w:tcW w:w="1332" w:type="pct"/>
                  <w:vMerge w:val="continue"/>
                  <w:noWrap w:val="0"/>
                  <w:vAlign w:val="top"/>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noWrap w:val="0"/>
                  <w:vAlign w:val="top"/>
                </w:tcPr>
                <w:p>
                  <w:pPr>
                    <w:pStyle w:val="22"/>
                    <w:bidi w:val="0"/>
                    <w:rPr>
                      <w:rFonts w:hint="default"/>
                      <w:lang w:val="en-US" w:eastAsia="zh-CN"/>
                    </w:rPr>
                  </w:pPr>
                  <w:r>
                    <w:rPr>
                      <w:rFonts w:hint="eastAsia"/>
                      <w:lang w:val="en-US" w:eastAsia="zh-CN"/>
                    </w:rPr>
                    <w:t>4</w:t>
                  </w:r>
                </w:p>
              </w:tc>
              <w:tc>
                <w:tcPr>
                  <w:tcW w:w="1594" w:type="pct"/>
                  <w:noWrap w:val="0"/>
                  <w:vAlign w:val="top"/>
                </w:tcPr>
                <w:p>
                  <w:pPr>
                    <w:pStyle w:val="22"/>
                    <w:bidi w:val="0"/>
                    <w:rPr>
                      <w:rFonts w:hint="default"/>
                      <w:lang w:val="en-US" w:eastAsia="zh-CN"/>
                    </w:rPr>
                  </w:pPr>
                  <w:r>
                    <w:rPr>
                      <w:rFonts w:hint="default"/>
                      <w:lang w:val="en-US" w:eastAsia="zh-CN"/>
                    </w:rPr>
                    <w:t>消防供气车</w:t>
                  </w:r>
                </w:p>
              </w:tc>
              <w:tc>
                <w:tcPr>
                  <w:tcW w:w="1538" w:type="pct"/>
                  <w:noWrap w:val="0"/>
                  <w:vAlign w:val="top"/>
                </w:tcPr>
                <w:p>
                  <w:pPr>
                    <w:pStyle w:val="22"/>
                    <w:bidi w:val="0"/>
                    <w:rPr>
                      <w:rFonts w:hint="default"/>
                      <w:lang w:val="en-US" w:eastAsia="zh-CN"/>
                    </w:rPr>
                  </w:pPr>
                  <w:r>
                    <w:rPr>
                      <w:rFonts w:hint="eastAsia"/>
                      <w:lang w:val="en-US" w:eastAsia="zh-CN"/>
                    </w:rPr>
                    <w:t>1辆</w:t>
                  </w:r>
                </w:p>
              </w:tc>
              <w:tc>
                <w:tcPr>
                  <w:tcW w:w="1332" w:type="pct"/>
                  <w:vMerge w:val="continue"/>
                  <w:noWrap w:val="0"/>
                  <w:vAlign w:val="top"/>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pct"/>
                  <w:noWrap w:val="0"/>
                  <w:vAlign w:val="top"/>
                </w:tcPr>
                <w:p>
                  <w:pPr>
                    <w:pStyle w:val="22"/>
                    <w:bidi w:val="0"/>
                    <w:rPr>
                      <w:rFonts w:hint="default"/>
                      <w:lang w:val="en-US" w:eastAsia="zh-CN"/>
                    </w:rPr>
                  </w:pPr>
                  <w:r>
                    <w:rPr>
                      <w:rFonts w:hint="eastAsia"/>
                      <w:lang w:val="en-US" w:eastAsia="zh-CN"/>
                    </w:rPr>
                    <w:t>5</w:t>
                  </w:r>
                </w:p>
              </w:tc>
              <w:tc>
                <w:tcPr>
                  <w:tcW w:w="1594" w:type="pct"/>
                  <w:noWrap w:val="0"/>
                  <w:vAlign w:val="top"/>
                </w:tcPr>
                <w:p>
                  <w:pPr>
                    <w:pStyle w:val="22"/>
                    <w:bidi w:val="0"/>
                    <w:rPr>
                      <w:rFonts w:hint="default"/>
                      <w:lang w:val="en-US" w:eastAsia="zh-CN"/>
                    </w:rPr>
                  </w:pPr>
                  <w:r>
                    <w:rPr>
                      <w:rFonts w:hint="default"/>
                      <w:lang w:val="en-US" w:eastAsia="zh-CN"/>
                    </w:rPr>
                    <w:t>通讯指挥车</w:t>
                  </w:r>
                </w:p>
              </w:tc>
              <w:tc>
                <w:tcPr>
                  <w:tcW w:w="1538" w:type="pct"/>
                  <w:noWrap w:val="0"/>
                  <w:vAlign w:val="top"/>
                </w:tcPr>
                <w:p>
                  <w:pPr>
                    <w:pStyle w:val="22"/>
                    <w:bidi w:val="0"/>
                    <w:rPr>
                      <w:rFonts w:hint="default"/>
                      <w:lang w:val="en-US" w:eastAsia="zh-CN"/>
                    </w:rPr>
                  </w:pPr>
                  <w:r>
                    <w:rPr>
                      <w:rFonts w:hint="eastAsia"/>
                      <w:lang w:val="en-US" w:eastAsia="zh-CN"/>
                    </w:rPr>
                    <w:t>1辆</w:t>
                  </w:r>
                </w:p>
              </w:tc>
              <w:tc>
                <w:tcPr>
                  <w:tcW w:w="1332" w:type="pct"/>
                  <w:vMerge w:val="continue"/>
                  <w:noWrap w:val="0"/>
                  <w:vAlign w:val="top"/>
                </w:tcPr>
                <w:p>
                  <w:pPr>
                    <w:pStyle w:val="22"/>
                    <w:bidi w:val="0"/>
                    <w:rPr>
                      <w:rFonts w:hint="default"/>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cs="Times New Roman"/>
                <w:b/>
                <w:bCs w:val="0"/>
                <w:szCs w:val="21"/>
                <w:lang w:val="en-US" w:eastAsia="zh-CN"/>
              </w:rPr>
            </w:pPr>
            <w:r>
              <w:rPr>
                <w:rFonts w:hint="default" w:cs="Times New Roman"/>
                <w:b/>
                <w:bCs w:val="0"/>
                <w:szCs w:val="21"/>
                <w:lang w:val="en-US" w:eastAsia="zh-CN"/>
              </w:rPr>
              <w:t>2.7公用工程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default" w:cs="Times New Roman"/>
                <w:bCs/>
                <w:szCs w:val="21"/>
                <w:lang w:val="en-US" w:eastAsia="zh-CN"/>
              </w:rPr>
              <w:t>(1)给水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default" w:cs="Times New Roman"/>
                <w:bCs/>
                <w:szCs w:val="21"/>
                <w:lang w:val="en-US" w:eastAsia="zh-CN"/>
              </w:rPr>
              <w:t>本项目用水由市政</w:t>
            </w:r>
            <w:r>
              <w:rPr>
                <w:rFonts w:hint="eastAsia" w:cs="Times New Roman"/>
                <w:bCs/>
                <w:szCs w:val="21"/>
                <w:lang w:val="en-US" w:eastAsia="zh-CN"/>
              </w:rPr>
              <w:t>自来水</w:t>
            </w:r>
            <w:r>
              <w:rPr>
                <w:rFonts w:hint="default" w:cs="Times New Roman"/>
                <w:bCs/>
                <w:szCs w:val="21"/>
                <w:lang w:val="en-US" w:eastAsia="zh-CN"/>
              </w:rPr>
              <w:t>管网供给。本项目用水主要为</w:t>
            </w:r>
            <w:r>
              <w:rPr>
                <w:rFonts w:hint="eastAsia" w:cs="Times New Roman"/>
                <w:bCs/>
                <w:szCs w:val="21"/>
                <w:lang w:val="en-US" w:eastAsia="zh-CN"/>
              </w:rPr>
              <w:t>停车场</w:t>
            </w:r>
            <w:r>
              <w:rPr>
                <w:rFonts w:hint="default" w:cs="Times New Roman"/>
                <w:bCs/>
                <w:szCs w:val="21"/>
                <w:lang w:val="en-US" w:eastAsia="zh-CN"/>
              </w:rPr>
              <w:t>槽罐车清洗用水、</w:t>
            </w:r>
            <w:r>
              <w:rPr>
                <w:rFonts w:hint="eastAsia" w:cs="Times New Roman"/>
                <w:bCs/>
                <w:szCs w:val="21"/>
                <w:lang w:val="en-US" w:eastAsia="zh-CN"/>
              </w:rPr>
              <w:t>车辆外观及</w:t>
            </w:r>
            <w:r>
              <w:rPr>
                <w:rFonts w:hint="default" w:cs="Times New Roman"/>
                <w:bCs/>
                <w:szCs w:val="21"/>
                <w:lang w:val="en-US" w:eastAsia="zh-CN"/>
              </w:rPr>
              <w:t>地面冲洗用水和生活用水</w:t>
            </w:r>
            <w:r>
              <w:rPr>
                <w:rFonts w:hint="eastAsia" w:cs="Times New Roman"/>
                <w:bCs/>
                <w:szCs w:val="21"/>
                <w:lang w:val="en-US" w:eastAsia="zh-CN"/>
              </w:rPr>
              <w:t>，以及消防站生活用水、喷淋塔用水</w:t>
            </w:r>
            <w:r>
              <w:rPr>
                <w:rFonts w:hint="default" w:cs="Times New Roman"/>
                <w:bCs/>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default" w:cs="Times New Roman"/>
                <w:bCs/>
                <w:szCs w:val="21"/>
                <w:lang w:val="en-US" w:eastAsia="zh-CN"/>
              </w:rPr>
              <w:t>(2)排水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default" w:cs="Times New Roman"/>
                <w:bCs/>
                <w:szCs w:val="21"/>
                <w:lang w:val="en-US" w:eastAsia="zh-CN"/>
              </w:rPr>
              <w:t>本项目排水系统为雨污分流。生活废水经</w:t>
            </w:r>
            <w:r>
              <w:rPr>
                <w:rFonts w:hint="eastAsia" w:cs="Times New Roman"/>
                <w:bCs/>
                <w:szCs w:val="21"/>
                <w:lang w:val="en-US" w:eastAsia="zh-CN"/>
              </w:rPr>
              <w:t>预处理池</w:t>
            </w:r>
            <w:r>
              <w:rPr>
                <w:rFonts w:hint="default" w:cs="Times New Roman"/>
                <w:bCs/>
                <w:szCs w:val="21"/>
                <w:lang w:val="en-US" w:eastAsia="zh-CN"/>
              </w:rPr>
              <w:t>处理后达到</w:t>
            </w:r>
            <w:r>
              <w:rPr>
                <w:rFonts w:hint="eastAsia" w:cs="Times New Roman"/>
                <w:bCs/>
                <w:szCs w:val="21"/>
                <w:lang w:val="en-US" w:eastAsia="zh-CN"/>
              </w:rPr>
              <w:t>《污水综合排放标准》三级标准后，排入园区污水管网</w:t>
            </w:r>
            <w:r>
              <w:rPr>
                <w:rFonts w:hint="default" w:cs="Times New Roman"/>
                <w:bCs/>
                <w:szCs w:val="21"/>
                <w:lang w:val="en-US" w:eastAsia="zh-CN"/>
              </w:rPr>
              <w:t>。生产废水包括槽罐车清洗废水、</w:t>
            </w:r>
            <w:r>
              <w:rPr>
                <w:rFonts w:hint="eastAsia" w:cs="Times New Roman"/>
                <w:bCs/>
                <w:szCs w:val="21"/>
                <w:lang w:val="en-US" w:eastAsia="zh-CN"/>
              </w:rPr>
              <w:t>车辆外观、</w:t>
            </w:r>
            <w:r>
              <w:rPr>
                <w:rFonts w:hint="default" w:cs="Times New Roman"/>
                <w:bCs/>
                <w:szCs w:val="21"/>
                <w:lang w:val="en-US" w:eastAsia="zh-CN"/>
              </w:rPr>
              <w:t>地面冲洗废水，经自建污水处理站“</w:t>
            </w:r>
            <w:r>
              <w:rPr>
                <w:rFonts w:hint="eastAsia"/>
                <w:lang w:val="en-US" w:eastAsia="zh-CN"/>
              </w:rPr>
              <w:t>格栅-气浮-厌氧池-缺氧池-好氧池-MBR膜</w:t>
            </w:r>
            <w:r>
              <w:rPr>
                <w:rFonts w:hint="default" w:cs="Times New Roman"/>
                <w:bCs/>
                <w:szCs w:val="21"/>
                <w:lang w:val="en-US" w:eastAsia="zh-CN"/>
              </w:rPr>
              <w:t>”处理后达到</w:t>
            </w:r>
            <w:r>
              <w:rPr>
                <w:rFonts w:hint="eastAsia" w:cs="Times New Roman"/>
                <w:bCs/>
                <w:szCs w:val="21"/>
                <w:lang w:val="en-US" w:eastAsia="zh-CN"/>
              </w:rPr>
              <w:t>《综合污水排放标准》三级标准后进入园区污水管网</w:t>
            </w:r>
            <w:r>
              <w:rPr>
                <w:rFonts w:hint="default" w:cs="Times New Roman"/>
                <w:bCs/>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eastAsia" w:cs="Times New Roman"/>
                <w:bCs/>
                <w:szCs w:val="21"/>
                <w:lang w:val="en-US" w:eastAsia="zh-CN"/>
              </w:rPr>
              <w:t>（3）水平衡</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eastAsia" w:cs="Times New Roman"/>
                <w:bCs/>
                <w:szCs w:val="21"/>
                <w:lang w:val="en-US" w:eastAsia="zh-CN"/>
              </w:rPr>
              <w:t>1、车辆清洗用水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default" w:cs="Times New Roman"/>
                <w:bCs/>
                <w:szCs w:val="21"/>
                <w:lang w:val="en-US" w:eastAsia="zh-CN"/>
              </w:rPr>
              <w:t>根据建设单位生产经验，</w:t>
            </w:r>
            <w:r>
              <w:rPr>
                <w:rFonts w:hint="eastAsia" w:cs="Times New Roman"/>
                <w:bCs/>
                <w:szCs w:val="21"/>
                <w:lang w:val="en-US" w:eastAsia="zh-CN"/>
              </w:rPr>
              <w:t>对</w:t>
            </w:r>
            <w:r>
              <w:rPr>
                <w:rFonts w:hint="default" w:cs="Times New Roman"/>
                <w:bCs/>
                <w:szCs w:val="21"/>
                <w:lang w:val="en-US" w:eastAsia="zh-CN"/>
              </w:rPr>
              <w:t>每辆槽罐车槽罐内部、外部清洗用水量约</w:t>
            </w:r>
            <w:r>
              <w:rPr>
                <w:rFonts w:hint="eastAsia" w:cs="Times New Roman"/>
                <w:bCs/>
                <w:szCs w:val="21"/>
                <w:lang w:val="en-US" w:eastAsia="zh-CN"/>
              </w:rPr>
              <w:t>1</w:t>
            </w:r>
            <w:r>
              <w:rPr>
                <w:rFonts w:hint="default" w:cs="Times New Roman"/>
                <w:bCs/>
                <w:szCs w:val="21"/>
                <w:lang w:val="en-US" w:eastAsia="zh-CN"/>
              </w:rPr>
              <w:t>m</w:t>
            </w:r>
            <w:r>
              <w:rPr>
                <w:rFonts w:hint="eastAsia" w:cs="Times New Roman"/>
                <w:bCs/>
                <w:szCs w:val="21"/>
                <w:vertAlign w:val="superscript"/>
                <w:lang w:val="en-US" w:eastAsia="zh-CN"/>
              </w:rPr>
              <w:t>3</w:t>
            </w:r>
            <w:r>
              <w:rPr>
                <w:rFonts w:hint="default" w:cs="Times New Roman"/>
                <w:bCs/>
                <w:szCs w:val="21"/>
                <w:lang w:val="en-US" w:eastAsia="zh-CN"/>
              </w:rPr>
              <w:t>/辆，</w:t>
            </w:r>
            <w:r>
              <w:rPr>
                <w:rFonts w:hint="eastAsia" w:cs="Times New Roman"/>
                <w:bCs/>
                <w:szCs w:val="21"/>
                <w:lang w:val="en-US" w:eastAsia="zh-CN"/>
              </w:rPr>
              <w:t>本项目年清洗600辆槽罐车，则</w:t>
            </w:r>
            <w:r>
              <w:rPr>
                <w:rFonts w:hint="default" w:cs="Times New Roman"/>
                <w:bCs/>
                <w:szCs w:val="21"/>
                <w:lang w:val="en-US" w:eastAsia="zh-CN"/>
              </w:rPr>
              <w:t>本项目清洗年用水约为</w:t>
            </w:r>
            <w:r>
              <w:rPr>
                <w:rFonts w:hint="eastAsia" w:cs="Times New Roman"/>
                <w:bCs/>
                <w:szCs w:val="21"/>
                <w:lang w:val="en-US" w:eastAsia="zh-CN"/>
              </w:rPr>
              <w:t>6</w:t>
            </w:r>
            <w:r>
              <w:rPr>
                <w:rFonts w:hint="default" w:cs="Times New Roman"/>
                <w:bCs/>
                <w:szCs w:val="21"/>
                <w:lang w:val="en-US" w:eastAsia="zh-CN"/>
              </w:rPr>
              <w:t>00m</w:t>
            </w:r>
            <w:r>
              <w:rPr>
                <w:rFonts w:hint="eastAsia" w:cs="Times New Roman"/>
                <w:bCs/>
                <w:szCs w:val="21"/>
                <w:vertAlign w:val="superscript"/>
                <w:lang w:val="en-US" w:eastAsia="zh-CN"/>
              </w:rPr>
              <w:t>3</w:t>
            </w:r>
            <w:r>
              <w:rPr>
                <w:rFonts w:hint="eastAsia" w:cs="Times New Roman"/>
                <w:bCs/>
                <w:szCs w:val="21"/>
                <w:lang w:val="en-US" w:eastAsia="zh-CN"/>
              </w:rPr>
              <w:t>/</w:t>
            </w:r>
            <w:r>
              <w:rPr>
                <w:rFonts w:hint="default" w:cs="Times New Roman"/>
                <w:bCs/>
                <w:szCs w:val="21"/>
                <w:lang w:val="en-US" w:eastAsia="zh-CN"/>
              </w:rPr>
              <w:t>a，废水产污系数约为90%，则本项目清洗废水产生量约为</w:t>
            </w:r>
            <w:r>
              <w:rPr>
                <w:rFonts w:hint="eastAsia" w:cs="Times New Roman"/>
                <w:bCs/>
                <w:szCs w:val="21"/>
                <w:lang w:val="en-US" w:eastAsia="zh-CN"/>
              </w:rPr>
              <w:t>1.8</w:t>
            </w:r>
            <w:r>
              <w:rPr>
                <w:rFonts w:hint="default" w:cs="Times New Roman"/>
                <w:bCs/>
                <w:szCs w:val="21"/>
                <w:lang w:val="en-US" w:eastAsia="zh-CN"/>
              </w:rPr>
              <w:t>m</w:t>
            </w:r>
            <w:r>
              <w:rPr>
                <w:rFonts w:hint="eastAsia" w:cs="Times New Roman"/>
                <w:bCs/>
                <w:szCs w:val="21"/>
                <w:vertAlign w:val="superscript"/>
                <w:lang w:val="en-US" w:eastAsia="zh-CN"/>
              </w:rPr>
              <w:t>3</w:t>
            </w:r>
            <w:r>
              <w:rPr>
                <w:rFonts w:hint="default" w:cs="Times New Roman"/>
                <w:bCs/>
                <w:szCs w:val="21"/>
                <w:lang w:val="en-US" w:eastAsia="zh-CN"/>
              </w:rPr>
              <w:t>/d、</w:t>
            </w:r>
            <w:r>
              <w:rPr>
                <w:rFonts w:hint="eastAsia" w:cs="Times New Roman"/>
                <w:bCs/>
                <w:szCs w:val="21"/>
                <w:lang w:val="en-US" w:eastAsia="zh-CN"/>
              </w:rPr>
              <w:t>540</w:t>
            </w:r>
            <w:r>
              <w:rPr>
                <w:rFonts w:hint="default" w:cs="Times New Roman"/>
                <w:bCs/>
                <w:szCs w:val="21"/>
                <w:lang w:val="en-US" w:eastAsia="zh-CN"/>
              </w:rPr>
              <w:t>m</w:t>
            </w:r>
            <w:r>
              <w:rPr>
                <w:rFonts w:hint="eastAsia" w:cs="Times New Roman"/>
                <w:bCs/>
                <w:szCs w:val="21"/>
                <w:vertAlign w:val="superscript"/>
                <w:lang w:val="en-US" w:eastAsia="zh-CN"/>
              </w:rPr>
              <w:t>3</w:t>
            </w:r>
            <w:r>
              <w:rPr>
                <w:rFonts w:hint="default" w:cs="Times New Roman"/>
                <w:bCs/>
                <w:szCs w:val="21"/>
                <w:lang w:val="en-US" w:eastAsia="zh-CN"/>
              </w:rPr>
              <w:t>/a</w:t>
            </w:r>
            <w:r>
              <w:rPr>
                <w:rFonts w:hint="eastAsia" w:cs="Times New Roman"/>
                <w:bCs/>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eastAsia" w:cs="Times New Roman"/>
                <w:bCs/>
                <w:szCs w:val="21"/>
                <w:lang w:val="en-US" w:eastAsia="zh-CN"/>
              </w:rPr>
              <w:t>2、洗车区冲洗用水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default" w:cs="Times New Roman"/>
                <w:bCs/>
                <w:szCs w:val="21"/>
                <w:lang w:val="en-US" w:eastAsia="zh-CN"/>
              </w:rPr>
              <w:t>本项目作业区面积约</w:t>
            </w:r>
            <w:r>
              <w:rPr>
                <w:rFonts w:hint="eastAsia" w:cs="Times New Roman"/>
                <w:bCs/>
                <w:szCs w:val="21"/>
                <w:lang w:val="en-US" w:eastAsia="zh-CN"/>
              </w:rPr>
              <w:t>128</w:t>
            </w:r>
            <w:r>
              <w:rPr>
                <w:rFonts w:hint="default" w:cs="Times New Roman"/>
                <w:bCs/>
                <w:szCs w:val="21"/>
                <w:lang w:val="en-US" w:eastAsia="zh-CN"/>
              </w:rPr>
              <w:t>0m</w:t>
            </w:r>
            <w:r>
              <w:rPr>
                <w:rFonts w:hint="eastAsia" w:cs="Times New Roman"/>
                <w:bCs/>
                <w:szCs w:val="21"/>
                <w:vertAlign w:val="superscript"/>
                <w:lang w:val="en-US" w:eastAsia="zh-CN"/>
              </w:rPr>
              <w:t>2</w:t>
            </w:r>
            <w:r>
              <w:rPr>
                <w:rFonts w:hint="default" w:cs="Times New Roman"/>
                <w:bCs/>
                <w:szCs w:val="21"/>
                <w:lang w:val="en-US" w:eastAsia="zh-CN"/>
              </w:rPr>
              <w:t>，按每天清洁一次，根据《建筑给排水设计规范》GB50015-2009)，车间冲洗水量为2~3L</w:t>
            </w:r>
            <w:r>
              <w:rPr>
                <w:rFonts w:hint="eastAsia" w:cs="Times New Roman"/>
                <w:bCs/>
                <w:szCs w:val="21"/>
                <w:lang w:val="en-US" w:eastAsia="zh-CN"/>
              </w:rPr>
              <w:t>/</w:t>
            </w:r>
            <w:r>
              <w:rPr>
                <w:rFonts w:hint="default" w:cs="Times New Roman"/>
                <w:bCs/>
                <w:szCs w:val="21"/>
                <w:lang w:val="en-US" w:eastAsia="zh-CN"/>
              </w:rPr>
              <w:t>m</w:t>
            </w:r>
            <w:r>
              <w:rPr>
                <w:rFonts w:hint="eastAsia" w:cs="Times New Roman"/>
                <w:bCs/>
                <w:szCs w:val="21"/>
                <w:vertAlign w:val="superscript"/>
                <w:lang w:val="en-US" w:eastAsia="zh-CN"/>
              </w:rPr>
              <w:t>2</w:t>
            </w:r>
            <w:r>
              <w:rPr>
                <w:rFonts w:hint="default" w:cs="Times New Roman"/>
                <w:bCs/>
                <w:szCs w:val="21"/>
                <w:lang w:val="en-US" w:eastAsia="zh-CN"/>
              </w:rPr>
              <w:t>，本项目按2.5L</w:t>
            </w:r>
            <w:r>
              <w:rPr>
                <w:rFonts w:hint="eastAsia" w:cs="Times New Roman"/>
                <w:bCs/>
                <w:szCs w:val="21"/>
                <w:lang w:val="en-US" w:eastAsia="zh-CN"/>
              </w:rPr>
              <w:t>/</w:t>
            </w:r>
            <w:r>
              <w:rPr>
                <w:rFonts w:hint="default" w:cs="Times New Roman"/>
                <w:bCs/>
                <w:szCs w:val="21"/>
                <w:lang w:val="en-US" w:eastAsia="zh-CN"/>
              </w:rPr>
              <w:t>m</w:t>
            </w:r>
            <w:r>
              <w:rPr>
                <w:rFonts w:hint="eastAsia" w:cs="Times New Roman"/>
                <w:bCs/>
                <w:szCs w:val="21"/>
                <w:vertAlign w:val="superscript"/>
                <w:lang w:val="en-US" w:eastAsia="zh-CN"/>
              </w:rPr>
              <w:t>2</w:t>
            </w:r>
            <w:r>
              <w:rPr>
                <w:rFonts w:hint="default" w:cs="Times New Roman"/>
                <w:bCs/>
                <w:szCs w:val="21"/>
                <w:lang w:val="en-US" w:eastAsia="zh-CN"/>
              </w:rPr>
              <w:t>计，生产天数为300天，则车间清洗用水年用量为</w:t>
            </w:r>
            <w:r>
              <w:rPr>
                <w:rFonts w:hint="eastAsia" w:cs="Times New Roman"/>
                <w:bCs/>
                <w:szCs w:val="21"/>
                <w:lang w:val="en-US" w:eastAsia="zh-CN"/>
              </w:rPr>
              <w:t>960</w:t>
            </w:r>
            <w:r>
              <w:rPr>
                <w:rFonts w:hint="default" w:cs="Times New Roman"/>
                <w:bCs/>
                <w:szCs w:val="21"/>
                <w:lang w:val="en-US" w:eastAsia="zh-CN"/>
              </w:rPr>
              <w:t>m</w:t>
            </w:r>
            <w:r>
              <w:rPr>
                <w:rFonts w:hint="eastAsia" w:cs="Times New Roman"/>
                <w:bCs/>
                <w:szCs w:val="21"/>
                <w:vertAlign w:val="superscript"/>
                <w:lang w:val="en-US" w:eastAsia="zh-CN"/>
              </w:rPr>
              <w:t>3</w:t>
            </w:r>
            <w:r>
              <w:rPr>
                <w:rFonts w:hint="default" w:cs="Times New Roman"/>
                <w:bCs/>
                <w:szCs w:val="21"/>
                <w:lang w:val="en-US" w:eastAsia="zh-CN"/>
              </w:rPr>
              <w:t>/a,废水产污系数约为90%,废水量为</w:t>
            </w:r>
            <w:r>
              <w:rPr>
                <w:rFonts w:hint="eastAsia" w:cs="Times New Roman"/>
                <w:bCs/>
                <w:szCs w:val="21"/>
                <w:lang w:val="en-US" w:eastAsia="zh-CN"/>
              </w:rPr>
              <w:t>864</w:t>
            </w:r>
            <w:r>
              <w:rPr>
                <w:rFonts w:hint="default" w:cs="Times New Roman"/>
                <w:bCs/>
                <w:szCs w:val="21"/>
                <w:lang w:val="en-US" w:eastAsia="zh-CN"/>
              </w:rPr>
              <w:t>m</w:t>
            </w:r>
            <w:r>
              <w:rPr>
                <w:rFonts w:hint="eastAsia" w:cs="Times New Roman"/>
                <w:bCs/>
                <w:szCs w:val="21"/>
                <w:vertAlign w:val="superscript"/>
                <w:lang w:val="en-US" w:eastAsia="zh-CN"/>
              </w:rPr>
              <w:t>3</w:t>
            </w:r>
            <w:r>
              <w:rPr>
                <w:rFonts w:hint="default" w:cs="Times New Roman"/>
                <w:bCs/>
                <w:szCs w:val="21"/>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eastAsia" w:cs="Times New Roman"/>
                <w:bCs/>
                <w:szCs w:val="21"/>
                <w:lang w:val="en-US" w:eastAsia="zh-CN"/>
              </w:rPr>
              <w:t>3、停车区员工生活用水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default" w:cs="Times New Roman"/>
                <w:bCs/>
                <w:szCs w:val="21"/>
                <w:lang w:val="en-US" w:eastAsia="zh-CN"/>
              </w:rPr>
              <w:t>项目员工人数为40人，</w:t>
            </w:r>
            <w:r>
              <w:rPr>
                <w:rFonts w:hint="eastAsia" w:cs="Times New Roman"/>
                <w:bCs/>
                <w:szCs w:val="21"/>
                <w:lang w:val="en-US" w:eastAsia="zh-CN"/>
              </w:rPr>
              <w:t>提供餐饮及倒班房</w:t>
            </w:r>
            <w:r>
              <w:rPr>
                <w:rFonts w:hint="default" w:cs="Times New Roman"/>
                <w:bCs/>
                <w:szCs w:val="21"/>
                <w:lang w:val="en-US" w:eastAsia="zh-CN"/>
              </w:rPr>
              <w:t>，年工作300天。参照</w:t>
            </w:r>
            <w:r>
              <w:rPr>
                <w:rFonts w:hint="eastAsia" w:cs="Times New Roman"/>
                <w:bCs/>
                <w:szCs w:val="21"/>
                <w:lang w:val="en-US" w:eastAsia="zh-CN"/>
              </w:rPr>
              <w:t>《四川省用水定额》（川府发〔2021〕8号）中公共管理、社会保障和社会组织</w:t>
            </w:r>
            <w:r>
              <w:rPr>
                <w:rFonts w:hint="default" w:cs="Times New Roman"/>
                <w:bCs/>
                <w:szCs w:val="21"/>
                <w:lang w:val="en-US" w:eastAsia="zh-CN"/>
              </w:rPr>
              <w:t>用水定额</w:t>
            </w:r>
            <w:r>
              <w:rPr>
                <w:rFonts w:hint="eastAsia" w:cs="Times New Roman"/>
                <w:bCs/>
                <w:szCs w:val="21"/>
                <w:lang w:val="en-US" w:eastAsia="zh-CN"/>
              </w:rPr>
              <w:t>计，即3</w:t>
            </w:r>
            <w:r>
              <w:rPr>
                <w:rFonts w:hint="default" w:cs="Times New Roman"/>
                <w:bCs/>
                <w:szCs w:val="21"/>
                <w:lang w:val="en-US" w:eastAsia="zh-CN"/>
              </w:rPr>
              <w:t>8m</w:t>
            </w:r>
            <w:r>
              <w:rPr>
                <w:rFonts w:hint="eastAsia" w:cs="Times New Roman"/>
                <w:bCs/>
                <w:szCs w:val="21"/>
                <w:vertAlign w:val="superscript"/>
                <w:lang w:val="en-US" w:eastAsia="zh-CN"/>
              </w:rPr>
              <w:t>3</w:t>
            </w:r>
            <w:r>
              <w:rPr>
                <w:rFonts w:hint="default" w:cs="Times New Roman"/>
                <w:bCs/>
                <w:szCs w:val="21"/>
                <w:lang w:val="en-US" w:eastAsia="zh-CN"/>
              </w:rPr>
              <w:t>/(人·a)，则项目生活用水量为</w:t>
            </w:r>
            <w:r>
              <w:rPr>
                <w:rFonts w:hint="eastAsia" w:cs="Times New Roman"/>
                <w:bCs/>
                <w:szCs w:val="21"/>
                <w:lang w:val="en-US" w:eastAsia="zh-CN"/>
              </w:rPr>
              <w:t>15</w:t>
            </w:r>
            <w:r>
              <w:rPr>
                <w:rFonts w:hint="default" w:cs="Times New Roman"/>
                <w:bCs/>
                <w:szCs w:val="21"/>
                <w:lang w:val="en-US" w:eastAsia="zh-CN"/>
              </w:rPr>
              <w:t>20m</w:t>
            </w:r>
            <w:r>
              <w:rPr>
                <w:rFonts w:hint="eastAsia" w:cs="Times New Roman"/>
                <w:bCs/>
                <w:szCs w:val="21"/>
                <w:vertAlign w:val="superscript"/>
                <w:lang w:val="en-US" w:eastAsia="zh-CN"/>
              </w:rPr>
              <w:t>3</w:t>
            </w:r>
            <w:r>
              <w:rPr>
                <w:rFonts w:hint="default" w:cs="Times New Roman"/>
                <w:bCs/>
                <w:szCs w:val="21"/>
                <w:lang w:val="en-US" w:eastAsia="zh-CN"/>
              </w:rPr>
              <w:t>/a。生活用水的产污系数按0.9计算，则生活污水产生量为1</w:t>
            </w:r>
            <w:r>
              <w:rPr>
                <w:rFonts w:hint="eastAsia" w:cs="Times New Roman"/>
                <w:bCs/>
                <w:szCs w:val="21"/>
                <w:lang w:val="en-US" w:eastAsia="zh-CN"/>
              </w:rPr>
              <w:t>36</w:t>
            </w:r>
            <w:r>
              <w:rPr>
                <w:rFonts w:hint="default" w:cs="Times New Roman"/>
                <w:bCs/>
                <w:szCs w:val="21"/>
                <w:lang w:val="en-US" w:eastAsia="zh-CN"/>
              </w:rPr>
              <w:t>8m</w:t>
            </w:r>
            <w:r>
              <w:rPr>
                <w:rFonts w:hint="eastAsia" w:cs="Times New Roman"/>
                <w:bCs/>
                <w:szCs w:val="21"/>
                <w:vertAlign w:val="superscript"/>
                <w:lang w:val="en-US" w:eastAsia="zh-CN"/>
              </w:rPr>
              <w:t>3</w:t>
            </w:r>
            <w:r>
              <w:rPr>
                <w:rFonts w:hint="default" w:cs="Times New Roman"/>
                <w:bCs/>
                <w:szCs w:val="21"/>
                <w:lang w:val="en-US" w:eastAsia="zh-CN"/>
              </w:rPr>
              <w:t>/a。</w:t>
            </w:r>
          </w:p>
          <w:p>
            <w:pPr>
              <w:pStyle w:val="8"/>
              <w:rPr>
                <w:rFonts w:hint="eastAsia" w:cs="Times New Roman"/>
                <w:bCs/>
                <w:szCs w:val="21"/>
                <w:lang w:val="en-US" w:eastAsia="zh-CN"/>
              </w:rPr>
            </w:pPr>
            <w:r>
              <w:rPr>
                <w:rFonts w:hint="eastAsia" w:cs="Times New Roman"/>
                <w:bCs/>
                <w:szCs w:val="21"/>
                <w:lang w:val="en-US" w:eastAsia="zh-CN"/>
              </w:rPr>
              <w:t>4、消防站生活用水</w:t>
            </w:r>
          </w:p>
          <w:p>
            <w:pPr>
              <w:rPr>
                <w:rFonts w:hint="default" w:cs="Times New Roman"/>
                <w:bCs/>
                <w:szCs w:val="21"/>
                <w:lang w:val="en-US" w:eastAsia="zh-CN"/>
              </w:rPr>
            </w:pPr>
            <w:r>
              <w:rPr>
                <w:rFonts w:hint="eastAsia" w:cs="Times New Roman"/>
                <w:bCs/>
                <w:szCs w:val="21"/>
                <w:lang w:val="en-US" w:eastAsia="zh-CN"/>
              </w:rPr>
              <w:t>消防站消防员及干部总</w:t>
            </w:r>
            <w:r>
              <w:rPr>
                <w:rFonts w:hint="default" w:cs="Times New Roman"/>
                <w:bCs/>
                <w:szCs w:val="21"/>
                <w:lang w:val="en-US" w:eastAsia="zh-CN"/>
              </w:rPr>
              <w:t>人数</w:t>
            </w:r>
            <w:r>
              <w:rPr>
                <w:rFonts w:hint="eastAsia" w:cs="Times New Roman"/>
                <w:bCs/>
                <w:szCs w:val="21"/>
                <w:lang w:val="en-US" w:eastAsia="zh-CN"/>
              </w:rPr>
              <w:t>约</w:t>
            </w:r>
            <w:r>
              <w:rPr>
                <w:rFonts w:hint="default" w:cs="Times New Roman"/>
                <w:bCs/>
                <w:szCs w:val="21"/>
                <w:lang w:val="en-US" w:eastAsia="zh-CN"/>
              </w:rPr>
              <w:t>为</w:t>
            </w:r>
            <w:r>
              <w:rPr>
                <w:rFonts w:hint="eastAsia" w:cs="Times New Roman"/>
                <w:bCs/>
                <w:szCs w:val="21"/>
                <w:lang w:val="en-US" w:eastAsia="zh-CN"/>
              </w:rPr>
              <w:t>57</w:t>
            </w:r>
            <w:r>
              <w:rPr>
                <w:rFonts w:hint="default" w:cs="Times New Roman"/>
                <w:bCs/>
                <w:szCs w:val="21"/>
                <w:lang w:val="en-US" w:eastAsia="zh-CN"/>
              </w:rPr>
              <w:t>人，</w:t>
            </w:r>
            <w:r>
              <w:rPr>
                <w:rFonts w:hint="eastAsia" w:cs="Times New Roman"/>
                <w:bCs/>
                <w:szCs w:val="21"/>
                <w:lang w:val="en-US" w:eastAsia="zh-CN"/>
              </w:rPr>
              <w:t>消防站提供</w:t>
            </w:r>
            <w:r>
              <w:rPr>
                <w:rFonts w:hint="default" w:cs="Times New Roman"/>
                <w:bCs/>
                <w:szCs w:val="21"/>
                <w:lang w:val="en-US" w:eastAsia="zh-CN"/>
              </w:rPr>
              <w:t>食宿，年工作3</w:t>
            </w:r>
            <w:r>
              <w:rPr>
                <w:rFonts w:hint="eastAsia" w:cs="Times New Roman"/>
                <w:bCs/>
                <w:szCs w:val="21"/>
                <w:lang w:val="en-US" w:eastAsia="zh-CN"/>
              </w:rPr>
              <w:t>65</w:t>
            </w:r>
            <w:r>
              <w:rPr>
                <w:rFonts w:hint="default" w:cs="Times New Roman"/>
                <w:bCs/>
                <w:szCs w:val="21"/>
                <w:lang w:val="en-US" w:eastAsia="zh-CN"/>
              </w:rPr>
              <w:t>天。参照</w:t>
            </w:r>
            <w:r>
              <w:rPr>
                <w:rFonts w:hint="eastAsia" w:cs="Times New Roman"/>
                <w:bCs/>
                <w:szCs w:val="21"/>
                <w:lang w:val="en-US" w:eastAsia="zh-CN"/>
              </w:rPr>
              <w:t>《四川省用水定额》（川府发〔2021〕8号）中公共管理、社会保障和社会组织</w:t>
            </w:r>
            <w:r>
              <w:rPr>
                <w:rFonts w:hint="default" w:cs="Times New Roman"/>
                <w:bCs/>
                <w:szCs w:val="21"/>
                <w:lang w:val="en-US" w:eastAsia="zh-CN"/>
              </w:rPr>
              <w:t>用水定额</w:t>
            </w:r>
            <w:r>
              <w:rPr>
                <w:rFonts w:hint="eastAsia" w:cs="Times New Roman"/>
                <w:bCs/>
                <w:szCs w:val="21"/>
                <w:lang w:val="en-US" w:eastAsia="zh-CN"/>
              </w:rPr>
              <w:t>计，即3</w:t>
            </w:r>
            <w:r>
              <w:rPr>
                <w:rFonts w:hint="default" w:cs="Times New Roman"/>
                <w:bCs/>
                <w:szCs w:val="21"/>
                <w:lang w:val="en-US" w:eastAsia="zh-CN"/>
              </w:rPr>
              <w:t>8m</w:t>
            </w:r>
            <w:r>
              <w:rPr>
                <w:rFonts w:hint="eastAsia" w:cs="Times New Roman"/>
                <w:bCs/>
                <w:szCs w:val="21"/>
                <w:vertAlign w:val="superscript"/>
                <w:lang w:val="en-US" w:eastAsia="zh-CN"/>
              </w:rPr>
              <w:t>3</w:t>
            </w:r>
            <w:r>
              <w:rPr>
                <w:rFonts w:hint="default" w:cs="Times New Roman"/>
                <w:bCs/>
                <w:szCs w:val="21"/>
                <w:lang w:val="en-US" w:eastAsia="zh-CN"/>
              </w:rPr>
              <w:t>/(人·a)，则项目生活用水量为</w:t>
            </w:r>
            <w:r>
              <w:rPr>
                <w:rFonts w:hint="eastAsia" w:cs="Times New Roman"/>
                <w:bCs/>
                <w:szCs w:val="21"/>
                <w:lang w:val="en-US" w:eastAsia="zh-CN"/>
              </w:rPr>
              <w:t>2166</w:t>
            </w:r>
            <w:r>
              <w:rPr>
                <w:rFonts w:hint="default" w:cs="Times New Roman"/>
                <w:bCs/>
                <w:szCs w:val="21"/>
                <w:lang w:val="en-US" w:eastAsia="zh-CN"/>
              </w:rPr>
              <w:t>m</w:t>
            </w:r>
            <w:r>
              <w:rPr>
                <w:rFonts w:hint="eastAsia" w:cs="Times New Roman"/>
                <w:bCs/>
                <w:szCs w:val="21"/>
                <w:vertAlign w:val="superscript"/>
                <w:lang w:val="en-US" w:eastAsia="zh-CN"/>
              </w:rPr>
              <w:t>3</w:t>
            </w:r>
            <w:r>
              <w:rPr>
                <w:rFonts w:hint="default" w:cs="Times New Roman"/>
                <w:bCs/>
                <w:szCs w:val="21"/>
                <w:lang w:val="en-US" w:eastAsia="zh-CN"/>
              </w:rPr>
              <w:t>/a。生活用水的产污系数按0.9计算，则生活污水产生量为</w:t>
            </w:r>
            <w:r>
              <w:rPr>
                <w:rFonts w:hint="eastAsia" w:cs="Times New Roman"/>
                <w:bCs/>
                <w:szCs w:val="21"/>
                <w:lang w:val="en-US" w:eastAsia="zh-CN"/>
              </w:rPr>
              <w:t>1949.4</w:t>
            </w:r>
            <w:r>
              <w:rPr>
                <w:rFonts w:hint="default" w:cs="Times New Roman"/>
                <w:bCs/>
                <w:szCs w:val="21"/>
                <w:lang w:val="en-US" w:eastAsia="zh-CN"/>
              </w:rPr>
              <w:t>m</w:t>
            </w:r>
            <w:r>
              <w:rPr>
                <w:rFonts w:hint="eastAsia" w:cs="Times New Roman"/>
                <w:bCs/>
                <w:szCs w:val="21"/>
                <w:vertAlign w:val="superscript"/>
                <w:lang w:val="en-US" w:eastAsia="zh-CN"/>
              </w:rPr>
              <w:t>3</w:t>
            </w:r>
            <w:r>
              <w:rPr>
                <w:rFonts w:hint="default" w:cs="Times New Roman"/>
                <w:bCs/>
                <w:szCs w:val="21"/>
                <w:lang w:val="en-US" w:eastAsia="zh-CN"/>
              </w:rPr>
              <w:t>/a。</w:t>
            </w:r>
          </w:p>
          <w:p>
            <w:pPr>
              <w:rPr>
                <w:rFonts w:hint="eastAsia" w:cs="Times New Roman"/>
                <w:bCs/>
                <w:szCs w:val="21"/>
                <w:lang w:val="en-US" w:eastAsia="zh-CN"/>
              </w:rPr>
            </w:pPr>
            <w:r>
              <w:rPr>
                <w:rFonts w:hint="eastAsia" w:cs="Times New Roman"/>
                <w:bCs/>
                <w:szCs w:val="21"/>
                <w:lang w:val="en-US" w:eastAsia="zh-CN"/>
              </w:rPr>
              <w:t>5、喷淋塔用水</w:t>
            </w:r>
          </w:p>
          <w:p>
            <w:pPr>
              <w:rPr>
                <w:rFonts w:hint="eastAsia" w:cs="Times New Roman"/>
                <w:bCs/>
                <w:szCs w:val="21"/>
                <w:lang w:val="en-US" w:eastAsia="zh-CN"/>
              </w:rPr>
            </w:pPr>
            <w:r>
              <w:rPr>
                <w:rFonts w:hint="eastAsia" w:cs="Times New Roman"/>
                <w:bCs/>
                <w:szCs w:val="21"/>
                <w:lang w:val="en-US" w:eastAsia="zh-CN"/>
              </w:rPr>
              <w:t>根据建设单位提供的喷淋塔设计参数可知：</w:t>
            </w:r>
          </w:p>
          <w:p>
            <w:pPr>
              <w:pStyle w:val="26"/>
              <w:bidi w:val="0"/>
              <w:rPr>
                <w:rFonts w:hint="default"/>
                <w:lang w:val="en-US" w:eastAsia="zh-CN"/>
              </w:rPr>
            </w:pPr>
            <w:r>
              <w:rPr>
                <w:rFonts w:hint="eastAsia"/>
                <w:lang w:val="en-US" w:eastAsia="zh-CN"/>
              </w:rPr>
              <w:t xml:space="preserve">表2-7 </w:t>
            </w:r>
            <w:r>
              <w:rPr>
                <w:rFonts w:hint="eastAsia"/>
              </w:rPr>
              <w:t>碱液喷淋设计参数一览表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3825"/>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4" w:type="pct"/>
                  <w:vAlign w:val="center"/>
                </w:tcPr>
                <w:p>
                  <w:pPr>
                    <w:pStyle w:val="22"/>
                    <w:bidi w:val="0"/>
                  </w:pPr>
                  <w:r>
                    <w:t>设施</w:t>
                  </w:r>
                </w:p>
              </w:tc>
              <w:tc>
                <w:tcPr>
                  <w:tcW w:w="3925" w:type="pct"/>
                  <w:gridSpan w:val="2"/>
                  <w:vAlign w:val="center"/>
                </w:tcPr>
                <w:p>
                  <w:pPr>
                    <w:pStyle w:val="22"/>
                    <w:bidi w:val="0"/>
                  </w:pPr>
                  <w:r>
                    <w:t>工艺参数</w:t>
                  </w:r>
                </w:p>
              </w:tc>
            </w:tr>
            <w:tr>
              <w:tblPrEx>
                <w:tblCellMar>
                  <w:top w:w="0" w:type="dxa"/>
                  <w:left w:w="108" w:type="dxa"/>
                  <w:bottom w:w="0" w:type="dxa"/>
                  <w:right w:w="108" w:type="dxa"/>
                </w:tblCellMar>
              </w:tblPrEx>
              <w:trPr>
                <w:jc w:val="center"/>
              </w:trPr>
              <w:tc>
                <w:tcPr>
                  <w:tcW w:w="1074" w:type="pct"/>
                  <w:vMerge w:val="restart"/>
                  <w:vAlign w:val="center"/>
                </w:tcPr>
                <w:p>
                  <w:pPr>
                    <w:pStyle w:val="22"/>
                    <w:bidi w:val="0"/>
                  </w:pPr>
                  <w:r>
                    <w:t>碱液喷淋塔</w:t>
                  </w:r>
                </w:p>
              </w:tc>
              <w:tc>
                <w:tcPr>
                  <w:tcW w:w="2196" w:type="pct"/>
                  <w:vAlign w:val="center"/>
                </w:tcPr>
                <w:p>
                  <w:pPr>
                    <w:pStyle w:val="22"/>
                    <w:bidi w:val="0"/>
                  </w:pPr>
                  <w:r>
                    <w:t>风机风量</w:t>
                  </w:r>
                </w:p>
              </w:tc>
              <w:tc>
                <w:tcPr>
                  <w:tcW w:w="1729" w:type="pct"/>
                  <w:vAlign w:val="center"/>
                </w:tcPr>
                <w:p>
                  <w:pPr>
                    <w:pStyle w:val="22"/>
                    <w:bidi w:val="0"/>
                  </w:pPr>
                  <w:r>
                    <w:rPr>
                      <w:rFonts w:hint="eastAsia"/>
                    </w:rPr>
                    <w:t>8</w:t>
                  </w:r>
                  <w:r>
                    <w:t>000m</w:t>
                  </w:r>
                  <w:r>
                    <w:rPr>
                      <w:vertAlign w:val="superscript"/>
                    </w:rPr>
                    <w:t>3</w:t>
                  </w:r>
                  <w: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pct"/>
                  <w:vMerge w:val="continue"/>
                  <w:vAlign w:val="center"/>
                </w:tcPr>
                <w:p>
                  <w:pPr>
                    <w:pStyle w:val="22"/>
                    <w:bidi w:val="0"/>
                  </w:pPr>
                </w:p>
              </w:tc>
              <w:tc>
                <w:tcPr>
                  <w:tcW w:w="2196" w:type="pct"/>
                  <w:vAlign w:val="center"/>
                </w:tcPr>
                <w:p>
                  <w:pPr>
                    <w:pStyle w:val="22"/>
                    <w:bidi w:val="0"/>
                  </w:pPr>
                  <w:r>
                    <w:t>空塔气流速度</w:t>
                  </w:r>
                </w:p>
              </w:tc>
              <w:tc>
                <w:tcPr>
                  <w:tcW w:w="1729" w:type="pct"/>
                  <w:vAlign w:val="center"/>
                </w:tcPr>
                <w:p>
                  <w:pPr>
                    <w:pStyle w:val="22"/>
                    <w:bidi w:val="0"/>
                  </w:pPr>
                  <w:r>
                    <w:t>0.74S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pct"/>
                  <w:vMerge w:val="continue"/>
                  <w:vAlign w:val="center"/>
                </w:tcPr>
                <w:p>
                  <w:pPr>
                    <w:pStyle w:val="22"/>
                    <w:bidi w:val="0"/>
                  </w:pPr>
                </w:p>
              </w:tc>
              <w:tc>
                <w:tcPr>
                  <w:tcW w:w="2196" w:type="pct"/>
                  <w:vAlign w:val="center"/>
                </w:tcPr>
                <w:p>
                  <w:pPr>
                    <w:pStyle w:val="22"/>
                    <w:bidi w:val="0"/>
                  </w:pPr>
                  <w:r>
                    <w:t>停留时间</w:t>
                  </w:r>
                </w:p>
              </w:tc>
              <w:tc>
                <w:tcPr>
                  <w:tcW w:w="1729" w:type="pct"/>
                  <w:vAlign w:val="center"/>
                </w:tcPr>
                <w:p>
                  <w:pPr>
                    <w:pStyle w:val="22"/>
                    <w:bidi w:val="0"/>
                  </w:pPr>
                  <w:r>
                    <w:t>2.03S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pct"/>
                  <w:vMerge w:val="continue"/>
                  <w:vAlign w:val="center"/>
                </w:tcPr>
                <w:p>
                  <w:pPr>
                    <w:pStyle w:val="22"/>
                    <w:bidi w:val="0"/>
                  </w:pPr>
                </w:p>
              </w:tc>
              <w:tc>
                <w:tcPr>
                  <w:tcW w:w="2196" w:type="pct"/>
                  <w:vAlign w:val="center"/>
                </w:tcPr>
                <w:p>
                  <w:pPr>
                    <w:pStyle w:val="22"/>
                    <w:bidi w:val="0"/>
                  </w:pPr>
                  <w:r>
                    <w:t>液气比</w:t>
                  </w:r>
                </w:p>
              </w:tc>
              <w:tc>
                <w:tcPr>
                  <w:tcW w:w="1729" w:type="pct"/>
                  <w:vAlign w:val="center"/>
                </w:tcPr>
                <w:p>
                  <w:pPr>
                    <w:pStyle w:val="22"/>
                    <w:bidi w:val="0"/>
                  </w:pPr>
                  <w:r>
                    <w:rPr>
                      <w:rFonts w:hint="eastAsia"/>
                    </w:rPr>
                    <w:t>0.27L/m</w:t>
                  </w:r>
                  <w:r>
                    <w:rPr>
                      <w:rFonts w:hint="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pct"/>
                  <w:vMerge w:val="continue"/>
                  <w:vAlign w:val="center"/>
                </w:tcPr>
                <w:p>
                  <w:pPr>
                    <w:pStyle w:val="22"/>
                    <w:bidi w:val="0"/>
                  </w:pPr>
                </w:p>
              </w:tc>
              <w:tc>
                <w:tcPr>
                  <w:tcW w:w="2196" w:type="pct"/>
                  <w:vAlign w:val="center"/>
                </w:tcPr>
                <w:p>
                  <w:pPr>
                    <w:pStyle w:val="22"/>
                    <w:bidi w:val="0"/>
                  </w:pPr>
                  <w:r>
                    <w:rPr>
                      <w:rFonts w:hint="eastAsia"/>
                    </w:rPr>
                    <w:t>体积（三层喷淋）</w:t>
                  </w:r>
                </w:p>
              </w:tc>
              <w:tc>
                <w:tcPr>
                  <w:tcW w:w="1729" w:type="pct"/>
                  <w:vAlign w:val="center"/>
                </w:tcPr>
                <w:p>
                  <w:pPr>
                    <w:pStyle w:val="22"/>
                    <w:bidi w:val="0"/>
                  </w:pPr>
                  <w:r>
                    <w:rPr>
                      <w:rFonts w:hint="eastAsia"/>
                    </w:rPr>
                    <w:t>8m</w:t>
                  </w:r>
                  <w:r>
                    <w:rPr>
                      <w:rFonts w:hint="eastAsia"/>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pct"/>
                  <w:vMerge w:val="continue"/>
                  <w:vAlign w:val="center"/>
                </w:tcPr>
                <w:p>
                  <w:pPr>
                    <w:pStyle w:val="22"/>
                    <w:bidi w:val="0"/>
                  </w:pPr>
                </w:p>
              </w:tc>
              <w:tc>
                <w:tcPr>
                  <w:tcW w:w="2196" w:type="pct"/>
                  <w:vAlign w:val="center"/>
                </w:tcPr>
                <w:p>
                  <w:pPr>
                    <w:pStyle w:val="22"/>
                    <w:bidi w:val="0"/>
                  </w:pPr>
                  <w:r>
                    <w:rPr>
                      <w:rFonts w:hint="eastAsia"/>
                    </w:rPr>
                    <w:t>单层循环流量</w:t>
                  </w:r>
                </w:p>
              </w:tc>
              <w:tc>
                <w:tcPr>
                  <w:tcW w:w="1729" w:type="pct"/>
                  <w:vAlign w:val="center"/>
                </w:tcPr>
                <w:p>
                  <w:pPr>
                    <w:pStyle w:val="22"/>
                    <w:bidi w:val="0"/>
                  </w:pPr>
                  <w:r>
                    <w:rPr>
                      <w:rFonts w:hint="eastAsia"/>
                    </w:rPr>
                    <w:t>20m</w:t>
                  </w:r>
                  <w:r>
                    <w:rPr>
                      <w:rFonts w:hint="eastAsia"/>
                      <w:vertAlign w:val="superscript"/>
                    </w:rPr>
                    <w:t>3</w:t>
                  </w:r>
                  <w:r>
                    <w:rPr>
                      <w:rFonts w:hint="eastAsia"/>
                    </w:rPr>
                    <w:t>/h</w:t>
                  </w:r>
                </w:p>
              </w:tc>
            </w:tr>
          </w:tbl>
          <w:p>
            <w:pPr>
              <w:rPr>
                <w:rFonts w:hint="eastAsia" w:cs="Times New Roman"/>
                <w:bCs/>
                <w:szCs w:val="21"/>
                <w:lang w:val="en-US" w:eastAsia="zh-CN"/>
              </w:rPr>
            </w:pPr>
            <w:r>
              <w:rPr>
                <w:rFonts w:hint="eastAsia" w:cs="Times New Roman"/>
                <w:bCs/>
                <w:szCs w:val="21"/>
                <w:lang w:val="en-US" w:eastAsia="zh-CN"/>
              </w:rPr>
              <w:t>喷淋塔废水每天更换一次，则喷淋用水量约为8m</w:t>
            </w:r>
            <w:r>
              <w:rPr>
                <w:rFonts w:hint="eastAsia" w:cs="Times New Roman"/>
                <w:bCs/>
                <w:szCs w:val="21"/>
                <w:vertAlign w:val="superscript"/>
                <w:lang w:val="en-US" w:eastAsia="zh-CN"/>
              </w:rPr>
              <w:t>3</w:t>
            </w:r>
            <w:r>
              <w:rPr>
                <w:rFonts w:hint="eastAsia" w:cs="Times New Roman"/>
                <w:bCs/>
                <w:szCs w:val="21"/>
                <w:lang w:val="en-US" w:eastAsia="zh-CN"/>
              </w:rPr>
              <w:t>/d，废水产污系数约为90%，则废水产生量约为7.2m</w:t>
            </w:r>
            <w:r>
              <w:rPr>
                <w:rFonts w:hint="eastAsia" w:cs="Times New Roman"/>
                <w:bCs/>
                <w:szCs w:val="21"/>
                <w:vertAlign w:val="superscript"/>
                <w:lang w:val="en-US" w:eastAsia="zh-CN"/>
              </w:rPr>
              <w:t>3</w:t>
            </w:r>
            <w:r>
              <w:rPr>
                <w:rFonts w:hint="eastAsia" w:cs="Times New Roman"/>
                <w:bCs/>
                <w:szCs w:val="21"/>
                <w:lang w:val="en-US" w:eastAsia="zh-CN"/>
              </w:rPr>
              <w:t>/d。</w:t>
            </w:r>
          </w:p>
          <w:p>
            <w:pPr>
              <w:rPr>
                <w:rFonts w:hint="default" w:ascii="Times New Roman" w:hAnsi="Times New Roman" w:eastAsia="宋体" w:cs="Times New Roman"/>
                <w:lang w:val="en-US" w:eastAsia="zh-CN"/>
              </w:rPr>
            </w:pPr>
            <w:r>
              <w:rPr>
                <w:rFonts w:hint="eastAsia" w:cs="Times New Roman"/>
                <w:lang w:val="en-US" w:eastAsia="zh-CN"/>
              </w:rPr>
              <w:t>6、蒸汽清洗用水量</w:t>
            </w:r>
          </w:p>
          <w:p>
            <w:pPr>
              <w:rPr>
                <w:rFonts w:hint="default" w:cs="Times New Roman"/>
                <w:bCs/>
                <w:szCs w:val="21"/>
                <w:lang w:val="en-US" w:eastAsia="zh-CN"/>
              </w:rPr>
            </w:pPr>
            <w:r>
              <w:rPr>
                <w:rFonts w:hint="eastAsia" w:ascii="Times New Roman" w:hAnsi="Times New Roman" w:eastAsia="宋体" w:cs="Times New Roman"/>
                <w:lang w:val="en-US" w:eastAsia="zh-CN"/>
              </w:rPr>
              <w:t>本项目部分罐车需采用高温蒸汽清洗，本项目使用蒸汽清洗机提供蒸汽，蒸汽清洗机使用电能。使用蒸汽清洗机清洗罐车的用水量约为</w:t>
            </w:r>
            <w:r>
              <w:rPr>
                <w:rFonts w:hint="eastAsia" w:cs="Times New Roman"/>
                <w:lang w:val="en-US" w:eastAsia="zh-CN"/>
              </w:rPr>
              <w:t>0.05~0.2m</w:t>
            </w:r>
            <w:r>
              <w:rPr>
                <w:rFonts w:hint="eastAsia" w:cs="Times New Roman"/>
                <w:vertAlign w:val="superscript"/>
                <w:lang w:val="en-US" w:eastAsia="zh-CN"/>
              </w:rPr>
              <w:t>3</w:t>
            </w:r>
            <w:r>
              <w:rPr>
                <w:rFonts w:hint="eastAsia" w:ascii="Times New Roman" w:hAnsi="Times New Roman" w:eastAsia="宋体" w:cs="Times New Roman"/>
                <w:lang w:val="en-US" w:eastAsia="zh-CN"/>
              </w:rPr>
              <w:t>/辆</w:t>
            </w:r>
            <w:r>
              <w:rPr>
                <w:rFonts w:hint="eastAsia" w:cs="Times New Roman"/>
                <w:lang w:val="en-US" w:eastAsia="zh-CN"/>
              </w:rPr>
              <w:t>·次</w:t>
            </w:r>
            <w:r>
              <w:rPr>
                <w:rFonts w:hint="eastAsia" w:ascii="Times New Roman" w:hAnsi="Times New Roman" w:eastAsia="宋体" w:cs="Times New Roman"/>
                <w:lang w:val="en-US" w:eastAsia="zh-CN"/>
              </w:rPr>
              <w:t>，</w:t>
            </w:r>
            <w:r>
              <w:rPr>
                <w:rFonts w:hint="eastAsia" w:cs="Times New Roman"/>
                <w:lang w:val="en-US" w:eastAsia="zh-CN"/>
              </w:rPr>
              <w:t>本项目以0.2m</w:t>
            </w:r>
            <w:r>
              <w:rPr>
                <w:rFonts w:hint="eastAsia" w:cs="Times New Roman"/>
                <w:vertAlign w:val="superscript"/>
                <w:lang w:val="en-US" w:eastAsia="zh-CN"/>
              </w:rPr>
              <w:t>3</w:t>
            </w:r>
            <w:r>
              <w:rPr>
                <w:rFonts w:hint="eastAsia" w:ascii="Times New Roman" w:hAnsi="Times New Roman" w:eastAsia="宋体" w:cs="Times New Roman"/>
                <w:lang w:val="en-US" w:eastAsia="zh-CN"/>
              </w:rPr>
              <w:t>/辆</w:t>
            </w:r>
            <w:r>
              <w:rPr>
                <w:rFonts w:hint="eastAsia" w:cs="Times New Roman"/>
                <w:lang w:val="en-US" w:eastAsia="zh-CN"/>
              </w:rPr>
              <w:t>·次计，</w:t>
            </w:r>
            <w:r>
              <w:rPr>
                <w:rFonts w:hint="eastAsia" w:ascii="Times New Roman" w:hAnsi="Times New Roman" w:eastAsia="宋体" w:cs="Times New Roman"/>
                <w:lang w:val="en-US" w:eastAsia="zh-CN"/>
              </w:rPr>
              <w:t>本项目需使用蒸汽清洗的罐车数量为</w:t>
            </w:r>
            <w:r>
              <w:rPr>
                <w:rFonts w:hint="eastAsia" w:cs="Times New Roman"/>
                <w:lang w:val="en-US" w:eastAsia="zh-CN"/>
              </w:rPr>
              <w:t>600</w:t>
            </w:r>
            <w:r>
              <w:rPr>
                <w:rFonts w:hint="eastAsia" w:ascii="Times New Roman" w:hAnsi="Times New Roman" w:eastAsia="宋体" w:cs="Times New Roman"/>
                <w:lang w:val="en-US" w:eastAsia="zh-CN"/>
              </w:rPr>
              <w:t>辆/a，则用水量约为</w:t>
            </w:r>
            <w:r>
              <w:rPr>
                <w:rFonts w:hint="eastAsia" w:cs="Times New Roman"/>
                <w:lang w:val="en-US" w:eastAsia="zh-CN"/>
              </w:rPr>
              <w:t>120</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/a（日最大产生量约为</w:t>
            </w:r>
            <w:r>
              <w:rPr>
                <w:rFonts w:hint="eastAsia" w:cs="Times New Roman"/>
                <w:lang w:val="en-US" w:eastAsia="zh-CN"/>
              </w:rPr>
              <w:t>0.4m</w:t>
            </w:r>
            <w:r>
              <w:rPr>
                <w:rFonts w:hint="eastAsia" w:cs="Times New Roman"/>
                <w:vertAlign w:val="superscript"/>
                <w:lang w:val="en-US" w:eastAsia="zh-CN"/>
              </w:rPr>
              <w:t>3</w:t>
            </w:r>
            <w:r>
              <w:rPr>
                <w:rFonts w:hint="eastAsia" w:ascii="Times New Roman" w:hAnsi="Times New Roman" w:eastAsia="宋体" w:cs="Times New Roman"/>
                <w:lang w:val="en-US" w:eastAsia="zh-CN"/>
              </w:rPr>
              <w:t>）。蒸汽通过车辆内壁成冷凝水沉积在罐内，经分类收集后暂存于危废暂存间，后交由有资质的单位处置。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Cs/>
                <w:szCs w:val="21"/>
                <w:lang w:val="en-US" w:eastAsia="zh-CN"/>
              </w:rPr>
            </w:pPr>
            <w:r>
              <w:rPr>
                <w:rFonts w:hint="eastAsia" w:cs="Times New Roman"/>
                <w:bCs/>
                <w:szCs w:val="21"/>
                <w:lang w:val="en-US" w:eastAsia="zh-CN"/>
              </w:rPr>
              <w:t>项目给排水情况如下：</w:t>
            </w:r>
          </w:p>
          <w:p>
            <w:pPr>
              <w:pStyle w:val="26"/>
              <w:bidi w:val="0"/>
              <w:rPr>
                <w:rFonts w:hint="default"/>
                <w:lang w:val="en-US" w:eastAsia="zh-CN"/>
              </w:rPr>
            </w:pPr>
            <w:r>
              <w:rPr>
                <w:rFonts w:hint="default"/>
                <w:lang w:val="en-US" w:eastAsia="zh-CN"/>
              </w:rPr>
              <w:t>表2</w:t>
            </w:r>
            <w:r>
              <w:rPr>
                <w:rFonts w:hint="eastAsia"/>
                <w:lang w:val="en-US" w:eastAsia="zh-CN"/>
              </w:rPr>
              <w:t>-</w:t>
            </w:r>
            <w:r>
              <w:rPr>
                <w:rFonts w:hint="default"/>
                <w:lang w:val="en-US" w:eastAsia="zh-CN"/>
              </w:rPr>
              <w:t>7 本项目给排水核算表（单位：m</w:t>
            </w:r>
            <w:r>
              <w:rPr>
                <w:rFonts w:hint="default"/>
                <w:vertAlign w:val="superscript"/>
                <w:lang w:val="en-US" w:eastAsia="zh-CN"/>
              </w:rPr>
              <w:t>3</w:t>
            </w:r>
            <w:r>
              <w:rPr>
                <w:rFonts w:hint="default"/>
                <w:lang w:val="en-US" w:eastAsia="zh-CN"/>
              </w:rPr>
              <w:t>/a）</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739"/>
              <w:gridCol w:w="1310"/>
              <w:gridCol w:w="1204"/>
              <w:gridCol w:w="1147"/>
              <w:gridCol w:w="1155"/>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3" w:type="pct"/>
                  <w:noWrap w:val="0"/>
                  <w:vAlign w:val="top"/>
                </w:tcPr>
                <w:p>
                  <w:pPr>
                    <w:pStyle w:val="22"/>
                    <w:bidi w:val="0"/>
                    <w:rPr>
                      <w:rFonts w:hint="default"/>
                      <w:lang w:val="en-US" w:eastAsia="zh-CN"/>
                    </w:rPr>
                  </w:pPr>
                  <w:r>
                    <w:rPr>
                      <w:rFonts w:hint="eastAsia"/>
                      <w:lang w:val="en-US" w:eastAsia="zh-CN"/>
                    </w:rPr>
                    <w:t>序号</w:t>
                  </w:r>
                </w:p>
              </w:tc>
              <w:tc>
                <w:tcPr>
                  <w:tcW w:w="998" w:type="pct"/>
                  <w:noWrap w:val="0"/>
                  <w:vAlign w:val="top"/>
                </w:tcPr>
                <w:p>
                  <w:pPr>
                    <w:pStyle w:val="22"/>
                    <w:bidi w:val="0"/>
                    <w:rPr>
                      <w:rFonts w:hint="default"/>
                      <w:lang w:val="en-US" w:eastAsia="zh-CN"/>
                    </w:rPr>
                  </w:pPr>
                  <w:r>
                    <w:rPr>
                      <w:rFonts w:hint="eastAsia"/>
                      <w:lang w:val="en-US" w:eastAsia="zh-CN"/>
                    </w:rPr>
                    <w:t>清洗类别</w:t>
                  </w:r>
                </w:p>
              </w:tc>
              <w:tc>
                <w:tcPr>
                  <w:tcW w:w="752" w:type="pct"/>
                  <w:noWrap w:val="0"/>
                  <w:vAlign w:val="top"/>
                </w:tcPr>
                <w:p>
                  <w:pPr>
                    <w:pStyle w:val="22"/>
                    <w:bidi w:val="0"/>
                    <w:rPr>
                      <w:rFonts w:hint="default"/>
                      <w:lang w:val="en-US" w:eastAsia="zh-CN"/>
                    </w:rPr>
                  </w:pPr>
                  <w:r>
                    <w:rPr>
                      <w:rFonts w:hint="eastAsia"/>
                      <w:lang w:val="en-US" w:eastAsia="zh-CN"/>
                    </w:rPr>
                    <w:t>用水系数</w:t>
                  </w:r>
                </w:p>
              </w:tc>
              <w:tc>
                <w:tcPr>
                  <w:tcW w:w="689" w:type="pct"/>
                  <w:noWrap w:val="0"/>
                  <w:vAlign w:val="top"/>
                </w:tcPr>
                <w:p>
                  <w:pPr>
                    <w:pStyle w:val="22"/>
                    <w:bidi w:val="0"/>
                    <w:rPr>
                      <w:rFonts w:hint="default"/>
                      <w:lang w:val="en-US" w:eastAsia="zh-CN"/>
                    </w:rPr>
                  </w:pPr>
                  <w:r>
                    <w:rPr>
                      <w:rFonts w:hint="eastAsia"/>
                      <w:lang w:val="en-US" w:eastAsia="zh-CN"/>
                    </w:rPr>
                    <w:t>规模</w:t>
                  </w:r>
                </w:p>
              </w:tc>
              <w:tc>
                <w:tcPr>
                  <w:tcW w:w="658" w:type="pct"/>
                  <w:noWrap w:val="0"/>
                  <w:vAlign w:val="top"/>
                </w:tcPr>
                <w:p>
                  <w:pPr>
                    <w:pStyle w:val="22"/>
                    <w:bidi w:val="0"/>
                    <w:rPr>
                      <w:rFonts w:hint="default"/>
                      <w:lang w:val="en-US" w:eastAsia="zh-CN"/>
                    </w:rPr>
                  </w:pPr>
                  <w:r>
                    <w:rPr>
                      <w:rFonts w:hint="eastAsia"/>
                      <w:lang w:val="en-US" w:eastAsia="zh-CN"/>
                    </w:rPr>
                    <w:t>年用水量</w:t>
                  </w:r>
                </w:p>
              </w:tc>
              <w:tc>
                <w:tcPr>
                  <w:tcW w:w="663" w:type="pct"/>
                  <w:noWrap w:val="0"/>
                  <w:vAlign w:val="top"/>
                </w:tcPr>
                <w:p>
                  <w:pPr>
                    <w:pStyle w:val="22"/>
                    <w:bidi w:val="0"/>
                    <w:rPr>
                      <w:rFonts w:hint="default"/>
                      <w:lang w:val="en-US" w:eastAsia="zh-CN"/>
                    </w:rPr>
                  </w:pPr>
                  <w:r>
                    <w:rPr>
                      <w:rFonts w:hint="eastAsia"/>
                      <w:lang w:val="en-US" w:eastAsia="zh-CN"/>
                    </w:rPr>
                    <w:t>排污系数</w:t>
                  </w:r>
                </w:p>
              </w:tc>
              <w:tc>
                <w:tcPr>
                  <w:tcW w:w="763" w:type="pct"/>
                  <w:noWrap w:val="0"/>
                  <w:vAlign w:val="top"/>
                </w:tcPr>
                <w:p>
                  <w:pPr>
                    <w:pStyle w:val="22"/>
                    <w:bidi w:val="0"/>
                    <w:rPr>
                      <w:rFonts w:hint="default"/>
                      <w:lang w:val="en-US" w:eastAsia="zh-CN"/>
                    </w:rPr>
                  </w:pPr>
                  <w:r>
                    <w:rPr>
                      <w:rFonts w:hint="eastAsia"/>
                      <w:lang w:val="en-US" w:eastAsia="zh-CN"/>
                    </w:rPr>
                    <w:t>废水产生量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top"/>
                </w:tcPr>
                <w:p>
                  <w:pPr>
                    <w:pStyle w:val="22"/>
                    <w:bidi w:val="0"/>
                    <w:rPr>
                      <w:rFonts w:hint="default"/>
                      <w:lang w:val="en-US" w:eastAsia="zh-CN"/>
                    </w:rPr>
                  </w:pPr>
                  <w:r>
                    <w:rPr>
                      <w:rFonts w:hint="eastAsia"/>
                      <w:lang w:val="en-US" w:eastAsia="zh-CN"/>
                    </w:rPr>
                    <w:t>1</w:t>
                  </w:r>
                </w:p>
              </w:tc>
              <w:tc>
                <w:tcPr>
                  <w:tcW w:w="998" w:type="pct"/>
                  <w:noWrap w:val="0"/>
                  <w:vAlign w:val="top"/>
                </w:tcPr>
                <w:p>
                  <w:pPr>
                    <w:pStyle w:val="22"/>
                    <w:bidi w:val="0"/>
                    <w:rPr>
                      <w:rFonts w:hint="default"/>
                      <w:lang w:val="en-US" w:eastAsia="zh-CN"/>
                    </w:rPr>
                  </w:pPr>
                  <w:r>
                    <w:rPr>
                      <w:rFonts w:hint="eastAsia"/>
                      <w:lang w:val="en-US" w:eastAsia="zh-CN"/>
                    </w:rPr>
                    <w:t>车辆清洗废水</w:t>
                  </w:r>
                </w:p>
              </w:tc>
              <w:tc>
                <w:tcPr>
                  <w:tcW w:w="752" w:type="pct"/>
                  <w:noWrap w:val="0"/>
                  <w:vAlign w:val="top"/>
                </w:tcPr>
                <w:p>
                  <w:pPr>
                    <w:pStyle w:val="22"/>
                    <w:bidi w:val="0"/>
                    <w:rPr>
                      <w:rFonts w:hint="default"/>
                      <w:lang w:val="en-US" w:eastAsia="zh-CN"/>
                    </w:rPr>
                  </w:pPr>
                  <w:r>
                    <w:rPr>
                      <w:rFonts w:hint="eastAsia"/>
                      <w:lang w:val="en-US" w:eastAsia="zh-CN"/>
                    </w:rPr>
                    <w:t>1.0t/罐体</w:t>
                  </w:r>
                </w:p>
              </w:tc>
              <w:tc>
                <w:tcPr>
                  <w:tcW w:w="689" w:type="pct"/>
                  <w:noWrap w:val="0"/>
                  <w:vAlign w:val="top"/>
                </w:tcPr>
                <w:p>
                  <w:pPr>
                    <w:pStyle w:val="22"/>
                    <w:bidi w:val="0"/>
                    <w:rPr>
                      <w:rFonts w:hint="default"/>
                      <w:lang w:val="en-US" w:eastAsia="zh-CN"/>
                    </w:rPr>
                  </w:pPr>
                  <w:r>
                    <w:rPr>
                      <w:rFonts w:hint="eastAsia"/>
                      <w:lang w:val="en-US" w:eastAsia="zh-CN"/>
                    </w:rPr>
                    <w:t>600辆/a</w:t>
                  </w:r>
                </w:p>
              </w:tc>
              <w:tc>
                <w:tcPr>
                  <w:tcW w:w="658" w:type="pct"/>
                  <w:noWrap w:val="0"/>
                  <w:vAlign w:val="top"/>
                </w:tcPr>
                <w:p>
                  <w:pPr>
                    <w:pStyle w:val="22"/>
                    <w:bidi w:val="0"/>
                    <w:rPr>
                      <w:rFonts w:hint="default"/>
                      <w:lang w:val="en-US" w:eastAsia="zh-CN"/>
                    </w:rPr>
                  </w:pPr>
                  <w:r>
                    <w:rPr>
                      <w:rFonts w:hint="eastAsia"/>
                      <w:lang w:val="en-US" w:eastAsia="zh-CN"/>
                    </w:rPr>
                    <w:t>600</w:t>
                  </w:r>
                </w:p>
              </w:tc>
              <w:tc>
                <w:tcPr>
                  <w:tcW w:w="663" w:type="pct"/>
                  <w:noWrap w:val="0"/>
                  <w:vAlign w:val="top"/>
                </w:tcPr>
                <w:p>
                  <w:pPr>
                    <w:pStyle w:val="22"/>
                    <w:bidi w:val="0"/>
                    <w:rPr>
                      <w:rFonts w:hint="default"/>
                      <w:lang w:val="en-US" w:eastAsia="zh-CN"/>
                    </w:rPr>
                  </w:pPr>
                  <w:r>
                    <w:rPr>
                      <w:rFonts w:hint="eastAsia"/>
                      <w:lang w:val="en-US" w:eastAsia="zh-CN"/>
                    </w:rPr>
                    <w:t>0.9</w:t>
                  </w:r>
                </w:p>
              </w:tc>
              <w:tc>
                <w:tcPr>
                  <w:tcW w:w="763" w:type="pct"/>
                  <w:noWrap w:val="0"/>
                  <w:vAlign w:val="top"/>
                </w:tcPr>
                <w:p>
                  <w:pPr>
                    <w:pStyle w:val="22"/>
                    <w:bidi w:val="0"/>
                    <w:rPr>
                      <w:rFonts w:hint="default"/>
                      <w:lang w:val="en-US" w:eastAsia="zh-CN"/>
                    </w:rPr>
                  </w:pPr>
                  <w:r>
                    <w:rPr>
                      <w:rFonts w:hint="eastAsia"/>
                      <w:lang w:val="en-US" w:eastAsia="zh-CN"/>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top"/>
                </w:tcPr>
                <w:p>
                  <w:pPr>
                    <w:pStyle w:val="22"/>
                    <w:bidi w:val="0"/>
                    <w:rPr>
                      <w:rFonts w:hint="default"/>
                      <w:lang w:val="en-US" w:eastAsia="zh-CN"/>
                    </w:rPr>
                  </w:pPr>
                  <w:r>
                    <w:rPr>
                      <w:rFonts w:hint="eastAsia"/>
                      <w:lang w:val="en-US" w:eastAsia="zh-CN"/>
                    </w:rPr>
                    <w:t>2</w:t>
                  </w:r>
                </w:p>
              </w:tc>
              <w:tc>
                <w:tcPr>
                  <w:tcW w:w="998" w:type="pct"/>
                  <w:noWrap w:val="0"/>
                  <w:vAlign w:val="top"/>
                </w:tcPr>
                <w:p>
                  <w:pPr>
                    <w:pStyle w:val="22"/>
                    <w:bidi w:val="0"/>
                    <w:rPr>
                      <w:rFonts w:hint="default"/>
                      <w:lang w:val="en-US" w:eastAsia="zh-CN"/>
                    </w:rPr>
                  </w:pPr>
                  <w:r>
                    <w:rPr>
                      <w:rFonts w:hint="eastAsia"/>
                      <w:lang w:val="en-US" w:eastAsia="zh-CN"/>
                    </w:rPr>
                    <w:t>地面冲洗废水</w:t>
                  </w:r>
                </w:p>
              </w:tc>
              <w:tc>
                <w:tcPr>
                  <w:tcW w:w="752" w:type="pct"/>
                  <w:noWrap w:val="0"/>
                  <w:vAlign w:val="top"/>
                </w:tcPr>
                <w:p>
                  <w:pPr>
                    <w:pStyle w:val="22"/>
                    <w:bidi w:val="0"/>
                    <w:rPr>
                      <w:rFonts w:hint="default"/>
                      <w:lang w:val="en-US" w:eastAsia="zh-CN"/>
                    </w:rPr>
                  </w:pPr>
                  <w:r>
                    <w:rPr>
                      <w:rFonts w:hint="eastAsia"/>
                      <w:lang w:val="en-US" w:eastAsia="zh-CN"/>
                    </w:rPr>
                    <w:t>2.5L/m</w:t>
                  </w:r>
                  <w:r>
                    <w:rPr>
                      <w:rFonts w:hint="eastAsia"/>
                      <w:vertAlign w:val="superscript"/>
                      <w:lang w:val="en-US" w:eastAsia="zh-CN"/>
                    </w:rPr>
                    <w:t>2</w:t>
                  </w:r>
                </w:p>
              </w:tc>
              <w:tc>
                <w:tcPr>
                  <w:tcW w:w="689" w:type="pct"/>
                  <w:noWrap w:val="0"/>
                  <w:vAlign w:val="top"/>
                </w:tcPr>
                <w:p>
                  <w:pPr>
                    <w:pStyle w:val="22"/>
                    <w:bidi w:val="0"/>
                    <w:rPr>
                      <w:rFonts w:hint="default"/>
                      <w:lang w:val="en-US" w:eastAsia="zh-CN"/>
                    </w:rPr>
                  </w:pPr>
                  <w:r>
                    <w:rPr>
                      <w:rFonts w:hint="eastAsia"/>
                      <w:lang w:val="en-US" w:eastAsia="zh-CN"/>
                    </w:rPr>
                    <w:t>1280m</w:t>
                  </w:r>
                  <w:r>
                    <w:rPr>
                      <w:rFonts w:hint="eastAsia"/>
                      <w:vertAlign w:val="superscript"/>
                      <w:lang w:val="en-US" w:eastAsia="zh-CN"/>
                    </w:rPr>
                    <w:t>2</w:t>
                  </w:r>
                </w:p>
              </w:tc>
              <w:tc>
                <w:tcPr>
                  <w:tcW w:w="658" w:type="pct"/>
                  <w:noWrap w:val="0"/>
                  <w:vAlign w:val="top"/>
                </w:tcPr>
                <w:p>
                  <w:pPr>
                    <w:pStyle w:val="22"/>
                    <w:bidi w:val="0"/>
                    <w:rPr>
                      <w:rFonts w:hint="default"/>
                      <w:lang w:val="en-US" w:eastAsia="zh-CN"/>
                    </w:rPr>
                  </w:pPr>
                  <w:r>
                    <w:rPr>
                      <w:rFonts w:hint="eastAsia"/>
                      <w:lang w:val="en-US" w:eastAsia="zh-CN"/>
                    </w:rPr>
                    <w:t>960</w:t>
                  </w:r>
                </w:p>
              </w:tc>
              <w:tc>
                <w:tcPr>
                  <w:tcW w:w="663" w:type="pct"/>
                  <w:noWrap w:val="0"/>
                  <w:vAlign w:val="top"/>
                </w:tcPr>
                <w:p>
                  <w:pPr>
                    <w:pStyle w:val="22"/>
                    <w:bidi w:val="0"/>
                    <w:rPr>
                      <w:rFonts w:hint="default"/>
                      <w:lang w:val="en-US" w:eastAsia="zh-CN"/>
                    </w:rPr>
                  </w:pPr>
                  <w:r>
                    <w:rPr>
                      <w:rFonts w:hint="eastAsia"/>
                      <w:lang w:val="en-US" w:eastAsia="zh-CN"/>
                    </w:rPr>
                    <w:t>0.9</w:t>
                  </w:r>
                </w:p>
              </w:tc>
              <w:tc>
                <w:tcPr>
                  <w:tcW w:w="763" w:type="pct"/>
                  <w:noWrap w:val="0"/>
                  <w:vAlign w:val="top"/>
                </w:tcPr>
                <w:p>
                  <w:pPr>
                    <w:pStyle w:val="22"/>
                    <w:bidi w:val="0"/>
                    <w:rPr>
                      <w:rFonts w:hint="default"/>
                      <w:lang w:val="en-US" w:eastAsia="zh-CN"/>
                    </w:rPr>
                  </w:pPr>
                  <w:r>
                    <w:rPr>
                      <w:rFonts w:hint="eastAsia"/>
                      <w:lang w:val="en-US" w:eastAsia="zh-CN"/>
                    </w:rPr>
                    <w:t>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top"/>
                </w:tcPr>
                <w:p>
                  <w:pPr>
                    <w:pStyle w:val="22"/>
                    <w:bidi w:val="0"/>
                    <w:rPr>
                      <w:rFonts w:hint="default"/>
                      <w:lang w:val="en-US" w:eastAsia="zh-CN"/>
                    </w:rPr>
                  </w:pPr>
                  <w:r>
                    <w:rPr>
                      <w:rFonts w:hint="eastAsia"/>
                      <w:lang w:val="en-US" w:eastAsia="zh-CN"/>
                    </w:rPr>
                    <w:t>3</w:t>
                  </w:r>
                </w:p>
              </w:tc>
              <w:tc>
                <w:tcPr>
                  <w:tcW w:w="998" w:type="pct"/>
                  <w:noWrap w:val="0"/>
                  <w:vAlign w:val="top"/>
                </w:tcPr>
                <w:p>
                  <w:pPr>
                    <w:pStyle w:val="22"/>
                    <w:bidi w:val="0"/>
                    <w:rPr>
                      <w:rFonts w:hint="default"/>
                      <w:lang w:val="en-US" w:eastAsia="zh-CN"/>
                    </w:rPr>
                  </w:pPr>
                  <w:r>
                    <w:rPr>
                      <w:rFonts w:hint="eastAsia"/>
                      <w:lang w:val="en-US" w:eastAsia="zh-CN"/>
                    </w:rPr>
                    <w:t>停车场生活用水</w:t>
                  </w:r>
                </w:p>
              </w:tc>
              <w:tc>
                <w:tcPr>
                  <w:tcW w:w="752" w:type="pct"/>
                  <w:noWrap w:val="0"/>
                  <w:vAlign w:val="top"/>
                </w:tcPr>
                <w:p>
                  <w:pPr>
                    <w:pStyle w:val="22"/>
                    <w:bidi w:val="0"/>
                    <w:rPr>
                      <w:rFonts w:hint="default"/>
                      <w:lang w:val="en-US" w:eastAsia="zh-CN"/>
                    </w:rPr>
                  </w:pPr>
                  <w:r>
                    <w:rPr>
                      <w:rFonts w:hint="eastAsia"/>
                      <w:lang w:val="en-US" w:eastAsia="zh-CN"/>
                    </w:rPr>
                    <w:t>38m</w:t>
                  </w:r>
                  <w:r>
                    <w:rPr>
                      <w:rFonts w:hint="eastAsia"/>
                      <w:vertAlign w:val="superscript"/>
                      <w:lang w:val="en-US" w:eastAsia="zh-CN"/>
                    </w:rPr>
                    <w:t>3</w:t>
                  </w:r>
                  <w:r>
                    <w:rPr>
                      <w:rFonts w:hint="eastAsia"/>
                      <w:lang w:val="en-US" w:eastAsia="zh-CN"/>
                    </w:rPr>
                    <w:t>/人·a</w:t>
                  </w:r>
                </w:p>
              </w:tc>
              <w:tc>
                <w:tcPr>
                  <w:tcW w:w="689" w:type="pct"/>
                  <w:noWrap w:val="0"/>
                  <w:vAlign w:val="top"/>
                </w:tcPr>
                <w:p>
                  <w:pPr>
                    <w:pStyle w:val="22"/>
                    <w:bidi w:val="0"/>
                    <w:rPr>
                      <w:rFonts w:hint="default"/>
                      <w:lang w:val="en-US" w:eastAsia="zh-CN"/>
                    </w:rPr>
                  </w:pPr>
                  <w:r>
                    <w:rPr>
                      <w:rFonts w:hint="eastAsia"/>
                      <w:lang w:val="en-US" w:eastAsia="zh-CN"/>
                    </w:rPr>
                    <w:t>40</w:t>
                  </w:r>
                </w:p>
              </w:tc>
              <w:tc>
                <w:tcPr>
                  <w:tcW w:w="658" w:type="pct"/>
                  <w:noWrap w:val="0"/>
                  <w:vAlign w:val="top"/>
                </w:tcPr>
                <w:p>
                  <w:pPr>
                    <w:pStyle w:val="22"/>
                    <w:bidi w:val="0"/>
                    <w:rPr>
                      <w:rFonts w:hint="default"/>
                      <w:lang w:val="en-US" w:eastAsia="zh-CN"/>
                    </w:rPr>
                  </w:pPr>
                  <w:r>
                    <w:rPr>
                      <w:rFonts w:hint="eastAsia"/>
                      <w:lang w:val="en-US" w:eastAsia="zh-CN"/>
                    </w:rPr>
                    <w:t>1520</w:t>
                  </w:r>
                </w:p>
              </w:tc>
              <w:tc>
                <w:tcPr>
                  <w:tcW w:w="663" w:type="pct"/>
                  <w:noWrap w:val="0"/>
                  <w:vAlign w:val="top"/>
                </w:tcPr>
                <w:p>
                  <w:pPr>
                    <w:pStyle w:val="22"/>
                    <w:bidi w:val="0"/>
                    <w:rPr>
                      <w:rFonts w:hint="default"/>
                      <w:lang w:val="en-US" w:eastAsia="zh-CN"/>
                    </w:rPr>
                  </w:pPr>
                  <w:r>
                    <w:rPr>
                      <w:rFonts w:hint="eastAsia"/>
                      <w:lang w:val="en-US" w:eastAsia="zh-CN"/>
                    </w:rPr>
                    <w:t>0.9</w:t>
                  </w:r>
                </w:p>
              </w:tc>
              <w:tc>
                <w:tcPr>
                  <w:tcW w:w="763" w:type="pct"/>
                  <w:noWrap w:val="0"/>
                  <w:vAlign w:val="top"/>
                </w:tcPr>
                <w:p>
                  <w:pPr>
                    <w:pStyle w:val="22"/>
                    <w:bidi w:val="0"/>
                    <w:rPr>
                      <w:rFonts w:hint="default"/>
                      <w:lang w:val="en-US" w:eastAsia="zh-CN"/>
                    </w:rPr>
                  </w:pPr>
                  <w:r>
                    <w:rPr>
                      <w:rFonts w:hint="eastAsia"/>
                      <w:lang w:val="en-US" w:eastAsia="zh-CN"/>
                    </w:rPr>
                    <w:t>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top"/>
                </w:tcPr>
                <w:p>
                  <w:pPr>
                    <w:pStyle w:val="22"/>
                    <w:bidi w:val="0"/>
                    <w:rPr>
                      <w:rFonts w:hint="default"/>
                      <w:lang w:val="en-US" w:eastAsia="zh-CN"/>
                    </w:rPr>
                  </w:pPr>
                  <w:r>
                    <w:rPr>
                      <w:rFonts w:hint="eastAsia"/>
                      <w:lang w:val="en-US" w:eastAsia="zh-CN"/>
                    </w:rPr>
                    <w:t>4</w:t>
                  </w:r>
                </w:p>
              </w:tc>
              <w:tc>
                <w:tcPr>
                  <w:tcW w:w="998" w:type="pct"/>
                  <w:noWrap w:val="0"/>
                  <w:vAlign w:val="top"/>
                </w:tcPr>
                <w:p>
                  <w:pPr>
                    <w:pStyle w:val="22"/>
                    <w:bidi w:val="0"/>
                    <w:rPr>
                      <w:rFonts w:hint="default"/>
                      <w:lang w:val="en-US" w:eastAsia="zh-CN"/>
                    </w:rPr>
                  </w:pPr>
                  <w:r>
                    <w:rPr>
                      <w:rFonts w:hint="eastAsia"/>
                      <w:lang w:val="en-US" w:eastAsia="zh-CN"/>
                    </w:rPr>
                    <w:t>消防站生活用水</w:t>
                  </w:r>
                </w:p>
              </w:tc>
              <w:tc>
                <w:tcPr>
                  <w:tcW w:w="752" w:type="pct"/>
                  <w:noWrap w:val="0"/>
                  <w:vAlign w:val="top"/>
                </w:tcPr>
                <w:p>
                  <w:pPr>
                    <w:pStyle w:val="22"/>
                    <w:bidi w:val="0"/>
                    <w:rPr>
                      <w:rFonts w:hint="eastAsia"/>
                      <w:lang w:val="en-US" w:eastAsia="zh-CN"/>
                    </w:rPr>
                  </w:pPr>
                  <w:r>
                    <w:rPr>
                      <w:rFonts w:hint="eastAsia"/>
                      <w:lang w:val="en-US" w:eastAsia="zh-CN"/>
                    </w:rPr>
                    <w:t>38m</w:t>
                  </w:r>
                  <w:r>
                    <w:rPr>
                      <w:rFonts w:hint="eastAsia"/>
                      <w:vertAlign w:val="superscript"/>
                      <w:lang w:val="en-US" w:eastAsia="zh-CN"/>
                    </w:rPr>
                    <w:t>3</w:t>
                  </w:r>
                  <w:r>
                    <w:rPr>
                      <w:rFonts w:hint="eastAsia"/>
                      <w:lang w:val="en-US" w:eastAsia="zh-CN"/>
                    </w:rPr>
                    <w:t>/人·a</w:t>
                  </w:r>
                </w:p>
              </w:tc>
              <w:tc>
                <w:tcPr>
                  <w:tcW w:w="689" w:type="pct"/>
                  <w:noWrap w:val="0"/>
                  <w:vAlign w:val="top"/>
                </w:tcPr>
                <w:p>
                  <w:pPr>
                    <w:pStyle w:val="22"/>
                    <w:bidi w:val="0"/>
                    <w:rPr>
                      <w:rFonts w:hint="default"/>
                      <w:lang w:val="en-US" w:eastAsia="zh-CN"/>
                    </w:rPr>
                  </w:pPr>
                  <w:r>
                    <w:rPr>
                      <w:rFonts w:hint="eastAsia"/>
                      <w:lang w:val="en-US" w:eastAsia="zh-CN"/>
                    </w:rPr>
                    <w:t>57</w:t>
                  </w:r>
                </w:p>
              </w:tc>
              <w:tc>
                <w:tcPr>
                  <w:tcW w:w="658" w:type="pct"/>
                  <w:noWrap w:val="0"/>
                  <w:vAlign w:val="top"/>
                </w:tcPr>
                <w:p>
                  <w:pPr>
                    <w:pStyle w:val="22"/>
                    <w:bidi w:val="0"/>
                    <w:rPr>
                      <w:rFonts w:hint="default"/>
                      <w:lang w:val="en-US" w:eastAsia="zh-CN"/>
                    </w:rPr>
                  </w:pPr>
                  <w:r>
                    <w:rPr>
                      <w:rFonts w:hint="eastAsia"/>
                      <w:lang w:val="en-US" w:eastAsia="zh-CN"/>
                    </w:rPr>
                    <w:t>2166</w:t>
                  </w:r>
                </w:p>
              </w:tc>
              <w:tc>
                <w:tcPr>
                  <w:tcW w:w="663" w:type="pct"/>
                  <w:noWrap w:val="0"/>
                  <w:vAlign w:val="top"/>
                </w:tcPr>
                <w:p>
                  <w:pPr>
                    <w:pStyle w:val="22"/>
                    <w:bidi w:val="0"/>
                    <w:rPr>
                      <w:rFonts w:hint="default"/>
                      <w:lang w:val="en-US" w:eastAsia="zh-CN"/>
                    </w:rPr>
                  </w:pPr>
                  <w:r>
                    <w:rPr>
                      <w:rFonts w:hint="eastAsia"/>
                      <w:lang w:val="en-US" w:eastAsia="zh-CN"/>
                    </w:rPr>
                    <w:t>0.9</w:t>
                  </w:r>
                </w:p>
              </w:tc>
              <w:tc>
                <w:tcPr>
                  <w:tcW w:w="763" w:type="pct"/>
                  <w:noWrap w:val="0"/>
                  <w:vAlign w:val="top"/>
                </w:tcPr>
                <w:p>
                  <w:pPr>
                    <w:pStyle w:val="22"/>
                    <w:bidi w:val="0"/>
                    <w:rPr>
                      <w:rFonts w:hint="default"/>
                      <w:lang w:val="en-US" w:eastAsia="zh-CN"/>
                    </w:rPr>
                  </w:pPr>
                  <w:r>
                    <w:rPr>
                      <w:rFonts w:hint="eastAsia"/>
                      <w:lang w:val="en-US" w:eastAsia="zh-CN"/>
                    </w:rPr>
                    <w:t>1949.4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top"/>
                </w:tcPr>
                <w:p>
                  <w:pPr>
                    <w:pStyle w:val="22"/>
                    <w:bidi w:val="0"/>
                    <w:rPr>
                      <w:rFonts w:hint="default"/>
                      <w:lang w:val="en-US" w:eastAsia="zh-CN"/>
                    </w:rPr>
                  </w:pPr>
                  <w:r>
                    <w:rPr>
                      <w:rFonts w:hint="eastAsia"/>
                      <w:lang w:val="en-US" w:eastAsia="zh-CN"/>
                    </w:rPr>
                    <w:t>5</w:t>
                  </w:r>
                </w:p>
              </w:tc>
              <w:tc>
                <w:tcPr>
                  <w:tcW w:w="998" w:type="pct"/>
                  <w:noWrap w:val="0"/>
                  <w:vAlign w:val="top"/>
                </w:tcPr>
                <w:p>
                  <w:pPr>
                    <w:pStyle w:val="22"/>
                    <w:bidi w:val="0"/>
                    <w:rPr>
                      <w:rFonts w:hint="default"/>
                      <w:lang w:val="en-US" w:eastAsia="zh-CN"/>
                    </w:rPr>
                  </w:pPr>
                  <w:r>
                    <w:rPr>
                      <w:rFonts w:hint="eastAsia"/>
                      <w:lang w:val="en-US" w:eastAsia="zh-CN"/>
                    </w:rPr>
                    <w:t>喷淋塔用水</w:t>
                  </w:r>
                </w:p>
              </w:tc>
              <w:tc>
                <w:tcPr>
                  <w:tcW w:w="752" w:type="pct"/>
                  <w:noWrap w:val="0"/>
                  <w:vAlign w:val="top"/>
                </w:tcPr>
                <w:p>
                  <w:pPr>
                    <w:pStyle w:val="22"/>
                    <w:bidi w:val="0"/>
                    <w:rPr>
                      <w:rFonts w:hint="default"/>
                      <w:vertAlign w:val="baseline"/>
                      <w:lang w:val="en-US" w:eastAsia="zh-CN"/>
                    </w:rPr>
                  </w:pPr>
                  <w:r>
                    <w:rPr>
                      <w:rFonts w:hint="eastAsia"/>
                      <w:lang w:val="en-US" w:eastAsia="zh-CN"/>
                    </w:rPr>
                    <w:t>8m</w:t>
                  </w:r>
                  <w:r>
                    <w:rPr>
                      <w:rFonts w:hint="eastAsia"/>
                      <w:vertAlign w:val="superscript"/>
                      <w:lang w:val="en-US" w:eastAsia="zh-CN"/>
                    </w:rPr>
                    <w:t>3</w:t>
                  </w:r>
                  <w:r>
                    <w:rPr>
                      <w:rFonts w:hint="eastAsia"/>
                      <w:vertAlign w:val="baseline"/>
                      <w:lang w:val="en-US" w:eastAsia="zh-CN"/>
                    </w:rPr>
                    <w:t>/d</w:t>
                  </w:r>
                </w:p>
              </w:tc>
              <w:tc>
                <w:tcPr>
                  <w:tcW w:w="689" w:type="pct"/>
                  <w:noWrap w:val="0"/>
                  <w:vAlign w:val="top"/>
                </w:tcPr>
                <w:p>
                  <w:pPr>
                    <w:pStyle w:val="22"/>
                    <w:bidi w:val="0"/>
                    <w:rPr>
                      <w:rFonts w:hint="default"/>
                      <w:lang w:val="en-US" w:eastAsia="zh-CN"/>
                    </w:rPr>
                  </w:pPr>
                  <w:r>
                    <w:rPr>
                      <w:rFonts w:hint="eastAsia"/>
                      <w:lang w:val="en-US" w:eastAsia="zh-CN"/>
                    </w:rPr>
                    <w:t>300d</w:t>
                  </w:r>
                </w:p>
              </w:tc>
              <w:tc>
                <w:tcPr>
                  <w:tcW w:w="658" w:type="pct"/>
                  <w:noWrap w:val="0"/>
                  <w:vAlign w:val="top"/>
                </w:tcPr>
                <w:p>
                  <w:pPr>
                    <w:pStyle w:val="22"/>
                    <w:bidi w:val="0"/>
                    <w:rPr>
                      <w:rFonts w:hint="default"/>
                      <w:lang w:val="en-US" w:eastAsia="zh-CN"/>
                    </w:rPr>
                  </w:pPr>
                  <w:r>
                    <w:rPr>
                      <w:rFonts w:hint="eastAsia"/>
                      <w:lang w:val="en-US" w:eastAsia="zh-CN"/>
                    </w:rPr>
                    <w:t>2400</w:t>
                  </w:r>
                </w:p>
              </w:tc>
              <w:tc>
                <w:tcPr>
                  <w:tcW w:w="663" w:type="pct"/>
                  <w:noWrap w:val="0"/>
                  <w:vAlign w:val="top"/>
                </w:tcPr>
                <w:p>
                  <w:pPr>
                    <w:pStyle w:val="22"/>
                    <w:bidi w:val="0"/>
                    <w:rPr>
                      <w:rFonts w:hint="default"/>
                      <w:lang w:val="en-US" w:eastAsia="zh-CN"/>
                    </w:rPr>
                  </w:pPr>
                  <w:r>
                    <w:rPr>
                      <w:rFonts w:hint="eastAsia"/>
                      <w:lang w:val="en-US" w:eastAsia="zh-CN"/>
                    </w:rPr>
                    <w:t>0.9</w:t>
                  </w:r>
                </w:p>
              </w:tc>
              <w:tc>
                <w:tcPr>
                  <w:tcW w:w="763" w:type="pct"/>
                  <w:noWrap w:val="0"/>
                  <w:vAlign w:val="top"/>
                </w:tcPr>
                <w:p>
                  <w:pPr>
                    <w:pStyle w:val="22"/>
                    <w:bidi w:val="0"/>
                    <w:rPr>
                      <w:rFonts w:hint="default"/>
                      <w:lang w:val="en-US" w:eastAsia="zh-CN"/>
                    </w:rPr>
                  </w:pPr>
                  <w:r>
                    <w:rPr>
                      <w:rFonts w:hint="eastAsia"/>
                      <w:lang w:val="en-US" w:eastAsia="zh-CN"/>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top"/>
                </w:tcPr>
                <w:p>
                  <w:pPr>
                    <w:pStyle w:val="22"/>
                    <w:bidi w:val="0"/>
                    <w:rPr>
                      <w:rFonts w:hint="default"/>
                      <w:lang w:val="en-US" w:eastAsia="zh-CN"/>
                    </w:rPr>
                  </w:pPr>
                  <w:r>
                    <w:rPr>
                      <w:rFonts w:hint="eastAsia"/>
                      <w:lang w:val="en-US" w:eastAsia="zh-CN"/>
                    </w:rPr>
                    <w:t>6</w:t>
                  </w:r>
                </w:p>
              </w:tc>
              <w:tc>
                <w:tcPr>
                  <w:tcW w:w="998" w:type="pct"/>
                  <w:noWrap w:val="0"/>
                  <w:vAlign w:val="top"/>
                </w:tcPr>
                <w:p>
                  <w:pPr>
                    <w:pStyle w:val="22"/>
                    <w:bidi w:val="0"/>
                    <w:rPr>
                      <w:rFonts w:hint="default"/>
                      <w:lang w:val="en-US" w:eastAsia="zh-CN"/>
                    </w:rPr>
                  </w:pPr>
                  <w:r>
                    <w:rPr>
                      <w:rFonts w:hint="eastAsia"/>
                      <w:lang w:val="en-US" w:eastAsia="zh-CN"/>
                    </w:rPr>
                    <w:t>蒸汽清洗用水</w:t>
                  </w:r>
                </w:p>
              </w:tc>
              <w:tc>
                <w:tcPr>
                  <w:tcW w:w="752" w:type="pct"/>
                  <w:noWrap w:val="0"/>
                  <w:vAlign w:val="top"/>
                </w:tcPr>
                <w:p>
                  <w:pPr>
                    <w:pStyle w:val="22"/>
                    <w:bidi w:val="0"/>
                    <w:rPr>
                      <w:rFonts w:hint="default"/>
                      <w:lang w:val="en-US" w:eastAsia="zh-CN"/>
                    </w:rPr>
                  </w:pPr>
                  <w:r>
                    <w:rPr>
                      <w:rFonts w:hint="eastAsia" w:cs="Times New Roman"/>
                      <w:lang w:val="en-US" w:eastAsia="zh-CN"/>
                    </w:rPr>
                    <w:t>0.2m</w:t>
                  </w:r>
                  <w:r>
                    <w:rPr>
                      <w:rFonts w:hint="eastAsia" w:cs="Times New Roman"/>
                      <w:vertAlign w:val="superscript"/>
                      <w:lang w:val="en-US" w:eastAsia="zh-CN"/>
                    </w:rPr>
                    <w:t>3</w:t>
                  </w:r>
                  <w:r>
                    <w:rPr>
                      <w:rFonts w:hint="eastAsia" w:ascii="Times New Roman" w:hAnsi="Times New Roman" w:eastAsia="宋体" w:cs="Times New Roman"/>
                      <w:lang w:val="en-US" w:eastAsia="zh-CN"/>
                    </w:rPr>
                    <w:t>/辆</w:t>
                  </w:r>
                  <w:r>
                    <w:rPr>
                      <w:rFonts w:hint="eastAsia" w:cs="Times New Roman"/>
                      <w:lang w:val="en-US" w:eastAsia="zh-CN"/>
                    </w:rPr>
                    <w:t>·次</w:t>
                  </w:r>
                </w:p>
              </w:tc>
              <w:tc>
                <w:tcPr>
                  <w:tcW w:w="689" w:type="pct"/>
                  <w:noWrap w:val="0"/>
                  <w:vAlign w:val="top"/>
                </w:tcPr>
                <w:p>
                  <w:pPr>
                    <w:pStyle w:val="22"/>
                    <w:bidi w:val="0"/>
                    <w:rPr>
                      <w:rFonts w:hint="default"/>
                      <w:lang w:val="en-US" w:eastAsia="zh-CN"/>
                    </w:rPr>
                  </w:pPr>
                  <w:r>
                    <w:rPr>
                      <w:rFonts w:hint="eastAsia"/>
                      <w:lang w:val="en-US" w:eastAsia="zh-CN"/>
                    </w:rPr>
                    <w:t>600辆/a</w:t>
                  </w:r>
                </w:p>
              </w:tc>
              <w:tc>
                <w:tcPr>
                  <w:tcW w:w="658" w:type="pct"/>
                  <w:noWrap w:val="0"/>
                  <w:vAlign w:val="top"/>
                </w:tcPr>
                <w:p>
                  <w:pPr>
                    <w:pStyle w:val="22"/>
                    <w:bidi w:val="0"/>
                    <w:rPr>
                      <w:rFonts w:hint="default"/>
                      <w:lang w:val="en-US" w:eastAsia="zh-CN"/>
                    </w:rPr>
                  </w:pPr>
                  <w:r>
                    <w:rPr>
                      <w:rFonts w:hint="eastAsia"/>
                      <w:lang w:val="en-US" w:eastAsia="zh-CN"/>
                    </w:rPr>
                    <w:t>120</w:t>
                  </w:r>
                </w:p>
              </w:tc>
              <w:tc>
                <w:tcPr>
                  <w:tcW w:w="663" w:type="pct"/>
                  <w:noWrap w:val="0"/>
                  <w:vAlign w:val="top"/>
                </w:tcPr>
                <w:p>
                  <w:pPr>
                    <w:pStyle w:val="22"/>
                    <w:bidi w:val="0"/>
                    <w:rPr>
                      <w:rFonts w:hint="default"/>
                      <w:lang w:val="en-US" w:eastAsia="zh-CN"/>
                    </w:rPr>
                  </w:pPr>
                  <w:r>
                    <w:rPr>
                      <w:rFonts w:hint="eastAsia"/>
                      <w:lang w:val="en-US" w:eastAsia="zh-CN"/>
                    </w:rPr>
                    <w:t>/</w:t>
                  </w:r>
                </w:p>
              </w:tc>
              <w:tc>
                <w:tcPr>
                  <w:tcW w:w="763" w:type="pct"/>
                  <w:noWrap w:val="0"/>
                  <w:vAlign w:val="top"/>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3" w:type="pct"/>
                  <w:noWrap w:val="0"/>
                  <w:vAlign w:val="top"/>
                </w:tcPr>
                <w:p>
                  <w:pPr>
                    <w:pStyle w:val="22"/>
                    <w:bidi w:val="0"/>
                    <w:rPr>
                      <w:rFonts w:hint="default"/>
                      <w:lang w:val="en-US" w:eastAsia="zh-CN"/>
                    </w:rPr>
                  </w:pPr>
                  <w:r>
                    <w:rPr>
                      <w:rFonts w:hint="eastAsia"/>
                      <w:lang w:val="en-US" w:eastAsia="zh-CN"/>
                    </w:rPr>
                    <w:t>7</w:t>
                  </w:r>
                </w:p>
              </w:tc>
              <w:tc>
                <w:tcPr>
                  <w:tcW w:w="998" w:type="pct"/>
                  <w:noWrap w:val="0"/>
                  <w:vAlign w:val="top"/>
                </w:tcPr>
                <w:p>
                  <w:pPr>
                    <w:pStyle w:val="22"/>
                    <w:bidi w:val="0"/>
                    <w:rPr>
                      <w:rFonts w:hint="default"/>
                      <w:lang w:val="en-US" w:eastAsia="zh-CN"/>
                    </w:rPr>
                  </w:pPr>
                  <w:r>
                    <w:rPr>
                      <w:rFonts w:hint="eastAsia"/>
                      <w:lang w:val="en-US" w:eastAsia="zh-CN"/>
                    </w:rPr>
                    <w:t>未预见用水量</w:t>
                  </w:r>
                </w:p>
              </w:tc>
              <w:tc>
                <w:tcPr>
                  <w:tcW w:w="752" w:type="pct"/>
                  <w:noWrap w:val="0"/>
                  <w:vAlign w:val="top"/>
                </w:tcPr>
                <w:p>
                  <w:pPr>
                    <w:pStyle w:val="22"/>
                    <w:bidi w:val="0"/>
                    <w:rPr>
                      <w:rFonts w:hint="default" w:cs="Times New Roman"/>
                      <w:lang w:val="en-US" w:eastAsia="zh-CN"/>
                    </w:rPr>
                  </w:pPr>
                  <w:r>
                    <w:rPr>
                      <w:rFonts w:hint="eastAsia" w:cs="Times New Roman"/>
                      <w:lang w:val="en-US" w:eastAsia="zh-CN"/>
                    </w:rPr>
                    <w:t>以上用水量的10%</w:t>
                  </w:r>
                </w:p>
              </w:tc>
              <w:tc>
                <w:tcPr>
                  <w:tcW w:w="689" w:type="pct"/>
                  <w:noWrap w:val="0"/>
                  <w:vAlign w:val="top"/>
                </w:tcPr>
                <w:p>
                  <w:pPr>
                    <w:pStyle w:val="22"/>
                    <w:bidi w:val="0"/>
                    <w:rPr>
                      <w:rFonts w:hint="default"/>
                      <w:lang w:val="en-US" w:eastAsia="zh-CN"/>
                    </w:rPr>
                  </w:pPr>
                  <w:r>
                    <w:rPr>
                      <w:rFonts w:hint="eastAsia"/>
                      <w:lang w:val="en-US" w:eastAsia="zh-CN"/>
                    </w:rPr>
                    <w:t>/</w:t>
                  </w:r>
                </w:p>
              </w:tc>
              <w:tc>
                <w:tcPr>
                  <w:tcW w:w="658" w:type="pct"/>
                  <w:noWrap w:val="0"/>
                  <w:vAlign w:val="top"/>
                </w:tcPr>
                <w:p>
                  <w:pPr>
                    <w:pStyle w:val="22"/>
                    <w:bidi w:val="0"/>
                    <w:rPr>
                      <w:rFonts w:hint="default"/>
                      <w:lang w:val="en-US" w:eastAsia="zh-CN"/>
                    </w:rPr>
                  </w:pPr>
                  <w:r>
                    <w:rPr>
                      <w:rFonts w:hint="eastAsia"/>
                      <w:lang w:val="en-US" w:eastAsia="zh-CN"/>
                    </w:rPr>
                    <w:t>776.6</w:t>
                  </w:r>
                </w:p>
              </w:tc>
              <w:tc>
                <w:tcPr>
                  <w:tcW w:w="663" w:type="pct"/>
                  <w:noWrap w:val="0"/>
                  <w:vAlign w:val="top"/>
                </w:tcPr>
                <w:p>
                  <w:pPr>
                    <w:pStyle w:val="22"/>
                    <w:bidi w:val="0"/>
                    <w:rPr>
                      <w:rFonts w:hint="default"/>
                      <w:lang w:val="en-US" w:eastAsia="zh-CN"/>
                    </w:rPr>
                  </w:pPr>
                  <w:r>
                    <w:rPr>
                      <w:rFonts w:hint="eastAsia"/>
                      <w:lang w:val="en-US" w:eastAsia="zh-CN"/>
                    </w:rPr>
                    <w:t>/</w:t>
                  </w:r>
                </w:p>
              </w:tc>
              <w:tc>
                <w:tcPr>
                  <w:tcW w:w="763" w:type="pct"/>
                  <w:noWrap w:val="0"/>
                  <w:vAlign w:val="top"/>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4" w:type="pct"/>
                  <w:gridSpan w:val="4"/>
                  <w:noWrap w:val="0"/>
                  <w:vAlign w:val="top"/>
                </w:tcPr>
                <w:p>
                  <w:pPr>
                    <w:pStyle w:val="22"/>
                    <w:bidi w:val="0"/>
                    <w:rPr>
                      <w:rFonts w:hint="eastAsia"/>
                      <w:lang w:val="en-US" w:eastAsia="zh-CN"/>
                    </w:rPr>
                  </w:pPr>
                  <w:r>
                    <w:rPr>
                      <w:rFonts w:hint="eastAsia"/>
                      <w:lang w:val="en-US" w:eastAsia="zh-CN"/>
                    </w:rPr>
                    <w:t>合计</w:t>
                  </w:r>
                </w:p>
              </w:tc>
              <w:tc>
                <w:tcPr>
                  <w:tcW w:w="658" w:type="pct"/>
                  <w:noWrap w:val="0"/>
                  <w:vAlign w:val="top"/>
                </w:tcPr>
                <w:p>
                  <w:pPr>
                    <w:pStyle w:val="22"/>
                    <w:bidi w:val="0"/>
                    <w:rPr>
                      <w:rFonts w:hint="default"/>
                      <w:lang w:val="en-US" w:eastAsia="zh-CN"/>
                    </w:rPr>
                  </w:pPr>
                  <w:r>
                    <w:rPr>
                      <w:rFonts w:hint="eastAsia"/>
                      <w:lang w:val="en-US" w:eastAsia="zh-CN"/>
                    </w:rPr>
                    <w:t>8542.6</w:t>
                  </w:r>
                </w:p>
              </w:tc>
              <w:tc>
                <w:tcPr>
                  <w:tcW w:w="663" w:type="pct"/>
                  <w:noWrap w:val="0"/>
                  <w:vAlign w:val="top"/>
                </w:tcPr>
                <w:p>
                  <w:pPr>
                    <w:pStyle w:val="22"/>
                    <w:bidi w:val="0"/>
                    <w:rPr>
                      <w:rFonts w:hint="eastAsia"/>
                      <w:lang w:val="en-US" w:eastAsia="zh-CN"/>
                    </w:rPr>
                  </w:pPr>
                </w:p>
              </w:tc>
              <w:tc>
                <w:tcPr>
                  <w:tcW w:w="763" w:type="pct"/>
                  <w:noWrap w:val="0"/>
                  <w:vAlign w:val="top"/>
                </w:tcPr>
                <w:p>
                  <w:pPr>
                    <w:pStyle w:val="22"/>
                    <w:bidi w:val="0"/>
                    <w:rPr>
                      <w:rFonts w:hint="default"/>
                      <w:lang w:val="en-US" w:eastAsia="zh-CN"/>
                    </w:rPr>
                  </w:pPr>
                  <w:r>
                    <w:rPr>
                      <w:rFonts w:hint="eastAsia"/>
                      <w:lang w:val="en-US" w:eastAsia="zh-CN"/>
                    </w:rPr>
                    <w:t>6881.4</w:t>
                  </w:r>
                </w:p>
              </w:tc>
            </w:tr>
          </w:tbl>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default" w:cs="Times New Roman"/>
                <w:bCs/>
                <w:szCs w:val="21"/>
                <w:lang w:val="en-US" w:eastAsia="zh-CN"/>
              </w:rPr>
            </w:pPr>
            <w:r>
              <w:rPr>
                <w:rFonts w:hint="default" w:cs="Times New Roman"/>
                <w:bCs/>
                <w:szCs w:val="21"/>
                <w:lang w:val="en-US" w:eastAsia="zh-CN"/>
              </w:rPr>
              <w:drawing>
                <wp:inline distT="0" distB="0" distL="114300" distR="114300">
                  <wp:extent cx="5526405" cy="2907665"/>
                  <wp:effectExtent l="0" t="0" r="10795" b="635"/>
                  <wp:docPr id="15" name="图片 15" descr="水平衡(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水平衡(11)"/>
                          <pic:cNvPicPr>
                            <a:picLocks noChangeAspect="1"/>
                          </pic:cNvPicPr>
                        </pic:nvPicPr>
                        <pic:blipFill>
                          <a:blip r:embed="rId14"/>
                          <a:stretch>
                            <a:fillRect/>
                          </a:stretch>
                        </pic:blipFill>
                        <pic:spPr>
                          <a:xfrm>
                            <a:off x="0" y="0"/>
                            <a:ext cx="5526405" cy="2907665"/>
                          </a:xfrm>
                          <a:prstGeom prst="rect">
                            <a:avLst/>
                          </a:prstGeom>
                        </pic:spPr>
                      </pic:pic>
                    </a:graphicData>
                  </a:graphic>
                </wp:inline>
              </w:drawing>
            </w:r>
          </w:p>
          <w:p>
            <w:pPr>
              <w:pStyle w:val="26"/>
              <w:bidi w:val="0"/>
              <w:rPr>
                <w:rFonts w:hint="eastAsia"/>
                <w:lang w:val="en-US" w:eastAsia="zh-CN"/>
              </w:rPr>
            </w:pPr>
            <w:r>
              <w:rPr>
                <w:rFonts w:hint="eastAsia"/>
                <w:lang w:val="en-US" w:eastAsia="zh-CN"/>
              </w:rPr>
              <w:t>图2.7-1 项目水平衡图（m</w:t>
            </w:r>
            <w:r>
              <w:rPr>
                <w:rFonts w:hint="eastAsia"/>
                <w:vertAlign w:val="superscript"/>
                <w:lang w:val="en-US" w:eastAsia="zh-CN"/>
              </w:rPr>
              <w:t>3</w:t>
            </w:r>
            <w:r>
              <w:rPr>
                <w:rFonts w:hint="eastAsia"/>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eastAsia" w:cs="Times New Roman"/>
                <w:bCs/>
                <w:szCs w:val="21"/>
                <w:lang w:val="en-US" w:eastAsia="zh-CN"/>
              </w:rPr>
              <w:t>（3）供电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Cs/>
                <w:szCs w:val="21"/>
                <w:lang w:val="en-US" w:eastAsia="zh-CN"/>
              </w:rPr>
            </w:pPr>
            <w:r>
              <w:rPr>
                <w:rFonts w:hint="eastAsia" w:cs="Times New Roman"/>
                <w:bCs/>
                <w:szCs w:val="21"/>
                <w:lang w:val="en-US" w:eastAsia="zh-CN"/>
              </w:rPr>
              <w:t>本项目洗车场设置一台发电机，消防站设置一台备用发电机；项目用电由市政电网供应。</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val="0"/>
                <w:szCs w:val="21"/>
                <w:lang w:val="en-US" w:eastAsia="zh-CN"/>
              </w:rPr>
            </w:pPr>
            <w:r>
              <w:rPr>
                <w:rFonts w:hint="eastAsia" w:cs="Times New Roman"/>
                <w:b/>
                <w:bCs w:val="0"/>
                <w:szCs w:val="21"/>
                <w:lang w:val="en-US" w:eastAsia="zh-CN"/>
              </w:rPr>
              <w:t>2.8劳动定员及工作制度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Cs/>
                <w:szCs w:val="21"/>
                <w:lang w:val="en-US" w:eastAsia="zh-CN"/>
              </w:rPr>
            </w:pPr>
            <w:r>
              <w:rPr>
                <w:rFonts w:hint="eastAsia" w:cs="Times New Roman"/>
                <w:bCs/>
                <w:szCs w:val="21"/>
                <w:lang w:val="en-US" w:eastAsia="zh-CN"/>
              </w:rPr>
              <w:t>本项目洗车场职工定员40人，每天一班制，每班工作8小时，年工作时间300天。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cs="Times New Roman"/>
                <w:bCs/>
                <w:szCs w:val="21"/>
                <w:lang w:val="en-US" w:eastAsia="zh-CN"/>
              </w:rPr>
            </w:pPr>
            <w:r>
              <w:rPr>
                <w:rFonts w:hint="eastAsia" w:cs="Times New Roman"/>
                <w:bCs/>
                <w:szCs w:val="21"/>
                <w:lang w:val="en-US" w:eastAsia="zh-CN"/>
              </w:rPr>
              <w:t>消防站总人数57人，年工作时间365天。</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eastAsia" w:cs="Times New Roman"/>
                <w:b/>
                <w:bCs w:val="0"/>
                <w:szCs w:val="21"/>
                <w:lang w:val="en-US" w:eastAsia="zh-CN"/>
              </w:rPr>
            </w:pPr>
            <w:r>
              <w:rPr>
                <w:rFonts w:hint="eastAsia" w:cs="Times New Roman"/>
                <w:b/>
                <w:bCs w:val="0"/>
                <w:szCs w:val="21"/>
                <w:lang w:val="en-US" w:eastAsia="zh-CN"/>
              </w:rPr>
              <w:t>2.9总平面布置</w:t>
            </w:r>
          </w:p>
          <w:p>
            <w:pPr>
              <w:bidi w:val="0"/>
              <w:rPr>
                <w:rFonts w:hint="default"/>
                <w:lang w:val="en-US" w:eastAsia="zh-CN"/>
              </w:rPr>
            </w:pPr>
            <w:r>
              <w:rPr>
                <w:rFonts w:hint="eastAsia"/>
                <w:lang w:val="en-US" w:eastAsia="zh-CN"/>
              </w:rPr>
              <w:t>停车场：在总平面规划上主要分为清洗区、维修区、废水处理区、停车区、候检中心以及管理用房。清洗区位于厂区北部，由1个洗罐车间(共2个清洗工位)、1个洗车车间(共2个清洗工位)组成。维修车间紧邻洗车车间，废水处理区位于厂区东北侧，停车区位于厂区中部。管理用房位于项目东南侧，候检中心位于项目西南侧。</w:t>
            </w:r>
          </w:p>
          <w:p>
            <w:pPr>
              <w:bidi w:val="0"/>
              <w:rPr>
                <w:rFonts w:hint="default"/>
                <w:lang w:val="en-US" w:eastAsia="zh-CN"/>
              </w:rPr>
            </w:pPr>
            <w:r>
              <w:rPr>
                <w:rFonts w:hint="eastAsia"/>
                <w:lang w:val="en-US" w:eastAsia="zh-CN"/>
              </w:rPr>
              <w:t>消防站：在总平面规划上主要分为训练区、特勤楼、消防站；训练区位于厂区北侧，特勤楼位于中部，消防站位于南侧距离公路较近一侧。</w:t>
            </w:r>
          </w:p>
          <w:p>
            <w:pPr>
              <w:bidi w:val="0"/>
              <w:rPr>
                <w:vertAlign w:val="baseline"/>
              </w:rPr>
            </w:pPr>
            <w:r>
              <w:rPr>
                <w:rFonts w:hint="eastAsia"/>
                <w:lang w:val="en-US" w:eastAsia="zh-CN"/>
              </w:rPr>
              <w:t>从项目总平面布置可以看出，建设项目平面布置充分考虑了各功能分区，可保证工艺流程顺畅，生产线布置短捷，并符合消防、安全、工业卫生的要求。项目厂区总平面布置图见附图3。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vAlign w:val="center"/>
          </w:tcPr>
          <w:p>
            <w:pPr>
              <w:pStyle w:val="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rPr>
              <w:t>工艺流程和产排污环节</w:t>
            </w:r>
          </w:p>
        </w:tc>
        <w:tc>
          <w:tcPr>
            <w:tcW w:w="4527" w:type="pct"/>
          </w:tcPr>
          <w:p>
            <w:pPr>
              <w:bidi w:val="0"/>
              <w:rPr>
                <w:rFonts w:hint="default" w:cs="Times New Roman"/>
                <w:b/>
                <w:bCs/>
                <w:sz w:val="24"/>
                <w:szCs w:val="24"/>
                <w:lang w:val="en-US" w:eastAsia="zh-CN"/>
              </w:rPr>
            </w:pPr>
            <w:r>
              <w:rPr>
                <w:rFonts w:hint="default" w:cs="Times New Roman"/>
                <w:b/>
                <w:bCs/>
                <w:sz w:val="24"/>
                <w:szCs w:val="24"/>
                <w:lang w:val="en-US" w:eastAsia="zh-CN"/>
              </w:rPr>
              <w:t>2.10施工期</w:t>
            </w:r>
          </w:p>
          <w:p>
            <w:pPr>
              <w:bidi w:val="0"/>
              <w:rPr>
                <w:rFonts w:hint="default" w:cs="Times New Roman"/>
                <w:b/>
                <w:bCs/>
                <w:sz w:val="24"/>
                <w:szCs w:val="24"/>
                <w:lang w:val="en-US" w:eastAsia="zh-CN"/>
              </w:rPr>
            </w:pPr>
            <w:r>
              <w:rPr>
                <w:rFonts w:hint="default" w:cs="Times New Roman"/>
                <w:b/>
                <w:bCs/>
                <w:sz w:val="24"/>
                <w:szCs w:val="24"/>
                <w:lang w:val="en-US" w:eastAsia="zh-CN"/>
              </w:rPr>
              <w:t>2.10.1 工艺流程简述</w:t>
            </w:r>
          </w:p>
          <w:p>
            <w:pPr>
              <w:bidi w:val="0"/>
              <w:rPr>
                <w:rFonts w:hint="default" w:cs="Times New Roman"/>
                <w:sz w:val="24"/>
                <w:szCs w:val="24"/>
                <w:lang w:val="en-US" w:eastAsia="zh-CN"/>
              </w:rPr>
            </w:pPr>
            <w:r>
              <w:rPr>
                <w:rFonts w:hint="default" w:cs="Times New Roman"/>
                <w:sz w:val="24"/>
                <w:szCs w:val="24"/>
                <w:lang w:val="en-US" w:eastAsia="zh-CN"/>
              </w:rPr>
              <w:t>本项目施工期间的主要环境污染工序包括有;基础工程、主体工程等工序产生的施工机械噪声、车辆运输噪声、扬尘、机械和运输车辆排放废气、建筑垃圾、施工人员生垃圾、施工废水、施工人员生活污水。项目施工期的工艺流程及产污环节见下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4312920" cy="1168400"/>
                  <wp:effectExtent l="0" t="0" r="5080" b="0"/>
                  <wp:docPr id="14" name="图片 4" descr="未命名文件(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未命名文件(39)"/>
                          <pic:cNvPicPr>
                            <a:picLocks noChangeAspect="1"/>
                          </pic:cNvPicPr>
                        </pic:nvPicPr>
                        <pic:blipFill>
                          <a:blip r:embed="rId15"/>
                          <a:stretch>
                            <a:fillRect/>
                          </a:stretch>
                        </pic:blipFill>
                        <pic:spPr>
                          <a:xfrm>
                            <a:off x="0" y="0"/>
                            <a:ext cx="4312920" cy="1168400"/>
                          </a:xfrm>
                          <a:prstGeom prst="rect">
                            <a:avLst/>
                          </a:prstGeom>
                          <a:noFill/>
                          <a:ln>
                            <a:noFill/>
                          </a:ln>
                        </pic:spPr>
                      </pic:pic>
                    </a:graphicData>
                  </a:graphic>
                </wp:inline>
              </w:drawing>
            </w:r>
          </w:p>
          <w:p>
            <w:pPr>
              <w:pStyle w:val="26"/>
              <w:bidi w:val="0"/>
              <w:rPr>
                <w:rFonts w:hint="default"/>
                <w:lang w:val="en-US" w:eastAsia="zh-CN"/>
              </w:rPr>
            </w:pPr>
            <w:r>
              <w:rPr>
                <w:rFonts w:hint="eastAsia"/>
                <w:lang w:val="en-US" w:eastAsia="zh-CN"/>
              </w:rPr>
              <w:t>图2.10-1 施工期工艺流程图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rPr>
            </w:pPr>
            <w:r>
              <w:rPr>
                <w:rFonts w:hint="eastAsia"/>
                <w:b/>
                <w:bCs/>
              </w:rPr>
              <w:t>2.10.2 产排污环节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本项目施工期产生的污染主要为施工场地扬尘(TSP)、机械和运输车辆排放废气(CO、HC、NOx)、施工废水(SS、石油类)、施工人员生活污水(CODc、BOD;、NH;-N、SS)、机械噪声、车辆运输噪声、施工作业噪声、建筑垃圾及施工人员的生活垃圾</w:t>
            </w:r>
            <w:r>
              <w:rPr>
                <w:rFonts w:hint="eastAsia"/>
                <w:lang w:eastAsia="zh-CN"/>
              </w:rPr>
              <w:t>、</w:t>
            </w:r>
            <w:r>
              <w:rPr>
                <w:rFonts w:hint="eastAsia"/>
                <w:lang w:val="en-US" w:eastAsia="zh-CN"/>
              </w:rPr>
              <w:t>装修废气</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rPr>
            </w:pPr>
            <w:r>
              <w:rPr>
                <w:rFonts w:hint="eastAsia"/>
                <w:b/>
                <w:bCs/>
              </w:rPr>
              <w:t>2.11营运期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rPr>
            </w:pPr>
            <w:r>
              <w:rPr>
                <w:rFonts w:hint="eastAsia"/>
                <w:b/>
                <w:bCs/>
              </w:rPr>
              <w:t>2.11.1 项目生产工艺流程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lang w:val="en-US" w:eastAsia="zh-CN"/>
              </w:rPr>
            </w:pPr>
            <w:r>
              <w:rPr>
                <w:rFonts w:hint="eastAsia"/>
                <w:lang w:val="en-US" w:eastAsia="zh-CN"/>
              </w:rPr>
              <w:t>停车场营运期主要是洗车、检修、检车；消防站营运期主要为日常训练。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lang w:val="en-US" w:eastAsia="zh-CN"/>
              </w:rPr>
              <w:t>停车场洗车</w:t>
            </w:r>
            <w:r>
              <w:rPr>
                <w:rFonts w:hint="eastAsia"/>
              </w:rPr>
              <w:t>工艺流程图见下图。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lang w:eastAsia="zh-CN"/>
              </w:rPr>
            </w:pPr>
            <w:r>
              <w:rPr>
                <w:rFonts w:hint="eastAsia" w:eastAsia="宋体"/>
                <w:lang w:eastAsia="zh-CN"/>
              </w:rPr>
              <w:drawing>
                <wp:inline distT="0" distB="0" distL="114300" distR="114300">
                  <wp:extent cx="5525770" cy="3613785"/>
                  <wp:effectExtent l="0" t="0" r="11430" b="5715"/>
                  <wp:docPr id="7" name="图片 7" descr="工艺流程(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艺流程(16)"/>
                          <pic:cNvPicPr>
                            <a:picLocks noChangeAspect="1"/>
                          </pic:cNvPicPr>
                        </pic:nvPicPr>
                        <pic:blipFill>
                          <a:blip r:embed="rId16"/>
                          <a:stretch>
                            <a:fillRect/>
                          </a:stretch>
                        </pic:blipFill>
                        <pic:spPr>
                          <a:xfrm>
                            <a:off x="0" y="0"/>
                            <a:ext cx="5525770" cy="3613785"/>
                          </a:xfrm>
                          <a:prstGeom prst="rect">
                            <a:avLst/>
                          </a:prstGeom>
                        </pic:spPr>
                      </pic:pic>
                    </a:graphicData>
                  </a:graphic>
                </wp:inline>
              </w:drawing>
            </w:r>
          </w:p>
          <w:p>
            <w:pPr>
              <w:pStyle w:val="26"/>
              <w:bidi w:val="0"/>
              <w:rPr>
                <w:rFonts w:hint="default"/>
                <w:lang w:val="en-US" w:eastAsia="zh-CN"/>
              </w:rPr>
            </w:pPr>
            <w:r>
              <w:rPr>
                <w:rFonts w:hint="eastAsia"/>
                <w:lang w:val="en-US" w:eastAsia="zh-CN"/>
              </w:rPr>
              <w:t>图2.11-1 车辆清洗工艺流程图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工艺流程说明: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lang w:val="en-US" w:eastAsia="zh-CN"/>
              </w:rPr>
            </w:pPr>
            <w:r>
              <w:rPr>
                <w:rFonts w:hint="eastAsia"/>
                <w:lang w:val="en-US" w:eastAsia="zh-CN"/>
              </w:rPr>
              <w:t>1、登记就位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工作人员依据罐车的运输介质的种类确认价格，司机登记缴费并办理相关手续后，进入清洗车间内就位。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2、安全预处理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罐车开始清洗前，对易燃、易爆物质介质进行防静电接地线操作，并针对不同清洗的罐车类型做好相应防护措施。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3、清罐、排空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槽车承运物质(主要为</w:t>
            </w:r>
            <w:r>
              <w:rPr>
                <w:rFonts w:hint="eastAsia"/>
                <w:lang w:val="en-US" w:eastAsia="zh-CN"/>
              </w:rPr>
              <w:t>酸、碱</w:t>
            </w:r>
            <w:r>
              <w:rPr>
                <w:rFonts w:hint="eastAsia"/>
              </w:rPr>
              <w:t>、油类、有机化学品等)部分具有挥发性，该工序会产生有机废气，主要成分为非甲烷总烃</w:t>
            </w:r>
            <w:r>
              <w:rPr>
                <w:rFonts w:hint="eastAsia"/>
                <w:lang w:eastAsia="zh-CN"/>
              </w:rPr>
              <w:t>、</w:t>
            </w:r>
            <w:r>
              <w:rPr>
                <w:rFonts w:hint="eastAsia"/>
                <w:lang w:val="en-US" w:eastAsia="zh-CN"/>
              </w:rPr>
              <w:t>酸雾等；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lang w:val="en-US" w:eastAsia="zh-CN"/>
              </w:rPr>
            </w:pPr>
            <w:r>
              <w:rPr>
                <w:rFonts w:hint="eastAsia"/>
              </w:rPr>
              <w:t>化学品车辆进入清洗车位后，先关闭罐体所有孔盖，在进气口</w:t>
            </w:r>
            <w:r>
              <w:rPr>
                <w:rFonts w:hint="eastAsia"/>
                <w:lang w:val="en-US" w:eastAsia="zh-CN"/>
              </w:rPr>
              <w:t>进行接管</w:t>
            </w:r>
            <w:r>
              <w:rPr>
                <w:rFonts w:hint="eastAsia"/>
              </w:rPr>
              <w:t>。接管完毕后开启进气口阀门，对体内残留气体进行抽吸(抽吸时间头10min)，同时打开卸料口，槽罐车中残留料流动性好的利用清洗平台的高低位差，物料进行</w:t>
            </w:r>
            <w:r>
              <w:rPr>
                <w:rFonts w:hint="eastAsia"/>
                <w:lang w:val="en-US" w:eastAsia="zh-CN"/>
              </w:rPr>
              <w:t>自流</w:t>
            </w:r>
            <w:r>
              <w:rPr>
                <w:rFonts w:hint="eastAsia"/>
              </w:rPr>
              <w:t>经卸料口流入专用收集桶中，流动性差的则用专用的真空物料收集泵直接吸收。</w:t>
            </w:r>
            <w:r>
              <w:rPr>
                <w:rFonts w:hint="eastAsia"/>
                <w:lang w:val="en-US" w:eastAsia="zh-CN"/>
              </w:rPr>
              <w:t>废气引至碱喷淋系统处理后排入干式过滤棉进行过滤，过滤后经二级活性炭处理后通过15m</w:t>
            </w:r>
            <w:r>
              <w:rPr>
                <w:rFonts w:hint="eastAsia"/>
              </w:rPr>
              <w:t>排气筒(DA001)排放</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4、蒸洗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高压蒸汽既可消毒，又可除污，有独特的热分解功能，能迅速地化解泥沙和污渍的粘黏性质，让其脱离附沾的汽车表面达到清洗的目的</w:t>
            </w:r>
            <w:r>
              <w:rPr>
                <w:rFonts w:hint="eastAsia"/>
              </w:rPr>
              <w:t>。</w:t>
            </w:r>
            <w:r>
              <w:rPr>
                <w:rFonts w:hint="eastAsia"/>
                <w:lang w:val="en-US" w:eastAsia="zh-CN"/>
              </w:rPr>
              <w:t>本项目蒸汽清洗采用蒸汽清洗机，蒸气清洗机是一种利用水蒸气进行清洁的设备。其原理是通过将水加热（电加热）至沸腾状态，产生大量的水蒸气,再通过特殊喷嘴将高温高压的蒸汽喷雾到被清洗物体上利用蒸汽的高温和高压对物体表面的污渍进行溶解、杀菌和去除，从而达到彻底清洁的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default"/>
                <w:lang w:val="en-US" w:eastAsia="zh-CN"/>
              </w:rPr>
              <w:t>罐车清洗时，首先封闭罐车物料进出口，低压热蒸汽由顶部进入罐车体内进行蒸洗。项目在罐车和收集罐之间设置软管相连，蒸洗过程中产生的清洗废水通过罐车下部阀门经软管输送至专用收集罐内，蒸洗废液通过专用收集罐下部阀门收集至专用密闭桶中，收集的蒸洗废液作为危险废物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5、整车冲洗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lang w:val="en-US" w:eastAsia="zh-CN"/>
              </w:rPr>
              <w:t>罐体内蒸洗完毕后，采用高压冲洗对车辆整车进行清洗；</w:t>
            </w:r>
            <w:r>
              <w:rPr>
                <w:rFonts w:hint="eastAsia"/>
              </w:rPr>
              <w:t>高压冲洗指通过高压水发生装置将水加压至数百个大气压以上，再通过具有细小孔径的喷射装置转换为高速的微细水射流</w:t>
            </w:r>
            <w:r>
              <w:rPr>
                <w:rFonts w:hint="eastAsia"/>
                <w:lang w:eastAsia="zh-CN"/>
              </w:rPr>
              <w:t>；</w:t>
            </w:r>
            <w:r>
              <w:rPr>
                <w:rFonts w:hint="eastAsia"/>
              </w:rPr>
              <w:t>将罐体出水口连接污水排放专用管，接管完毕后开始高压冲洗，利用高压水的作用对槽罐车内外进行清洗，同时打开罐体底部的出水口阀门，清洗废水经过污水专用管道引至厂区自建污水处理站进行处理达标后经管网排入园区污水处理厂进行深度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lang w:val="en-US" w:eastAsia="zh-CN"/>
              </w:rPr>
              <w:t>6、检查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检查是否干净:罐体冲洗后用鼓风机吹风吹干，如果判断洗干净则结束清洗。否则重新进入高压水枪冲洗工序</w:t>
            </w:r>
            <w:r>
              <w:rPr>
                <w:rFonts w:hint="eastAsia"/>
                <w:lang w:val="en-US" w:eastAsia="zh-CN"/>
              </w:rPr>
              <w:t>或蒸汽清洗工序</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检查流程:先用气体分析仪检测罐内气体指标是否合格，确保气体达标合格后再安排人员进入罐内检查是否洗干净(不干净再高压清洗)或只是抹干净残余水分清洗完成。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本项目主要依靠高压冲洗</w:t>
            </w:r>
            <w:r>
              <w:rPr>
                <w:rFonts w:hint="eastAsia"/>
                <w:lang w:val="en-US" w:eastAsia="zh-CN"/>
              </w:rPr>
              <w:t>及蒸汽清洗</w:t>
            </w:r>
            <w:r>
              <w:rPr>
                <w:rFonts w:hint="eastAsia"/>
              </w:rPr>
              <w:t>带走罐车中残留的物质，由于罐车运输的为合格的</w:t>
            </w:r>
            <w:r>
              <w:rPr>
                <w:rFonts w:hint="eastAsia"/>
                <w:lang w:val="en-US" w:eastAsia="zh-CN"/>
              </w:rPr>
              <w:t>油品、有机物、酸、碱</w:t>
            </w:r>
            <w:r>
              <w:rPr>
                <w:rFonts w:hint="eastAsia"/>
              </w:rPr>
              <w:t>等危险化学品，不含</w:t>
            </w:r>
            <w:r>
              <w:rPr>
                <w:rFonts w:hint="eastAsia"/>
                <w:lang w:val="en-US" w:eastAsia="zh-CN"/>
              </w:rPr>
              <w:t>沉</w:t>
            </w:r>
            <w:r>
              <w:rPr>
                <w:rFonts w:hint="eastAsia"/>
              </w:rPr>
              <w:t>渣，故清洗过程不产生固体废弃物。</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rPr>
            </w:pPr>
            <w:r>
              <w:rPr>
                <w:rFonts w:hint="eastAsia"/>
                <w:b/>
                <w:bCs/>
              </w:rPr>
              <w:t>2.11.2 产污环节分析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rPr>
            </w:pPr>
            <w:r>
              <w:rPr>
                <w:rFonts w:hint="eastAsia"/>
              </w:rPr>
              <w:t>本项目的产污环节分析如下:</w:t>
            </w:r>
          </w:p>
          <w:p>
            <w:pPr>
              <w:pStyle w:val="26"/>
              <w:bidi w:val="0"/>
              <w:rPr>
                <w:rFonts w:hint="eastAsia"/>
              </w:rPr>
            </w:pPr>
            <w:r>
              <w:rPr>
                <w:rFonts w:hint="eastAsia"/>
              </w:rPr>
              <w:t>表 2.11-1 运营期本项目产污环节一览表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962"/>
              <w:gridCol w:w="1932"/>
              <w:gridCol w:w="1930"/>
              <w:gridCol w:w="1704"/>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noWrap w:val="0"/>
                  <w:vAlign w:val="center"/>
                </w:tcPr>
                <w:p>
                  <w:pPr>
                    <w:pStyle w:val="22"/>
                    <w:bidi w:val="0"/>
                    <w:rPr>
                      <w:rFonts w:hint="eastAsia"/>
                      <w:lang w:val="en-US" w:eastAsia="zh-CN"/>
                    </w:rPr>
                  </w:pPr>
                  <w:r>
                    <w:rPr>
                      <w:rFonts w:hint="eastAsia"/>
                      <w:lang w:val="en-US" w:eastAsia="zh-CN"/>
                    </w:rPr>
                    <w:t>序号</w:t>
                  </w:r>
                </w:p>
              </w:tc>
              <w:tc>
                <w:tcPr>
                  <w:tcW w:w="552" w:type="pct"/>
                  <w:noWrap w:val="0"/>
                  <w:vAlign w:val="center"/>
                </w:tcPr>
                <w:p>
                  <w:pPr>
                    <w:pStyle w:val="22"/>
                    <w:bidi w:val="0"/>
                    <w:rPr>
                      <w:rFonts w:hint="eastAsia"/>
                      <w:lang w:val="en-US" w:eastAsia="zh-CN"/>
                    </w:rPr>
                  </w:pPr>
                  <w:r>
                    <w:rPr>
                      <w:rFonts w:hint="eastAsia"/>
                      <w:lang w:val="en-US" w:eastAsia="zh-CN"/>
                    </w:rPr>
                    <w:t>类别</w:t>
                  </w:r>
                </w:p>
              </w:tc>
              <w:tc>
                <w:tcPr>
                  <w:tcW w:w="1109" w:type="pct"/>
                  <w:noWrap w:val="0"/>
                  <w:vAlign w:val="center"/>
                </w:tcPr>
                <w:p>
                  <w:pPr>
                    <w:pStyle w:val="22"/>
                    <w:bidi w:val="0"/>
                    <w:rPr>
                      <w:rFonts w:hint="eastAsia"/>
                      <w:lang w:val="en-US" w:eastAsia="zh-CN"/>
                    </w:rPr>
                  </w:pPr>
                  <w:r>
                    <w:rPr>
                      <w:rFonts w:hint="eastAsia"/>
                      <w:lang w:val="en-US" w:eastAsia="zh-CN"/>
                    </w:rPr>
                    <w:t>产污环节</w:t>
                  </w:r>
                </w:p>
              </w:tc>
              <w:tc>
                <w:tcPr>
                  <w:tcW w:w="1108" w:type="pct"/>
                  <w:noWrap w:val="0"/>
                  <w:vAlign w:val="center"/>
                </w:tcPr>
                <w:p>
                  <w:pPr>
                    <w:pStyle w:val="22"/>
                    <w:bidi w:val="0"/>
                    <w:rPr>
                      <w:rFonts w:hint="default"/>
                      <w:lang w:val="en-US" w:eastAsia="zh-CN"/>
                    </w:rPr>
                  </w:pPr>
                  <w:r>
                    <w:rPr>
                      <w:rFonts w:hint="eastAsia"/>
                      <w:lang w:val="en-US" w:eastAsia="zh-CN"/>
                    </w:rPr>
                    <w:t>污染物名称</w:t>
                  </w:r>
                </w:p>
              </w:tc>
              <w:tc>
                <w:tcPr>
                  <w:tcW w:w="978" w:type="pct"/>
                  <w:noWrap w:val="0"/>
                  <w:vAlign w:val="center"/>
                </w:tcPr>
                <w:p>
                  <w:pPr>
                    <w:pStyle w:val="22"/>
                    <w:bidi w:val="0"/>
                    <w:rPr>
                      <w:rFonts w:hint="eastAsia"/>
                      <w:lang w:val="en-US" w:eastAsia="zh-CN"/>
                    </w:rPr>
                  </w:pPr>
                  <w:r>
                    <w:rPr>
                      <w:rFonts w:hint="eastAsia"/>
                      <w:lang w:val="en-US" w:eastAsia="zh-CN"/>
                    </w:rPr>
                    <w:t>治理措施</w:t>
                  </w:r>
                </w:p>
              </w:tc>
              <w:tc>
                <w:tcPr>
                  <w:tcW w:w="813" w:type="pct"/>
                  <w:noWrap w:val="0"/>
                  <w:vAlign w:val="center"/>
                </w:tcPr>
                <w:p>
                  <w:pPr>
                    <w:pStyle w:val="22"/>
                    <w:bidi w:val="0"/>
                    <w:rPr>
                      <w:rFonts w:hint="eastAsia"/>
                      <w:lang w:val="en-US" w:eastAsia="zh-CN"/>
                    </w:rPr>
                  </w:pPr>
                  <w:r>
                    <w:rPr>
                      <w:rFonts w:hint="eastAsia"/>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noWrap w:val="0"/>
                  <w:vAlign w:val="center"/>
                </w:tcPr>
                <w:p>
                  <w:pPr>
                    <w:pStyle w:val="22"/>
                    <w:bidi w:val="0"/>
                    <w:rPr>
                      <w:rFonts w:hint="eastAsia"/>
                      <w:lang w:val="en-US" w:eastAsia="zh-CN"/>
                    </w:rPr>
                  </w:pPr>
                  <w:r>
                    <w:rPr>
                      <w:rFonts w:hint="eastAsia"/>
                      <w:lang w:val="en-US" w:eastAsia="zh-CN"/>
                    </w:rPr>
                    <w:t>1</w:t>
                  </w:r>
                </w:p>
              </w:tc>
              <w:tc>
                <w:tcPr>
                  <w:tcW w:w="552" w:type="pct"/>
                  <w:noWrap w:val="0"/>
                  <w:vAlign w:val="center"/>
                </w:tcPr>
                <w:p>
                  <w:pPr>
                    <w:pStyle w:val="22"/>
                    <w:bidi w:val="0"/>
                    <w:rPr>
                      <w:rFonts w:hint="eastAsia"/>
                      <w:lang w:val="en-US" w:eastAsia="zh-CN"/>
                    </w:rPr>
                  </w:pPr>
                  <w:r>
                    <w:rPr>
                      <w:rFonts w:hint="eastAsia"/>
                      <w:lang w:val="en-US" w:eastAsia="zh-CN"/>
                    </w:rPr>
                    <w:t>废气</w:t>
                  </w:r>
                </w:p>
              </w:tc>
              <w:tc>
                <w:tcPr>
                  <w:tcW w:w="1109" w:type="pct"/>
                  <w:noWrap w:val="0"/>
                  <w:vAlign w:val="center"/>
                </w:tcPr>
                <w:p>
                  <w:pPr>
                    <w:pStyle w:val="22"/>
                    <w:bidi w:val="0"/>
                    <w:rPr>
                      <w:rFonts w:hint="eastAsia"/>
                    </w:rPr>
                  </w:pPr>
                  <w:r>
                    <w:rPr>
                      <w:rFonts w:hint="eastAsia"/>
                    </w:rPr>
                    <w:t>废气</w:t>
                  </w:r>
                </w:p>
              </w:tc>
              <w:tc>
                <w:tcPr>
                  <w:tcW w:w="1108" w:type="pct"/>
                  <w:noWrap w:val="0"/>
                  <w:vAlign w:val="center"/>
                </w:tcPr>
                <w:p>
                  <w:pPr>
                    <w:pStyle w:val="22"/>
                    <w:bidi w:val="0"/>
                    <w:rPr>
                      <w:rFonts w:hint="default"/>
                      <w:lang w:val="en-US" w:eastAsia="zh-CN"/>
                    </w:rPr>
                  </w:pPr>
                  <w:r>
                    <w:rPr>
                      <w:rFonts w:hint="eastAsia"/>
                      <w:lang w:val="en-US" w:eastAsia="zh-CN"/>
                    </w:rPr>
                    <w:t>非甲烷总烃、酸雾、氨、二硫化碳、氢氟酸</w:t>
                  </w:r>
                </w:p>
              </w:tc>
              <w:tc>
                <w:tcPr>
                  <w:tcW w:w="978" w:type="pct"/>
                  <w:noWrap w:val="0"/>
                  <w:vAlign w:val="center"/>
                </w:tcPr>
                <w:p>
                  <w:pPr>
                    <w:pStyle w:val="22"/>
                    <w:bidi w:val="0"/>
                    <w:rPr>
                      <w:rFonts w:hint="default"/>
                      <w:lang w:val="en-US" w:eastAsia="zh-CN"/>
                    </w:rPr>
                  </w:pPr>
                  <w:r>
                    <w:rPr>
                      <w:rFonts w:hint="eastAsia" w:ascii="Times New Roman" w:hAnsi="Times New Roman" w:cs="Times New Roman"/>
                      <w:lang w:val="en-US" w:eastAsia="zh-CN"/>
                    </w:rPr>
                    <w:t>碱喷淋+干式过滤棉+二级蜂窝状活性炭</w:t>
                  </w:r>
                </w:p>
              </w:tc>
              <w:tc>
                <w:tcPr>
                  <w:tcW w:w="813" w:type="pct"/>
                  <w:noWrap w:val="0"/>
                  <w:vAlign w:val="center"/>
                </w:tcPr>
                <w:p>
                  <w:pPr>
                    <w:pStyle w:val="22"/>
                    <w:bidi w:val="0"/>
                    <w:rPr>
                      <w:rFonts w:hint="eastAsia"/>
                    </w:rPr>
                  </w:pPr>
                  <w:r>
                    <w:rPr>
                      <w:rFonts w:hint="eastAsia"/>
                    </w:rPr>
                    <w:t>1 根 15m 排气筒 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noWrap w:val="0"/>
                  <w:vAlign w:val="center"/>
                </w:tcPr>
                <w:p>
                  <w:pPr>
                    <w:pStyle w:val="22"/>
                    <w:bidi w:val="0"/>
                    <w:rPr>
                      <w:rFonts w:hint="eastAsia"/>
                      <w:lang w:val="en-US" w:eastAsia="zh-CN"/>
                    </w:rPr>
                  </w:pPr>
                  <w:r>
                    <w:rPr>
                      <w:rFonts w:hint="eastAsia"/>
                      <w:lang w:val="en-US" w:eastAsia="zh-CN"/>
                    </w:rPr>
                    <w:t>2</w:t>
                  </w:r>
                </w:p>
              </w:tc>
              <w:tc>
                <w:tcPr>
                  <w:tcW w:w="552" w:type="pct"/>
                  <w:vMerge w:val="restart"/>
                  <w:noWrap w:val="0"/>
                  <w:vAlign w:val="center"/>
                </w:tcPr>
                <w:p>
                  <w:pPr>
                    <w:pStyle w:val="22"/>
                    <w:bidi w:val="0"/>
                    <w:rPr>
                      <w:rFonts w:hint="eastAsia"/>
                      <w:lang w:val="en-US" w:eastAsia="zh-CN"/>
                    </w:rPr>
                  </w:pPr>
                  <w:r>
                    <w:rPr>
                      <w:rFonts w:hint="eastAsia"/>
                      <w:lang w:val="en-US" w:eastAsia="zh-CN"/>
                    </w:rPr>
                    <w:t>废水</w:t>
                  </w:r>
                </w:p>
              </w:tc>
              <w:tc>
                <w:tcPr>
                  <w:tcW w:w="1109" w:type="pct"/>
                  <w:noWrap w:val="0"/>
                  <w:vAlign w:val="center"/>
                </w:tcPr>
                <w:p>
                  <w:pPr>
                    <w:pStyle w:val="22"/>
                    <w:bidi w:val="0"/>
                    <w:rPr>
                      <w:rFonts w:hint="eastAsia"/>
                    </w:rPr>
                  </w:pPr>
                  <w:r>
                    <w:rPr>
                      <w:rFonts w:hint="eastAsia"/>
                    </w:rPr>
                    <w:t>生活废水</w:t>
                  </w:r>
                </w:p>
              </w:tc>
              <w:tc>
                <w:tcPr>
                  <w:tcW w:w="1108" w:type="pct"/>
                  <w:noWrap w:val="0"/>
                  <w:vAlign w:val="center"/>
                </w:tcPr>
                <w:p>
                  <w:pPr>
                    <w:pStyle w:val="22"/>
                    <w:bidi w:val="0"/>
                    <w:rPr>
                      <w:rFonts w:hint="eastAsia"/>
                    </w:rPr>
                  </w:pPr>
                  <w:r>
                    <w:rPr>
                      <w:rFonts w:hint="eastAsia"/>
                    </w:rPr>
                    <w:t>CODc、BOD</w:t>
                  </w:r>
                  <w:r>
                    <w:rPr>
                      <w:rFonts w:hint="eastAsia"/>
                      <w:vertAlign w:val="subscript"/>
                    </w:rPr>
                    <w:t>5</w:t>
                  </w:r>
                  <w:r>
                    <w:rPr>
                      <w:rFonts w:hint="eastAsia"/>
                    </w:rPr>
                    <w:t>、总磷</w:t>
                  </w:r>
                  <w:r>
                    <w:rPr>
                      <w:rFonts w:hint="eastAsia"/>
                      <w:lang w:eastAsia="zh-CN"/>
                    </w:rPr>
                    <w:t>、</w:t>
                  </w:r>
                  <w:r>
                    <w:rPr>
                      <w:rFonts w:hint="eastAsia"/>
                    </w:rPr>
                    <w:t>NH</w:t>
                  </w:r>
                  <w:r>
                    <w:rPr>
                      <w:rFonts w:hint="eastAsia"/>
                      <w:vertAlign w:val="subscript"/>
                    </w:rPr>
                    <w:t>3</w:t>
                  </w:r>
                  <w:r>
                    <w:rPr>
                      <w:rFonts w:hint="eastAsia"/>
                    </w:rPr>
                    <w:t>-N、SS、总氮、</w:t>
                  </w:r>
                </w:p>
              </w:tc>
              <w:tc>
                <w:tcPr>
                  <w:tcW w:w="978" w:type="pct"/>
                  <w:noWrap w:val="0"/>
                  <w:vAlign w:val="center"/>
                </w:tcPr>
                <w:p>
                  <w:pPr>
                    <w:pStyle w:val="22"/>
                    <w:bidi w:val="0"/>
                    <w:rPr>
                      <w:rFonts w:hint="eastAsia"/>
                      <w:lang w:val="en-US" w:eastAsia="zh-CN"/>
                    </w:rPr>
                  </w:pPr>
                  <w:r>
                    <w:rPr>
                      <w:rFonts w:hint="eastAsia"/>
                      <w:lang w:val="en-US" w:eastAsia="zh-CN"/>
                    </w:rPr>
                    <w:t>预处理池</w:t>
                  </w:r>
                </w:p>
              </w:tc>
              <w:tc>
                <w:tcPr>
                  <w:tcW w:w="813" w:type="pct"/>
                  <w:vMerge w:val="restart"/>
                  <w:noWrap w:val="0"/>
                  <w:vAlign w:val="center"/>
                </w:tcPr>
                <w:p>
                  <w:pPr>
                    <w:pStyle w:val="22"/>
                    <w:bidi w:val="0"/>
                    <w:rPr>
                      <w:rFonts w:hint="default"/>
                      <w:lang w:val="en-US" w:eastAsia="zh-CN"/>
                    </w:rPr>
                  </w:pPr>
                  <w:r>
                    <w:rPr>
                      <w:rFonts w:hint="eastAsia"/>
                      <w:lang w:val="en-US" w:eastAsia="zh-CN"/>
                    </w:rPr>
                    <w:t>园区污水处理厂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noWrap w:val="0"/>
                  <w:vAlign w:val="center"/>
                </w:tcPr>
                <w:p>
                  <w:pPr>
                    <w:pStyle w:val="22"/>
                    <w:bidi w:val="0"/>
                    <w:rPr>
                      <w:rFonts w:hint="eastAsia"/>
                      <w:lang w:val="en-US" w:eastAsia="zh-CN"/>
                    </w:rPr>
                  </w:pPr>
                  <w:r>
                    <w:rPr>
                      <w:rFonts w:hint="eastAsia"/>
                      <w:lang w:val="en-US" w:eastAsia="zh-CN"/>
                    </w:rPr>
                    <w:t>3</w:t>
                  </w:r>
                </w:p>
              </w:tc>
              <w:tc>
                <w:tcPr>
                  <w:tcW w:w="552" w:type="pct"/>
                  <w:vMerge w:val="continue"/>
                  <w:noWrap w:val="0"/>
                  <w:vAlign w:val="center"/>
                </w:tcPr>
                <w:p>
                  <w:pPr>
                    <w:pStyle w:val="22"/>
                    <w:bidi w:val="0"/>
                    <w:rPr>
                      <w:rFonts w:hint="eastAsia"/>
                    </w:rPr>
                  </w:pPr>
                </w:p>
              </w:tc>
              <w:tc>
                <w:tcPr>
                  <w:tcW w:w="1109" w:type="pct"/>
                  <w:noWrap w:val="0"/>
                  <w:vAlign w:val="center"/>
                </w:tcPr>
                <w:p>
                  <w:pPr>
                    <w:pStyle w:val="22"/>
                    <w:bidi w:val="0"/>
                    <w:rPr>
                      <w:rFonts w:hint="default" w:eastAsia="宋体"/>
                      <w:lang w:val="en-US" w:eastAsia="zh-CN"/>
                    </w:rPr>
                  </w:pPr>
                  <w:r>
                    <w:rPr>
                      <w:rFonts w:hint="eastAsia"/>
                    </w:rPr>
                    <w:t>清洗废水、地面冲洗废水</w:t>
                  </w:r>
                  <w:r>
                    <w:rPr>
                      <w:rFonts w:hint="eastAsia"/>
                      <w:lang w:eastAsia="zh-CN"/>
                    </w:rPr>
                    <w:t>、</w:t>
                  </w:r>
                  <w:r>
                    <w:rPr>
                      <w:rFonts w:hint="eastAsia"/>
                      <w:lang w:val="en-US" w:eastAsia="zh-CN"/>
                    </w:rPr>
                    <w:t>废气处理废水（喷淋塔废水）</w:t>
                  </w:r>
                </w:p>
              </w:tc>
              <w:tc>
                <w:tcPr>
                  <w:tcW w:w="1108" w:type="pct"/>
                  <w:noWrap w:val="0"/>
                  <w:vAlign w:val="center"/>
                </w:tcPr>
                <w:p>
                  <w:pPr>
                    <w:pStyle w:val="22"/>
                    <w:bidi w:val="0"/>
                    <w:rPr>
                      <w:rFonts w:hint="eastAsia"/>
                    </w:rPr>
                  </w:pPr>
                  <w:r>
                    <w:rPr>
                      <w:rFonts w:hint="eastAsia"/>
                    </w:rPr>
                    <w:t>CODc、BOD</w:t>
                  </w:r>
                  <w:r>
                    <w:rPr>
                      <w:rFonts w:hint="eastAsia"/>
                      <w:vertAlign w:val="subscript"/>
                    </w:rPr>
                    <w:t>5</w:t>
                  </w:r>
                  <w:r>
                    <w:rPr>
                      <w:rFonts w:hint="eastAsia"/>
                    </w:rPr>
                    <w:t>、NH</w:t>
                  </w:r>
                  <w:r>
                    <w:rPr>
                      <w:rFonts w:hint="eastAsia"/>
                      <w:vertAlign w:val="subscript"/>
                      <w:lang w:val="en-US" w:eastAsia="zh-CN"/>
                    </w:rPr>
                    <w:t>3</w:t>
                  </w:r>
                  <w:r>
                    <w:rPr>
                      <w:rFonts w:hint="eastAsia"/>
                    </w:rPr>
                    <w:t>-N、总氮、石油类、LAS</w:t>
                  </w:r>
                </w:p>
              </w:tc>
              <w:tc>
                <w:tcPr>
                  <w:tcW w:w="978" w:type="pct"/>
                  <w:noWrap w:val="0"/>
                  <w:vAlign w:val="center"/>
                </w:tcPr>
                <w:p>
                  <w:pPr>
                    <w:pStyle w:val="22"/>
                    <w:bidi w:val="0"/>
                    <w:rPr>
                      <w:rFonts w:hint="default"/>
                      <w:lang w:val="en-US" w:eastAsia="zh-CN"/>
                    </w:rPr>
                  </w:pPr>
                  <w:r>
                    <w:rPr>
                      <w:rFonts w:hint="eastAsia"/>
                      <w:lang w:val="en-US" w:eastAsia="zh-CN"/>
                    </w:rPr>
                    <w:t>自建污水处理站“格栅-气浮-厌氧池-缺氧池-好氧池-MBR膜”</w:t>
                  </w:r>
                </w:p>
              </w:tc>
              <w:tc>
                <w:tcPr>
                  <w:tcW w:w="813" w:type="pct"/>
                  <w:vMerge w:val="continue"/>
                  <w:noWrap w:val="0"/>
                  <w:vAlign w:val="center"/>
                </w:tcPr>
                <w:p>
                  <w:pPr>
                    <w:pStyle w:val="22"/>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pct"/>
                  <w:noWrap w:val="0"/>
                  <w:vAlign w:val="center"/>
                </w:tcPr>
                <w:p>
                  <w:pPr>
                    <w:pStyle w:val="22"/>
                    <w:bidi w:val="0"/>
                    <w:rPr>
                      <w:rFonts w:hint="eastAsia"/>
                      <w:lang w:val="en-US" w:eastAsia="zh-CN"/>
                    </w:rPr>
                  </w:pPr>
                  <w:r>
                    <w:rPr>
                      <w:rFonts w:hint="eastAsia"/>
                      <w:lang w:val="en-US" w:eastAsia="zh-CN"/>
                    </w:rPr>
                    <w:t>4</w:t>
                  </w:r>
                </w:p>
              </w:tc>
              <w:tc>
                <w:tcPr>
                  <w:tcW w:w="552" w:type="pct"/>
                  <w:noWrap w:val="0"/>
                  <w:vAlign w:val="center"/>
                </w:tcPr>
                <w:p>
                  <w:pPr>
                    <w:pStyle w:val="22"/>
                    <w:bidi w:val="0"/>
                    <w:rPr>
                      <w:rFonts w:hint="default"/>
                      <w:lang w:val="en-US" w:eastAsia="zh-CN"/>
                    </w:rPr>
                  </w:pPr>
                  <w:r>
                    <w:rPr>
                      <w:rFonts w:hint="eastAsia"/>
                      <w:lang w:val="en-US" w:eastAsia="zh-CN"/>
                    </w:rPr>
                    <w:t>噪声</w:t>
                  </w:r>
                </w:p>
              </w:tc>
              <w:tc>
                <w:tcPr>
                  <w:tcW w:w="1109" w:type="pct"/>
                  <w:noWrap w:val="0"/>
                  <w:vAlign w:val="center"/>
                </w:tcPr>
                <w:p>
                  <w:pPr>
                    <w:pStyle w:val="22"/>
                    <w:bidi w:val="0"/>
                    <w:rPr>
                      <w:rFonts w:hint="default"/>
                      <w:lang w:val="en-US" w:eastAsia="zh-CN"/>
                    </w:rPr>
                  </w:pPr>
                  <w:r>
                    <w:rPr>
                      <w:rFonts w:hint="eastAsia"/>
                      <w:lang w:val="en-US" w:eastAsia="zh-CN"/>
                    </w:rPr>
                    <w:t>各生产设备</w:t>
                  </w:r>
                </w:p>
              </w:tc>
              <w:tc>
                <w:tcPr>
                  <w:tcW w:w="1108" w:type="pct"/>
                  <w:noWrap w:val="0"/>
                  <w:vAlign w:val="center"/>
                </w:tcPr>
                <w:p>
                  <w:pPr>
                    <w:pStyle w:val="22"/>
                    <w:bidi w:val="0"/>
                    <w:rPr>
                      <w:rFonts w:hint="default"/>
                      <w:lang w:val="en-US" w:eastAsia="zh-CN"/>
                    </w:rPr>
                  </w:pPr>
                  <w:r>
                    <w:rPr>
                      <w:rFonts w:hint="eastAsia"/>
                      <w:lang w:val="en-US" w:eastAsia="zh-CN"/>
                    </w:rPr>
                    <w:t>设备噪声声级75~85dB（A）</w:t>
                  </w:r>
                </w:p>
              </w:tc>
              <w:tc>
                <w:tcPr>
                  <w:tcW w:w="978" w:type="pct"/>
                  <w:noWrap w:val="0"/>
                  <w:vAlign w:val="center"/>
                </w:tcPr>
                <w:p>
                  <w:pPr>
                    <w:pStyle w:val="22"/>
                    <w:bidi w:val="0"/>
                    <w:rPr>
                      <w:rFonts w:hint="default"/>
                      <w:lang w:val="en-US" w:eastAsia="zh-CN"/>
                    </w:rPr>
                  </w:pPr>
                  <w:r>
                    <w:rPr>
                      <w:rFonts w:hint="eastAsia"/>
                      <w:lang w:val="en-US" w:eastAsia="zh-CN"/>
                    </w:rPr>
                    <w:t>减振降噪、加强绿化等</w:t>
                  </w:r>
                </w:p>
              </w:tc>
              <w:tc>
                <w:tcPr>
                  <w:tcW w:w="813" w:type="pct"/>
                  <w:noWrap w:val="0"/>
                  <w:vAlign w:val="center"/>
                </w:tcPr>
                <w:p>
                  <w:pPr>
                    <w:pStyle w:val="22"/>
                    <w:bidi w:val="0"/>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noWrap w:val="0"/>
                  <w:vAlign w:val="center"/>
                </w:tcPr>
                <w:p>
                  <w:pPr>
                    <w:pStyle w:val="22"/>
                    <w:bidi w:val="0"/>
                    <w:rPr>
                      <w:rFonts w:hint="default"/>
                      <w:lang w:val="en-US" w:eastAsia="zh-CN"/>
                    </w:rPr>
                  </w:pPr>
                  <w:r>
                    <w:rPr>
                      <w:rFonts w:hint="eastAsia"/>
                      <w:lang w:val="en-US" w:eastAsia="zh-CN"/>
                    </w:rPr>
                    <w:t>5</w:t>
                  </w:r>
                </w:p>
              </w:tc>
              <w:tc>
                <w:tcPr>
                  <w:tcW w:w="552" w:type="pct"/>
                  <w:vMerge w:val="restart"/>
                  <w:noWrap w:val="0"/>
                  <w:vAlign w:val="center"/>
                </w:tcPr>
                <w:p>
                  <w:pPr>
                    <w:pStyle w:val="22"/>
                    <w:bidi w:val="0"/>
                    <w:rPr>
                      <w:rFonts w:hint="default"/>
                      <w:lang w:val="en-US" w:eastAsia="zh-CN"/>
                    </w:rPr>
                  </w:pPr>
                  <w:r>
                    <w:rPr>
                      <w:rFonts w:hint="eastAsia"/>
                      <w:lang w:val="en-US" w:eastAsia="zh-CN"/>
                    </w:rPr>
                    <w:t>固废</w:t>
                  </w:r>
                </w:p>
              </w:tc>
              <w:tc>
                <w:tcPr>
                  <w:tcW w:w="1109" w:type="pct"/>
                  <w:noWrap w:val="0"/>
                  <w:vAlign w:val="center"/>
                </w:tcPr>
                <w:p>
                  <w:pPr>
                    <w:pStyle w:val="22"/>
                    <w:bidi w:val="0"/>
                    <w:rPr>
                      <w:rFonts w:hint="default"/>
                      <w:lang w:val="en-US" w:eastAsia="zh-CN"/>
                    </w:rPr>
                  </w:pPr>
                  <w:r>
                    <w:rPr>
                      <w:rFonts w:hint="eastAsia"/>
                      <w:lang w:val="en-US" w:eastAsia="zh-CN"/>
                    </w:rPr>
                    <w:t>残留液收集</w:t>
                  </w:r>
                </w:p>
              </w:tc>
              <w:tc>
                <w:tcPr>
                  <w:tcW w:w="1108" w:type="pct"/>
                  <w:noWrap w:val="0"/>
                  <w:vAlign w:val="center"/>
                </w:tcPr>
                <w:p>
                  <w:pPr>
                    <w:pStyle w:val="22"/>
                    <w:bidi w:val="0"/>
                    <w:rPr>
                      <w:rFonts w:hint="default"/>
                      <w:lang w:val="en-US" w:eastAsia="zh-CN"/>
                    </w:rPr>
                  </w:pPr>
                  <w:r>
                    <w:rPr>
                      <w:rFonts w:hint="eastAsia"/>
                      <w:lang w:val="en-US" w:eastAsia="zh-CN"/>
                    </w:rPr>
                    <w:t>废矿物油、废碱液、废酸</w:t>
                  </w:r>
                </w:p>
              </w:tc>
              <w:tc>
                <w:tcPr>
                  <w:tcW w:w="978" w:type="pct"/>
                  <w:vMerge w:val="restart"/>
                  <w:noWrap w:val="0"/>
                  <w:vAlign w:val="center"/>
                </w:tcPr>
                <w:p>
                  <w:pPr>
                    <w:pStyle w:val="22"/>
                    <w:bidi w:val="0"/>
                    <w:rPr>
                      <w:rFonts w:hint="default"/>
                      <w:lang w:val="en-US" w:eastAsia="zh-CN"/>
                    </w:rPr>
                  </w:pPr>
                  <w:r>
                    <w:rPr>
                      <w:rFonts w:hint="eastAsia"/>
                      <w:lang w:val="en-US" w:eastAsia="zh-CN"/>
                    </w:rPr>
                    <w:t>收集暂存于危废暂存间</w:t>
                  </w:r>
                </w:p>
              </w:tc>
              <w:tc>
                <w:tcPr>
                  <w:tcW w:w="813" w:type="pct"/>
                  <w:vMerge w:val="restart"/>
                  <w:noWrap w:val="0"/>
                  <w:vAlign w:val="center"/>
                </w:tcPr>
                <w:p>
                  <w:pPr>
                    <w:pStyle w:val="22"/>
                    <w:bidi w:val="0"/>
                    <w:rPr>
                      <w:rFonts w:hint="default"/>
                      <w:lang w:val="en-US" w:eastAsia="zh-CN"/>
                    </w:rPr>
                  </w:pPr>
                  <w:r>
                    <w:rPr>
                      <w:rFonts w:hint="eastAsia"/>
                      <w:lang w:val="en-US" w:eastAsia="zh-CN"/>
                    </w:rPr>
                    <w:t>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noWrap w:val="0"/>
                  <w:vAlign w:val="center"/>
                </w:tcPr>
                <w:p>
                  <w:pPr>
                    <w:pStyle w:val="22"/>
                    <w:bidi w:val="0"/>
                    <w:rPr>
                      <w:rFonts w:hint="default"/>
                      <w:lang w:val="en-US" w:eastAsia="zh-CN"/>
                    </w:rPr>
                  </w:pPr>
                  <w:r>
                    <w:rPr>
                      <w:rFonts w:hint="eastAsia"/>
                      <w:lang w:val="en-US" w:eastAsia="zh-CN"/>
                    </w:rPr>
                    <w:t>6</w:t>
                  </w:r>
                </w:p>
              </w:tc>
              <w:tc>
                <w:tcPr>
                  <w:tcW w:w="552" w:type="pct"/>
                  <w:vMerge w:val="continue"/>
                  <w:noWrap w:val="0"/>
                  <w:vAlign w:val="center"/>
                </w:tcPr>
                <w:p>
                  <w:pPr>
                    <w:pStyle w:val="22"/>
                    <w:bidi w:val="0"/>
                    <w:rPr>
                      <w:rFonts w:hint="eastAsia"/>
                      <w:lang w:val="en-US" w:eastAsia="zh-CN"/>
                    </w:rPr>
                  </w:pPr>
                </w:p>
              </w:tc>
              <w:tc>
                <w:tcPr>
                  <w:tcW w:w="1109" w:type="pct"/>
                  <w:noWrap w:val="0"/>
                  <w:vAlign w:val="center"/>
                </w:tcPr>
                <w:p>
                  <w:pPr>
                    <w:pStyle w:val="22"/>
                    <w:bidi w:val="0"/>
                    <w:rPr>
                      <w:rFonts w:hint="default"/>
                      <w:lang w:val="en-US" w:eastAsia="zh-CN"/>
                    </w:rPr>
                  </w:pPr>
                  <w:r>
                    <w:rPr>
                      <w:rFonts w:hint="eastAsia"/>
                      <w:lang w:val="en-US" w:eastAsia="zh-CN"/>
                    </w:rPr>
                    <w:t>废气处理</w:t>
                  </w:r>
                </w:p>
              </w:tc>
              <w:tc>
                <w:tcPr>
                  <w:tcW w:w="1108" w:type="pct"/>
                  <w:noWrap w:val="0"/>
                  <w:vAlign w:val="center"/>
                </w:tcPr>
                <w:p>
                  <w:pPr>
                    <w:pStyle w:val="22"/>
                    <w:bidi w:val="0"/>
                    <w:rPr>
                      <w:rFonts w:hint="default"/>
                      <w:lang w:val="en-US" w:eastAsia="zh-CN"/>
                    </w:rPr>
                  </w:pPr>
                  <w:r>
                    <w:rPr>
                      <w:rFonts w:hint="eastAsia"/>
                      <w:lang w:val="en-US" w:eastAsia="zh-CN"/>
                    </w:rPr>
                    <w:t>废活性炭</w:t>
                  </w:r>
                </w:p>
              </w:tc>
              <w:tc>
                <w:tcPr>
                  <w:tcW w:w="978" w:type="pct"/>
                  <w:vMerge w:val="continue"/>
                  <w:noWrap w:val="0"/>
                  <w:vAlign w:val="center"/>
                </w:tcPr>
                <w:p>
                  <w:pPr>
                    <w:pStyle w:val="22"/>
                    <w:bidi w:val="0"/>
                    <w:rPr>
                      <w:rFonts w:hint="eastAsia"/>
                      <w:lang w:val="en-US" w:eastAsia="zh-CN"/>
                    </w:rPr>
                  </w:pPr>
                </w:p>
              </w:tc>
              <w:tc>
                <w:tcPr>
                  <w:tcW w:w="813" w:type="pct"/>
                  <w:vMerge w:val="continue"/>
                  <w:noWrap w:val="0"/>
                  <w:vAlign w:val="center"/>
                </w:tcPr>
                <w:p>
                  <w:pPr>
                    <w:pStyle w:val="22"/>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shd w:val="clear" w:color="auto" w:fill="auto"/>
                  <w:noWrap w:val="0"/>
                  <w:vAlign w:val="center"/>
                </w:tcPr>
                <w:p>
                  <w:pPr>
                    <w:pStyle w:val="22"/>
                    <w:bidi w:val="0"/>
                    <w:ind w:firstLine="0" w:firstLineChars="0"/>
                    <w:rPr>
                      <w:rFonts w:hint="eastAsia" w:ascii="Times New Roman" w:hAnsi="Times New Roman" w:eastAsia="宋体" w:cs="宋体"/>
                      <w:kern w:val="0"/>
                      <w:sz w:val="21"/>
                      <w:szCs w:val="21"/>
                      <w:lang w:val="en-US" w:eastAsia="zh-CN" w:bidi="ar-SA"/>
                    </w:rPr>
                  </w:pPr>
                  <w:r>
                    <w:rPr>
                      <w:rFonts w:hint="eastAsia"/>
                      <w:lang w:val="en-US" w:eastAsia="zh-CN"/>
                    </w:rPr>
                    <w:t>7</w:t>
                  </w:r>
                </w:p>
              </w:tc>
              <w:tc>
                <w:tcPr>
                  <w:tcW w:w="552" w:type="pct"/>
                  <w:vMerge w:val="continue"/>
                  <w:noWrap w:val="0"/>
                  <w:vAlign w:val="center"/>
                </w:tcPr>
                <w:p>
                  <w:pPr>
                    <w:pStyle w:val="22"/>
                    <w:bidi w:val="0"/>
                    <w:rPr>
                      <w:rFonts w:hint="eastAsia"/>
                      <w:lang w:val="en-US" w:eastAsia="zh-CN"/>
                    </w:rPr>
                  </w:pPr>
                </w:p>
              </w:tc>
              <w:tc>
                <w:tcPr>
                  <w:tcW w:w="1109" w:type="pct"/>
                  <w:noWrap w:val="0"/>
                  <w:vAlign w:val="center"/>
                </w:tcPr>
                <w:p>
                  <w:pPr>
                    <w:pStyle w:val="22"/>
                    <w:bidi w:val="0"/>
                    <w:rPr>
                      <w:rFonts w:hint="default"/>
                      <w:lang w:val="en-US" w:eastAsia="zh-CN"/>
                    </w:rPr>
                  </w:pPr>
                  <w:r>
                    <w:rPr>
                      <w:rFonts w:hint="eastAsia"/>
                      <w:lang w:val="en-US" w:eastAsia="zh-CN"/>
                    </w:rPr>
                    <w:t>蒸汽清洗</w:t>
                  </w:r>
                </w:p>
              </w:tc>
              <w:tc>
                <w:tcPr>
                  <w:tcW w:w="1108" w:type="pct"/>
                  <w:noWrap w:val="0"/>
                  <w:vAlign w:val="center"/>
                </w:tcPr>
                <w:p>
                  <w:pPr>
                    <w:pStyle w:val="22"/>
                    <w:bidi w:val="0"/>
                    <w:rPr>
                      <w:rFonts w:hint="default"/>
                      <w:lang w:val="en-US" w:eastAsia="zh-CN"/>
                    </w:rPr>
                  </w:pPr>
                  <w:r>
                    <w:rPr>
                      <w:rFonts w:hint="eastAsia"/>
                      <w:lang w:val="en-US" w:eastAsia="zh-CN"/>
                    </w:rPr>
                    <w:t>蒸汽清洗废水</w:t>
                  </w:r>
                </w:p>
              </w:tc>
              <w:tc>
                <w:tcPr>
                  <w:tcW w:w="978" w:type="pct"/>
                  <w:vMerge w:val="continue"/>
                  <w:noWrap w:val="0"/>
                  <w:vAlign w:val="center"/>
                </w:tcPr>
                <w:p>
                  <w:pPr>
                    <w:pStyle w:val="22"/>
                    <w:bidi w:val="0"/>
                    <w:rPr>
                      <w:rFonts w:hint="eastAsia"/>
                      <w:lang w:val="en-US" w:eastAsia="zh-CN"/>
                    </w:rPr>
                  </w:pPr>
                </w:p>
              </w:tc>
              <w:tc>
                <w:tcPr>
                  <w:tcW w:w="813" w:type="pct"/>
                  <w:vMerge w:val="continue"/>
                  <w:noWrap w:val="0"/>
                  <w:vAlign w:val="center"/>
                </w:tcPr>
                <w:p>
                  <w:pPr>
                    <w:pStyle w:val="22"/>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shd w:val="clear" w:color="auto" w:fill="auto"/>
                  <w:noWrap w:val="0"/>
                  <w:vAlign w:val="center"/>
                </w:tcPr>
                <w:p>
                  <w:pPr>
                    <w:pStyle w:val="22"/>
                    <w:bidi w:val="0"/>
                    <w:ind w:firstLine="0" w:firstLineChars="0"/>
                    <w:rPr>
                      <w:rFonts w:hint="default" w:ascii="Times New Roman" w:hAnsi="Times New Roman" w:eastAsia="宋体" w:cs="宋体"/>
                      <w:kern w:val="0"/>
                      <w:sz w:val="21"/>
                      <w:szCs w:val="21"/>
                      <w:lang w:val="en-US" w:eastAsia="zh-CN" w:bidi="ar-SA"/>
                    </w:rPr>
                  </w:pPr>
                  <w:r>
                    <w:rPr>
                      <w:rFonts w:hint="eastAsia"/>
                      <w:lang w:val="en-US" w:eastAsia="zh-CN"/>
                    </w:rPr>
                    <w:t>8</w:t>
                  </w:r>
                </w:p>
              </w:tc>
              <w:tc>
                <w:tcPr>
                  <w:tcW w:w="552" w:type="pct"/>
                  <w:vMerge w:val="continue"/>
                  <w:noWrap w:val="0"/>
                  <w:vAlign w:val="center"/>
                </w:tcPr>
                <w:p>
                  <w:pPr>
                    <w:pStyle w:val="22"/>
                    <w:bidi w:val="0"/>
                    <w:rPr>
                      <w:rFonts w:hint="eastAsia"/>
                      <w:lang w:val="en-US" w:eastAsia="zh-CN"/>
                    </w:rPr>
                  </w:pPr>
                </w:p>
              </w:tc>
              <w:tc>
                <w:tcPr>
                  <w:tcW w:w="1109" w:type="pct"/>
                  <w:vMerge w:val="restart"/>
                  <w:noWrap w:val="0"/>
                  <w:vAlign w:val="center"/>
                </w:tcPr>
                <w:p>
                  <w:pPr>
                    <w:pStyle w:val="22"/>
                    <w:bidi w:val="0"/>
                    <w:rPr>
                      <w:rFonts w:hint="default"/>
                      <w:lang w:val="en-US" w:eastAsia="zh-CN"/>
                    </w:rPr>
                  </w:pPr>
                  <w:r>
                    <w:rPr>
                      <w:rFonts w:hint="eastAsia"/>
                      <w:lang w:val="en-US" w:eastAsia="zh-CN"/>
                    </w:rPr>
                    <w:t>检修</w:t>
                  </w:r>
                </w:p>
              </w:tc>
              <w:tc>
                <w:tcPr>
                  <w:tcW w:w="1108" w:type="pct"/>
                  <w:noWrap w:val="0"/>
                  <w:vAlign w:val="center"/>
                </w:tcPr>
                <w:p>
                  <w:pPr>
                    <w:pStyle w:val="22"/>
                    <w:bidi w:val="0"/>
                    <w:ind w:firstLine="0" w:firstLineChars="0"/>
                    <w:rPr>
                      <w:rFonts w:hint="default"/>
                      <w:lang w:val="en-US" w:eastAsia="zh-CN"/>
                    </w:rPr>
                  </w:pPr>
                  <w:r>
                    <w:rPr>
                      <w:rFonts w:hint="eastAsia"/>
                      <w:lang w:val="en-US" w:eastAsia="zh-CN"/>
                    </w:rPr>
                    <w:t>废机油</w:t>
                  </w:r>
                </w:p>
              </w:tc>
              <w:tc>
                <w:tcPr>
                  <w:tcW w:w="978" w:type="pct"/>
                  <w:vMerge w:val="continue"/>
                  <w:noWrap w:val="0"/>
                  <w:vAlign w:val="center"/>
                </w:tcPr>
                <w:p>
                  <w:pPr>
                    <w:pStyle w:val="22"/>
                    <w:bidi w:val="0"/>
                    <w:rPr>
                      <w:rFonts w:hint="eastAsia"/>
                      <w:lang w:val="en-US" w:eastAsia="zh-CN"/>
                    </w:rPr>
                  </w:pPr>
                </w:p>
              </w:tc>
              <w:tc>
                <w:tcPr>
                  <w:tcW w:w="813" w:type="pct"/>
                  <w:vMerge w:val="continue"/>
                  <w:noWrap w:val="0"/>
                  <w:vAlign w:val="center"/>
                </w:tcPr>
                <w:p>
                  <w:pPr>
                    <w:pStyle w:val="22"/>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pct"/>
                  <w:shd w:val="clear" w:color="auto" w:fill="auto"/>
                  <w:noWrap w:val="0"/>
                  <w:vAlign w:val="center"/>
                </w:tcPr>
                <w:p>
                  <w:pPr>
                    <w:pStyle w:val="22"/>
                    <w:bidi w:val="0"/>
                    <w:ind w:firstLine="0" w:firstLineChars="0"/>
                    <w:rPr>
                      <w:rFonts w:hint="eastAsia"/>
                      <w:lang w:val="en-US" w:eastAsia="zh-CN"/>
                    </w:rPr>
                  </w:pPr>
                </w:p>
              </w:tc>
              <w:tc>
                <w:tcPr>
                  <w:tcW w:w="552" w:type="pct"/>
                  <w:vMerge w:val="continue"/>
                  <w:noWrap w:val="0"/>
                  <w:vAlign w:val="center"/>
                </w:tcPr>
                <w:p>
                  <w:pPr>
                    <w:pStyle w:val="22"/>
                    <w:bidi w:val="0"/>
                    <w:rPr>
                      <w:rFonts w:hint="eastAsia"/>
                      <w:lang w:val="en-US" w:eastAsia="zh-CN"/>
                    </w:rPr>
                  </w:pPr>
                </w:p>
              </w:tc>
              <w:tc>
                <w:tcPr>
                  <w:tcW w:w="1109" w:type="pct"/>
                  <w:vMerge w:val="continue"/>
                  <w:noWrap w:val="0"/>
                  <w:vAlign w:val="center"/>
                </w:tcPr>
                <w:p>
                  <w:pPr>
                    <w:pStyle w:val="22"/>
                    <w:bidi w:val="0"/>
                    <w:rPr>
                      <w:rFonts w:hint="default"/>
                      <w:lang w:val="en-US" w:eastAsia="zh-CN"/>
                    </w:rPr>
                  </w:pPr>
                </w:p>
              </w:tc>
              <w:tc>
                <w:tcPr>
                  <w:tcW w:w="1108" w:type="pct"/>
                  <w:noWrap w:val="0"/>
                  <w:vAlign w:val="center"/>
                </w:tcPr>
                <w:p>
                  <w:pPr>
                    <w:pStyle w:val="22"/>
                    <w:bidi w:val="0"/>
                    <w:ind w:firstLine="0" w:firstLineChars="0"/>
                    <w:rPr>
                      <w:rFonts w:hint="eastAsia"/>
                      <w:lang w:val="en-US" w:eastAsia="zh-CN"/>
                    </w:rPr>
                  </w:pPr>
                  <w:r>
                    <w:rPr>
                      <w:rFonts w:hint="eastAsia"/>
                      <w:lang w:val="en-US" w:eastAsia="zh-CN"/>
                    </w:rPr>
                    <w:t>含油抹布和手套</w:t>
                  </w:r>
                </w:p>
              </w:tc>
              <w:tc>
                <w:tcPr>
                  <w:tcW w:w="978" w:type="pct"/>
                  <w:vMerge w:val="continue"/>
                  <w:noWrap w:val="0"/>
                  <w:vAlign w:val="center"/>
                </w:tcPr>
                <w:p>
                  <w:pPr>
                    <w:pStyle w:val="22"/>
                    <w:bidi w:val="0"/>
                    <w:rPr>
                      <w:rFonts w:hint="eastAsia"/>
                      <w:lang w:val="en-US" w:eastAsia="zh-CN"/>
                    </w:rPr>
                  </w:pPr>
                </w:p>
              </w:tc>
              <w:tc>
                <w:tcPr>
                  <w:tcW w:w="813" w:type="pct"/>
                  <w:vMerge w:val="continue"/>
                  <w:noWrap w:val="0"/>
                  <w:vAlign w:val="center"/>
                </w:tcPr>
                <w:p>
                  <w:pPr>
                    <w:pStyle w:val="22"/>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shd w:val="clear" w:color="auto" w:fill="auto"/>
                  <w:noWrap w:val="0"/>
                  <w:vAlign w:val="center"/>
                </w:tcPr>
                <w:p>
                  <w:pPr>
                    <w:pStyle w:val="22"/>
                    <w:bidi w:val="0"/>
                    <w:ind w:firstLine="0" w:firstLineChars="0"/>
                    <w:rPr>
                      <w:rFonts w:hint="default" w:ascii="Times New Roman" w:hAnsi="Times New Roman" w:eastAsia="宋体" w:cs="宋体"/>
                      <w:kern w:val="0"/>
                      <w:sz w:val="21"/>
                      <w:szCs w:val="21"/>
                      <w:lang w:val="en-US" w:eastAsia="zh-CN" w:bidi="ar-SA"/>
                    </w:rPr>
                  </w:pPr>
                  <w:r>
                    <w:rPr>
                      <w:rFonts w:hint="eastAsia"/>
                      <w:lang w:val="en-US" w:eastAsia="zh-CN"/>
                    </w:rPr>
                    <w:t>9</w:t>
                  </w:r>
                </w:p>
              </w:tc>
              <w:tc>
                <w:tcPr>
                  <w:tcW w:w="552" w:type="pct"/>
                  <w:vMerge w:val="continue"/>
                  <w:noWrap w:val="0"/>
                  <w:vAlign w:val="center"/>
                </w:tcPr>
                <w:p>
                  <w:pPr>
                    <w:pStyle w:val="22"/>
                    <w:bidi w:val="0"/>
                    <w:rPr>
                      <w:rFonts w:hint="eastAsia"/>
                      <w:lang w:val="en-US" w:eastAsia="zh-CN"/>
                    </w:rPr>
                  </w:pPr>
                </w:p>
              </w:tc>
              <w:tc>
                <w:tcPr>
                  <w:tcW w:w="1109" w:type="pct"/>
                  <w:noWrap w:val="0"/>
                  <w:vAlign w:val="center"/>
                </w:tcPr>
                <w:p>
                  <w:pPr>
                    <w:pStyle w:val="22"/>
                    <w:bidi w:val="0"/>
                    <w:rPr>
                      <w:rFonts w:hint="default"/>
                      <w:lang w:val="en-US" w:eastAsia="zh-CN"/>
                    </w:rPr>
                  </w:pPr>
                  <w:r>
                    <w:rPr>
                      <w:rFonts w:hint="eastAsia"/>
                      <w:lang w:val="en-US" w:eastAsia="zh-CN"/>
                    </w:rPr>
                    <w:t>清洗工序</w:t>
                  </w:r>
                </w:p>
              </w:tc>
              <w:tc>
                <w:tcPr>
                  <w:tcW w:w="1108" w:type="pct"/>
                  <w:noWrap w:val="0"/>
                  <w:vAlign w:val="center"/>
                </w:tcPr>
                <w:p>
                  <w:pPr>
                    <w:pStyle w:val="22"/>
                    <w:bidi w:val="0"/>
                    <w:rPr>
                      <w:rFonts w:hint="default"/>
                      <w:lang w:val="en-US" w:eastAsia="zh-CN"/>
                    </w:rPr>
                  </w:pPr>
                  <w:r>
                    <w:rPr>
                      <w:rFonts w:hint="eastAsia"/>
                      <w:lang w:val="en-US" w:eastAsia="zh-CN"/>
                    </w:rPr>
                    <w:t>表面活性剂废包装</w:t>
                  </w:r>
                </w:p>
              </w:tc>
              <w:tc>
                <w:tcPr>
                  <w:tcW w:w="978" w:type="pct"/>
                  <w:vMerge w:val="restart"/>
                  <w:noWrap w:val="0"/>
                  <w:vAlign w:val="center"/>
                </w:tcPr>
                <w:p>
                  <w:pPr>
                    <w:pStyle w:val="22"/>
                    <w:bidi w:val="0"/>
                    <w:rPr>
                      <w:rFonts w:hint="default"/>
                      <w:lang w:val="en-US" w:eastAsia="zh-CN"/>
                    </w:rPr>
                  </w:pPr>
                  <w:r>
                    <w:rPr>
                      <w:rFonts w:hint="eastAsia"/>
                      <w:lang w:val="en-US" w:eastAsia="zh-CN"/>
                    </w:rPr>
                    <w:t>垃圾桶收集</w:t>
                  </w:r>
                </w:p>
              </w:tc>
              <w:tc>
                <w:tcPr>
                  <w:tcW w:w="813" w:type="pct"/>
                  <w:vMerge w:val="restart"/>
                  <w:noWrap w:val="0"/>
                  <w:vAlign w:val="center"/>
                </w:tcPr>
                <w:p>
                  <w:pPr>
                    <w:pStyle w:val="22"/>
                    <w:bidi w:val="0"/>
                    <w:rPr>
                      <w:rFonts w:hint="default"/>
                      <w:lang w:val="en-US" w:eastAsia="zh-CN"/>
                    </w:rPr>
                  </w:pPr>
                  <w:r>
                    <w:rPr>
                      <w:rFonts w:hint="eastAsia"/>
                      <w:lang w:val="en-US" w:eastAsia="zh-CN"/>
                    </w:rPr>
                    <w:t>交由环卫部门清运处理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shd w:val="clear" w:color="auto" w:fill="auto"/>
                  <w:noWrap w:val="0"/>
                  <w:vAlign w:val="center"/>
                </w:tcPr>
                <w:p>
                  <w:pPr>
                    <w:pStyle w:val="22"/>
                    <w:bidi w:val="0"/>
                    <w:ind w:firstLine="0" w:firstLineChars="0"/>
                    <w:rPr>
                      <w:rFonts w:hint="eastAsia"/>
                      <w:lang w:val="en-US" w:eastAsia="zh-CN"/>
                    </w:rPr>
                  </w:pPr>
                </w:p>
              </w:tc>
              <w:tc>
                <w:tcPr>
                  <w:tcW w:w="552" w:type="pct"/>
                  <w:vMerge w:val="continue"/>
                  <w:noWrap w:val="0"/>
                  <w:vAlign w:val="center"/>
                </w:tcPr>
                <w:p>
                  <w:pPr>
                    <w:pStyle w:val="22"/>
                    <w:bidi w:val="0"/>
                    <w:rPr>
                      <w:rFonts w:hint="eastAsia"/>
                      <w:lang w:val="en-US" w:eastAsia="zh-CN"/>
                    </w:rPr>
                  </w:pPr>
                </w:p>
              </w:tc>
              <w:tc>
                <w:tcPr>
                  <w:tcW w:w="1109" w:type="pct"/>
                  <w:shd w:val="clear" w:color="auto" w:fill="auto"/>
                  <w:noWrap w:val="0"/>
                  <w:vAlign w:val="center"/>
                </w:tcPr>
                <w:p>
                  <w:pPr>
                    <w:pStyle w:val="22"/>
                    <w:bidi w:val="0"/>
                    <w:ind w:firstLine="0" w:firstLineChars="0"/>
                    <w:rPr>
                      <w:rFonts w:hint="eastAsia" w:ascii="Times New Roman" w:hAnsi="Times New Roman" w:eastAsia="宋体" w:cs="宋体"/>
                      <w:kern w:val="0"/>
                      <w:sz w:val="21"/>
                      <w:szCs w:val="21"/>
                      <w:lang w:val="en-US" w:eastAsia="zh-CN" w:bidi="ar-SA"/>
                    </w:rPr>
                  </w:pPr>
                  <w:r>
                    <w:rPr>
                      <w:rFonts w:hint="eastAsia"/>
                      <w:lang w:val="en-US" w:eastAsia="zh-CN"/>
                    </w:rPr>
                    <w:t>员工办公生活</w:t>
                  </w:r>
                </w:p>
              </w:tc>
              <w:tc>
                <w:tcPr>
                  <w:tcW w:w="1108" w:type="pct"/>
                  <w:shd w:val="clear" w:color="auto" w:fill="auto"/>
                  <w:noWrap w:val="0"/>
                  <w:vAlign w:val="center"/>
                </w:tcPr>
                <w:p>
                  <w:pPr>
                    <w:pStyle w:val="22"/>
                    <w:bidi w:val="0"/>
                    <w:ind w:firstLine="0" w:firstLineChars="0"/>
                    <w:rPr>
                      <w:rFonts w:hint="eastAsia" w:ascii="Times New Roman" w:hAnsi="Times New Roman" w:eastAsia="宋体" w:cs="宋体"/>
                      <w:kern w:val="0"/>
                      <w:sz w:val="21"/>
                      <w:szCs w:val="21"/>
                      <w:lang w:val="en-US" w:eastAsia="zh-CN" w:bidi="ar-SA"/>
                    </w:rPr>
                  </w:pPr>
                  <w:r>
                    <w:rPr>
                      <w:rFonts w:hint="eastAsia"/>
                      <w:lang w:val="en-US" w:eastAsia="zh-CN"/>
                    </w:rPr>
                    <w:t>生活垃圾</w:t>
                  </w:r>
                </w:p>
              </w:tc>
              <w:tc>
                <w:tcPr>
                  <w:tcW w:w="978" w:type="pct"/>
                  <w:vMerge w:val="continue"/>
                  <w:noWrap w:val="0"/>
                  <w:vAlign w:val="center"/>
                </w:tcPr>
                <w:p>
                  <w:pPr>
                    <w:pStyle w:val="22"/>
                    <w:bidi w:val="0"/>
                    <w:rPr>
                      <w:rFonts w:hint="eastAsia"/>
                      <w:lang w:val="en-US" w:eastAsia="zh-CN"/>
                    </w:rPr>
                  </w:pPr>
                </w:p>
              </w:tc>
              <w:tc>
                <w:tcPr>
                  <w:tcW w:w="813" w:type="pct"/>
                  <w:vMerge w:val="continue"/>
                  <w:noWrap w:val="0"/>
                  <w:vAlign w:val="center"/>
                </w:tcPr>
                <w:p>
                  <w:pPr>
                    <w:pStyle w:val="22"/>
                    <w:bidi w:val="0"/>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noWrap w:val="0"/>
                  <w:vAlign w:val="center"/>
                </w:tcPr>
                <w:p>
                  <w:pPr>
                    <w:pStyle w:val="22"/>
                    <w:bidi w:val="0"/>
                    <w:rPr>
                      <w:rFonts w:hint="default"/>
                      <w:lang w:val="en-US" w:eastAsia="zh-CN"/>
                    </w:rPr>
                  </w:pPr>
                  <w:r>
                    <w:rPr>
                      <w:rFonts w:hint="eastAsia"/>
                      <w:lang w:val="en-US" w:eastAsia="zh-CN"/>
                    </w:rPr>
                    <w:t>10</w:t>
                  </w:r>
                </w:p>
              </w:tc>
              <w:tc>
                <w:tcPr>
                  <w:tcW w:w="552" w:type="pct"/>
                  <w:vMerge w:val="continue"/>
                  <w:noWrap w:val="0"/>
                  <w:vAlign w:val="center"/>
                </w:tcPr>
                <w:p>
                  <w:pPr>
                    <w:pStyle w:val="22"/>
                    <w:bidi w:val="0"/>
                    <w:rPr>
                      <w:rFonts w:hint="eastAsia"/>
                      <w:lang w:val="en-US" w:eastAsia="zh-CN"/>
                    </w:rPr>
                  </w:pPr>
                </w:p>
              </w:tc>
              <w:tc>
                <w:tcPr>
                  <w:tcW w:w="1109" w:type="pct"/>
                  <w:shd w:val="clear" w:color="auto" w:fill="auto"/>
                  <w:noWrap w:val="0"/>
                  <w:vAlign w:val="center"/>
                </w:tcPr>
                <w:p>
                  <w:pPr>
                    <w:pStyle w:val="22"/>
                    <w:bidi w:val="0"/>
                    <w:ind w:firstLine="0" w:firstLineChars="0"/>
                    <w:rPr>
                      <w:rFonts w:hint="default" w:ascii="Times New Roman" w:hAnsi="Times New Roman" w:eastAsia="宋体" w:cs="宋体"/>
                      <w:kern w:val="0"/>
                      <w:sz w:val="21"/>
                      <w:szCs w:val="21"/>
                      <w:lang w:val="en-US" w:eastAsia="zh-CN" w:bidi="ar-SA"/>
                    </w:rPr>
                  </w:pPr>
                  <w:r>
                    <w:rPr>
                      <w:rFonts w:hint="eastAsia"/>
                      <w:lang w:val="en-US" w:eastAsia="zh-CN"/>
                    </w:rPr>
                    <w:t>废水处理</w:t>
                  </w:r>
                </w:p>
              </w:tc>
              <w:tc>
                <w:tcPr>
                  <w:tcW w:w="1108" w:type="pct"/>
                  <w:shd w:val="clear" w:color="auto" w:fill="auto"/>
                  <w:noWrap w:val="0"/>
                  <w:vAlign w:val="center"/>
                </w:tcPr>
                <w:p>
                  <w:pPr>
                    <w:pStyle w:val="22"/>
                    <w:bidi w:val="0"/>
                    <w:ind w:firstLine="0" w:firstLineChars="0"/>
                    <w:rPr>
                      <w:rFonts w:hint="default" w:ascii="Times New Roman" w:hAnsi="Times New Roman" w:eastAsia="宋体" w:cs="宋体"/>
                      <w:kern w:val="0"/>
                      <w:sz w:val="21"/>
                      <w:szCs w:val="21"/>
                      <w:lang w:val="en-US" w:eastAsia="zh-CN" w:bidi="ar-SA"/>
                    </w:rPr>
                  </w:pPr>
                  <w:r>
                    <w:rPr>
                      <w:rFonts w:hint="eastAsia"/>
                      <w:lang w:val="en-US" w:eastAsia="zh-CN"/>
                    </w:rPr>
                    <w:t>污泥</w:t>
                  </w:r>
                </w:p>
              </w:tc>
              <w:tc>
                <w:tcPr>
                  <w:tcW w:w="978" w:type="pct"/>
                  <w:noWrap w:val="0"/>
                  <w:vAlign w:val="center"/>
                </w:tcPr>
                <w:p>
                  <w:pPr>
                    <w:pStyle w:val="22"/>
                    <w:bidi w:val="0"/>
                    <w:rPr>
                      <w:rFonts w:hint="default"/>
                      <w:lang w:val="en-US" w:eastAsia="zh-CN"/>
                    </w:rPr>
                  </w:pPr>
                  <w:r>
                    <w:rPr>
                      <w:rFonts w:hint="eastAsia"/>
                      <w:lang w:val="en-US" w:eastAsia="zh-CN"/>
                    </w:rPr>
                    <w:t>定期清理</w:t>
                  </w:r>
                </w:p>
              </w:tc>
              <w:tc>
                <w:tcPr>
                  <w:tcW w:w="813" w:type="pct"/>
                  <w:vMerge w:val="continue"/>
                  <w:noWrap w:val="0"/>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pct"/>
                  <w:noWrap w:val="0"/>
                  <w:vAlign w:val="center"/>
                </w:tcPr>
                <w:p>
                  <w:pPr>
                    <w:pStyle w:val="22"/>
                    <w:bidi w:val="0"/>
                    <w:rPr>
                      <w:rFonts w:hint="default"/>
                      <w:lang w:val="en-US" w:eastAsia="zh-CN"/>
                    </w:rPr>
                  </w:pPr>
                  <w:r>
                    <w:rPr>
                      <w:rFonts w:hint="eastAsia"/>
                      <w:lang w:val="en-US" w:eastAsia="zh-CN"/>
                    </w:rPr>
                    <w:t>11</w:t>
                  </w:r>
                </w:p>
              </w:tc>
              <w:tc>
                <w:tcPr>
                  <w:tcW w:w="552" w:type="pct"/>
                  <w:vMerge w:val="continue"/>
                  <w:noWrap w:val="0"/>
                  <w:vAlign w:val="center"/>
                </w:tcPr>
                <w:p>
                  <w:pPr>
                    <w:pStyle w:val="22"/>
                    <w:bidi w:val="0"/>
                    <w:rPr>
                      <w:rFonts w:hint="eastAsia"/>
                      <w:lang w:val="en-US" w:eastAsia="zh-CN"/>
                    </w:rPr>
                  </w:pPr>
                </w:p>
              </w:tc>
              <w:tc>
                <w:tcPr>
                  <w:tcW w:w="1109" w:type="pct"/>
                  <w:noWrap w:val="0"/>
                  <w:vAlign w:val="center"/>
                </w:tcPr>
                <w:p>
                  <w:pPr>
                    <w:pStyle w:val="22"/>
                    <w:bidi w:val="0"/>
                    <w:rPr>
                      <w:rFonts w:hint="default"/>
                      <w:lang w:val="en-US" w:eastAsia="zh-CN"/>
                    </w:rPr>
                  </w:pPr>
                  <w:r>
                    <w:rPr>
                      <w:rFonts w:hint="eastAsia"/>
                      <w:lang w:val="en-US" w:eastAsia="zh-CN"/>
                    </w:rPr>
                    <w:t>食堂废油脂</w:t>
                  </w:r>
                </w:p>
              </w:tc>
              <w:tc>
                <w:tcPr>
                  <w:tcW w:w="1108" w:type="pct"/>
                  <w:noWrap w:val="0"/>
                  <w:vAlign w:val="center"/>
                </w:tcPr>
                <w:p>
                  <w:pPr>
                    <w:pStyle w:val="22"/>
                    <w:bidi w:val="0"/>
                    <w:rPr>
                      <w:rFonts w:hint="default"/>
                      <w:lang w:val="en-US" w:eastAsia="zh-CN"/>
                    </w:rPr>
                  </w:pPr>
                  <w:r>
                    <w:rPr>
                      <w:rFonts w:hint="eastAsia"/>
                      <w:lang w:val="en-US" w:eastAsia="zh-CN"/>
                    </w:rPr>
                    <w:t>油脂</w:t>
                  </w:r>
                </w:p>
              </w:tc>
              <w:tc>
                <w:tcPr>
                  <w:tcW w:w="978" w:type="pct"/>
                  <w:noWrap w:val="0"/>
                  <w:vAlign w:val="center"/>
                </w:tcPr>
                <w:p>
                  <w:pPr>
                    <w:pStyle w:val="22"/>
                    <w:bidi w:val="0"/>
                    <w:rPr>
                      <w:rFonts w:hint="default"/>
                      <w:lang w:val="en-US" w:eastAsia="zh-CN"/>
                    </w:rPr>
                  </w:pPr>
                  <w:r>
                    <w:rPr>
                      <w:rFonts w:hint="eastAsia"/>
                      <w:lang w:val="en-US" w:eastAsia="zh-CN"/>
                    </w:rPr>
                    <w:t>桶装收集</w:t>
                  </w:r>
                </w:p>
              </w:tc>
              <w:tc>
                <w:tcPr>
                  <w:tcW w:w="813" w:type="pct"/>
                  <w:noWrap w:val="0"/>
                  <w:vAlign w:val="center"/>
                </w:tcPr>
                <w:p>
                  <w:pPr>
                    <w:pStyle w:val="22"/>
                    <w:bidi w:val="0"/>
                    <w:rPr>
                      <w:rFonts w:hint="default"/>
                      <w:lang w:val="en-US" w:eastAsia="zh-CN"/>
                    </w:rPr>
                  </w:pPr>
                  <w:r>
                    <w:rPr>
                      <w:rFonts w:hint="eastAsia"/>
                      <w:lang w:val="en-US" w:eastAsia="zh-CN"/>
                    </w:rPr>
                    <w:t>交由有资质的单位处置</w:t>
                  </w:r>
                </w:p>
              </w:tc>
            </w:tr>
          </w:tbl>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vAlign w:val="center"/>
          </w:tcPr>
          <w:p>
            <w:pPr>
              <w:pStyle w:val="3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default"/>
              </w:rPr>
              <w:t>与项目有关的原有环境污染问题</w:t>
            </w:r>
          </w:p>
        </w:tc>
        <w:tc>
          <w:tcPr>
            <w:tcW w:w="4527" w:type="pct"/>
          </w:tcPr>
          <w:p>
            <w:pPr>
              <w:spacing w:beforeLines="0" w:afterLines="0"/>
              <w:jc w:val="left"/>
              <w:rPr>
                <w:rFonts w:hint="default" w:ascii="Times New Roman" w:hAnsi="Times New Roman" w:cs="Times New Roman"/>
                <w:b/>
                <w:bCs/>
                <w:lang w:val="en-US" w:eastAsia="zh-CN"/>
              </w:rPr>
            </w:pPr>
            <w:r>
              <w:rPr>
                <w:rFonts w:hint="default" w:ascii="Times New Roman" w:hAnsi="Times New Roman" w:cs="Times New Roman"/>
                <w:b/>
                <w:bCs/>
                <w:lang w:val="en-US" w:eastAsia="zh-CN"/>
              </w:rPr>
              <w:t>2.12与项目有关的原有污染环境问题</w:t>
            </w:r>
          </w:p>
          <w:p>
            <w:pPr>
              <w:rPr>
                <w:vertAlign w:val="baseline"/>
              </w:rPr>
            </w:pPr>
            <w:r>
              <w:rPr>
                <w:rFonts w:hint="default" w:ascii="Times New Roman" w:hAnsi="Times New Roman" w:cs="Times New Roman"/>
                <w:lang w:val="en-US" w:eastAsia="zh-CN"/>
              </w:rPr>
              <w:t>本项目为新建项目，无与项目有关的原有污染环境问题</w:t>
            </w:r>
            <w:r>
              <w:rPr>
                <w:rFonts w:hint="eastAsia" w:ascii="Times New Roman" w:hAnsi="Times New Roman" w:cs="Times New Roman"/>
                <w:lang w:val="en-US" w:eastAsia="zh-CN"/>
              </w:rPr>
              <w:t>。</w:t>
            </w:r>
          </w:p>
        </w:tc>
      </w:tr>
    </w:tbl>
    <w:p>
      <w:pPr>
        <w:sectPr>
          <w:pgSz w:w="11906" w:h="16838"/>
          <w:pgMar w:top="1134" w:right="1134" w:bottom="1134" w:left="1134" w:header="851" w:footer="992" w:gutter="0"/>
          <w:pgNumType w:fmt="decimal"/>
          <w:cols w:space="425" w:num="1"/>
          <w:docGrid w:type="lines" w:linePitch="312" w:charSpace="0"/>
        </w:sectPr>
      </w:pPr>
    </w:p>
    <w:p>
      <w:pPr>
        <w:pStyle w:val="2"/>
        <w:bidi w:val="0"/>
      </w:pPr>
      <w:bookmarkStart w:id="5" w:name="_Toc6904"/>
      <w:r>
        <w:rPr>
          <w:rFonts w:hint="eastAsia"/>
        </w:rPr>
        <w:t>三、区域环境质量现状、环境保护目标及评价标准</w:t>
      </w:r>
      <w:bookmarkEnd w:id="5"/>
    </w:p>
    <w:tbl>
      <w:tblPr>
        <w:tblStyle w:val="1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89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44" w:type="pct"/>
            <w:noWrap w:val="0"/>
            <w:vAlign w:val="center"/>
          </w:tcPr>
          <w:p>
            <w:pPr>
              <w:pStyle w:val="30"/>
              <w:bidi w:val="0"/>
            </w:pPr>
            <w:r>
              <w:rPr>
                <w:rFonts w:hint="eastAsia"/>
              </w:rPr>
              <w:t>区域环境质量现状</w:t>
            </w:r>
          </w:p>
        </w:tc>
        <w:tc>
          <w:tcPr>
            <w:tcW w:w="4555" w:type="pct"/>
            <w:noWrap w:val="0"/>
            <w:vAlign w:val="center"/>
          </w:tcPr>
          <w:p>
            <w:pPr>
              <w:bidi w:val="0"/>
              <w:rPr>
                <w:rFonts w:hint="default"/>
                <w:b/>
                <w:bCs/>
                <w:lang w:val="en-US" w:eastAsia="zh-CN"/>
              </w:rPr>
            </w:pPr>
            <w:r>
              <w:rPr>
                <w:rFonts w:hint="default"/>
                <w:b/>
                <w:bCs/>
                <w:lang w:val="en-US" w:eastAsia="zh-CN"/>
              </w:rPr>
              <w:t>3.</w:t>
            </w:r>
            <w:r>
              <w:rPr>
                <w:rFonts w:hint="eastAsia"/>
                <w:b/>
                <w:bCs/>
                <w:lang w:val="en-US" w:eastAsia="zh-CN"/>
              </w:rPr>
              <w:t>1</w:t>
            </w:r>
            <w:r>
              <w:rPr>
                <w:rFonts w:hint="default"/>
                <w:b/>
                <w:bCs/>
                <w:lang w:val="en-US" w:eastAsia="zh-CN"/>
              </w:rPr>
              <w:t>大气环境质量现状</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根据《建设项目环境影响报告表编制技术指南（污染影响类）（试行）》：“大气环境。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生态环境主管部门公开发布的质量数据：</w:t>
            </w:r>
          </w:p>
          <w:p>
            <w:pPr>
              <w:keepNext w:val="0"/>
              <w:keepLines w:val="0"/>
              <w:pageBreakBefore w:val="0"/>
              <w:widowControl w:val="0"/>
              <w:kinsoku/>
              <w:wordWrap/>
              <w:overflowPunct/>
              <w:topLinePunct w:val="0"/>
              <w:bidi w:val="0"/>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为了解项目周边环境空气质量状况，本评价收集了</w:t>
            </w:r>
            <w:r>
              <w:rPr>
                <w:rFonts w:hint="eastAsia" w:ascii="Times New Roman" w:hAnsi="Times New Roman" w:cs="Times New Roman"/>
                <w:sz w:val="24"/>
                <w:szCs w:val="24"/>
                <w:lang w:val="en-US" w:eastAsia="zh-CN"/>
              </w:rPr>
              <w:t>达州市生态环境局</w:t>
            </w:r>
            <w:r>
              <w:rPr>
                <w:rFonts w:hint="default" w:ascii="Times New Roman" w:hAnsi="Times New Roman" w:cs="Times New Roman"/>
                <w:sz w:val="24"/>
                <w:szCs w:val="24"/>
              </w:rPr>
              <w:t>公示的202</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年</w:t>
            </w:r>
            <w:r>
              <w:rPr>
                <w:rFonts w:hint="eastAsia" w:ascii="Times New Roman" w:hAnsi="Times New Roman" w:cs="Times New Roman"/>
                <w:sz w:val="24"/>
                <w:szCs w:val="24"/>
                <w:lang w:val="en-US" w:eastAsia="zh-CN"/>
              </w:rPr>
              <w:t>达州市</w:t>
            </w:r>
            <w:r>
              <w:rPr>
                <w:rFonts w:hint="default" w:ascii="Times New Roman" w:hAnsi="Times New Roman" w:cs="Times New Roman"/>
                <w:sz w:val="24"/>
                <w:szCs w:val="24"/>
              </w:rPr>
              <w:t>环境质量</w:t>
            </w:r>
            <w:r>
              <w:rPr>
                <w:rFonts w:hint="default" w:ascii="Times New Roman" w:hAnsi="Times New Roman" w:cs="Times New Roman"/>
                <w:sz w:val="24"/>
                <w:szCs w:val="24"/>
                <w:lang w:val="en-US" w:eastAsia="zh-CN"/>
              </w:rPr>
              <w:t>状况</w:t>
            </w:r>
            <w:r>
              <w:rPr>
                <w:rFonts w:hint="default" w:ascii="Times New Roman" w:hAnsi="Times New Roman" w:cs="Times New Roman"/>
                <w:sz w:val="24"/>
                <w:szCs w:val="24"/>
              </w:rPr>
              <w:t>。</w:t>
            </w:r>
          </w:p>
          <w:p>
            <w:pPr>
              <w:pStyle w:val="46"/>
              <w:rPr>
                <w:rFonts w:hint="default" w:ascii="Times New Roman" w:hAnsi="Times New Roman" w:cs="Times New Roman"/>
              </w:rPr>
            </w:pPr>
            <w:r>
              <w:rPr>
                <w:rFonts w:hint="default" w:ascii="Times New Roman" w:hAnsi="Times New Roman" w:eastAsia="宋体" w:cs="Times New Roman"/>
                <w:color w:val="auto"/>
                <w:sz w:val="24"/>
                <w:szCs w:val="24"/>
              </w:rPr>
              <w:t>根据</w:t>
            </w:r>
            <w:r>
              <w:rPr>
                <w:rFonts w:hint="eastAsia" w:ascii="Times New Roman" w:hAnsi="Times New Roman" w:cs="Times New Roman"/>
                <w:sz w:val="24"/>
                <w:szCs w:val="24"/>
                <w:lang w:val="en-US" w:eastAsia="zh-CN"/>
              </w:rPr>
              <w:t>达州市生态环境局</w:t>
            </w:r>
            <w:r>
              <w:rPr>
                <w:rFonts w:hint="default" w:ascii="Times New Roman" w:hAnsi="Times New Roman" w:eastAsia="宋体" w:cs="Times New Roman"/>
                <w:sz w:val="24"/>
                <w:szCs w:val="24"/>
              </w:rPr>
              <w:t>发布的《202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达州市</w:t>
            </w:r>
            <w:r>
              <w:rPr>
                <w:rFonts w:hint="default" w:ascii="Times New Roman" w:hAnsi="Times New Roman" w:eastAsia="宋体" w:cs="Times New Roman"/>
                <w:sz w:val="24"/>
                <w:szCs w:val="24"/>
              </w:rPr>
              <w:t>环境</w:t>
            </w:r>
            <w:r>
              <w:rPr>
                <w:rFonts w:hint="eastAsia" w:ascii="Times New Roman" w:hAnsi="Times New Roman" w:eastAsia="宋体" w:cs="Times New Roman"/>
                <w:sz w:val="24"/>
                <w:szCs w:val="24"/>
                <w:lang w:val="en-US" w:eastAsia="zh-CN"/>
              </w:rPr>
              <w:t>空气</w:t>
            </w:r>
            <w:r>
              <w:rPr>
                <w:rFonts w:hint="default" w:ascii="Times New Roman" w:hAnsi="Times New Roman" w:eastAsia="宋体" w:cs="Times New Roman"/>
                <w:sz w:val="24"/>
                <w:szCs w:val="24"/>
              </w:rPr>
              <w:t>质量</w:t>
            </w:r>
            <w:r>
              <w:rPr>
                <w:rFonts w:hint="eastAsia" w:ascii="Times New Roman" w:hAnsi="Times New Roman" w:eastAsia="宋体" w:cs="Times New Roman"/>
                <w:sz w:val="24"/>
                <w:szCs w:val="24"/>
                <w:lang w:val="en-US" w:eastAsia="zh-CN"/>
              </w:rPr>
              <w:t>状况</w:t>
            </w:r>
            <w:r>
              <w:rPr>
                <w:rFonts w:hint="default" w:ascii="Times New Roman" w:hAnsi="Times New Roman" w:eastAsia="宋体" w:cs="Times New Roman"/>
                <w:sz w:val="24"/>
                <w:szCs w:val="24"/>
              </w:rPr>
              <w:t>》，202</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达州市宣汉县</w:t>
            </w:r>
            <w:r>
              <w:rPr>
                <w:rFonts w:hint="default" w:ascii="Times New Roman" w:hAnsi="Times New Roman" w:eastAsia="宋体" w:cs="Times New Roman"/>
                <w:sz w:val="24"/>
                <w:szCs w:val="24"/>
              </w:rPr>
              <w:t>环境空气质量</w:t>
            </w:r>
            <w:r>
              <w:rPr>
                <w:rFonts w:hint="eastAsia" w:ascii="Times New Roman" w:hAnsi="Times New Roman" w:eastAsia="宋体" w:cs="Times New Roman"/>
                <w:sz w:val="24"/>
                <w:szCs w:val="24"/>
                <w:lang w:val="en-US" w:eastAsia="zh-CN"/>
              </w:rPr>
              <w:t>203</w:t>
            </w:r>
            <w:r>
              <w:rPr>
                <w:rFonts w:hint="default" w:ascii="Times New Roman" w:hAnsi="Times New Roman" w:eastAsia="宋体" w:cs="Times New Roman"/>
                <w:sz w:val="24"/>
                <w:szCs w:val="24"/>
              </w:rPr>
              <w:t>天优、</w:t>
            </w:r>
            <w:r>
              <w:rPr>
                <w:rFonts w:hint="eastAsia" w:ascii="Times New Roman" w:hAnsi="Times New Roman" w:eastAsia="宋体" w:cs="Times New Roman"/>
                <w:sz w:val="24"/>
                <w:szCs w:val="24"/>
                <w:lang w:val="en-US" w:eastAsia="zh-CN"/>
              </w:rPr>
              <w:t>136</w:t>
            </w:r>
            <w:r>
              <w:rPr>
                <w:rFonts w:hint="default" w:ascii="Times New Roman" w:hAnsi="Times New Roman" w:eastAsia="宋体" w:cs="Times New Roman"/>
                <w:sz w:val="24"/>
                <w:szCs w:val="24"/>
              </w:rPr>
              <w:t>天良、</w:t>
            </w:r>
            <w:r>
              <w:rPr>
                <w:rFonts w:hint="eastAsia" w:ascii="Times New Roman" w:hAnsi="Times New Roman" w:eastAsia="宋体" w:cs="Times New Roman"/>
                <w:sz w:val="24"/>
                <w:szCs w:val="24"/>
                <w:lang w:val="en-US" w:eastAsia="zh-CN"/>
              </w:rPr>
              <w:t>17</w:t>
            </w:r>
            <w:r>
              <w:rPr>
                <w:rFonts w:hint="default" w:ascii="Times New Roman" w:hAnsi="Times New Roman" w:eastAsia="宋体" w:cs="Times New Roman"/>
                <w:sz w:val="24"/>
                <w:szCs w:val="24"/>
              </w:rPr>
              <w:t>天轻度污染、</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天中度污染、</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天重度污染，空气质量达标率为</w:t>
            </w:r>
            <w:r>
              <w:rPr>
                <w:rFonts w:hint="eastAsia" w:ascii="Times New Roman" w:hAnsi="Times New Roman" w:eastAsia="宋体" w:cs="Times New Roman"/>
                <w:sz w:val="24"/>
                <w:szCs w:val="24"/>
                <w:lang w:val="en-US" w:eastAsia="zh-CN"/>
              </w:rPr>
              <w:t>92.9</w:t>
            </w:r>
            <w:r>
              <w:rPr>
                <w:rFonts w:hint="default" w:ascii="Times New Roman" w:hAnsi="Times New Roman" w:eastAsia="宋体" w:cs="Times New Roman"/>
                <w:sz w:val="24"/>
                <w:szCs w:val="24"/>
              </w:rPr>
              <w:t>%，主要污染物SO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、CO和O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的年均值分别为</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微克/立方米、</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微克/立方米、</w:t>
            </w: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rPr>
              <w:t>微克/立方米、</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微克/立方米、</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毫克/立方米和</w:t>
            </w:r>
            <w:r>
              <w:rPr>
                <w:rFonts w:hint="eastAsia" w:ascii="Times New Roman" w:hAnsi="Times New Roman" w:eastAsia="宋体" w:cs="Times New Roman"/>
                <w:sz w:val="24"/>
                <w:szCs w:val="24"/>
                <w:lang w:val="en-US" w:eastAsia="zh-CN"/>
              </w:rPr>
              <w:t>90</w:t>
            </w:r>
            <w:r>
              <w:rPr>
                <w:rFonts w:hint="default" w:ascii="Times New Roman" w:hAnsi="Times New Roman" w:eastAsia="宋体" w:cs="Times New Roman"/>
                <w:sz w:val="24"/>
                <w:szCs w:val="24"/>
              </w:rPr>
              <w:t>微克/立方米，6项基本污染物均满足《环境空气质量标准》（GB3095-2012）二级标准限值。</w:t>
            </w:r>
            <w:r>
              <w:rPr>
                <w:rFonts w:hint="default" w:ascii="Times New Roman" w:hAnsi="Times New Roman" w:cs="Times New Roman"/>
              </w:rPr>
              <w:t>环境空气质量统计结果</w:t>
            </w:r>
            <w:r>
              <w:rPr>
                <w:rFonts w:hint="eastAsia" w:hAnsi="Times New Roman" w:cs="Times New Roman"/>
                <w:lang w:val="en-US" w:eastAsia="zh-CN"/>
              </w:rPr>
              <w:t>如下</w:t>
            </w:r>
            <w:r>
              <w:rPr>
                <w:rFonts w:hint="default" w:ascii="Times New Roman" w:hAnsi="Times New Roman" w:cs="Times New Roman"/>
              </w:rPr>
              <w:t>：</w:t>
            </w:r>
          </w:p>
          <w:p>
            <w:pPr>
              <w:pStyle w:val="26"/>
              <w:bidi w:val="0"/>
              <w:rPr>
                <w:rFonts w:hint="default" w:ascii="Times New Roman" w:hAnsi="Times New Roman" w:eastAsia="黑体" w:cs="Times New Roman"/>
                <w:szCs w:val="21"/>
              </w:rPr>
            </w:pPr>
            <w:r>
              <w:rPr>
                <w:rFonts w:hint="default" w:ascii="Times New Roman" w:hAnsi="Times New Roman" w:cs="Times New Roman"/>
              </w:rPr>
              <w:t>表3-1  区域环境空气质量现状评价表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2361"/>
              <w:gridCol w:w="1425"/>
              <w:gridCol w:w="1425"/>
              <w:gridCol w:w="1425"/>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20" w:type="pct"/>
                  <w:vAlign w:val="center"/>
                </w:tcPr>
                <w:p>
                  <w:pPr>
                    <w:pStyle w:val="22"/>
                    <w:bidi w:val="0"/>
                    <w:rPr>
                      <w:rFonts w:hint="default" w:ascii="Times New Roman" w:hAnsi="Times New Roman" w:cs="Times New Roman"/>
                    </w:rPr>
                  </w:pPr>
                  <w:r>
                    <w:rPr>
                      <w:rFonts w:hint="default" w:ascii="Times New Roman" w:hAnsi="Times New Roman" w:cs="Times New Roman"/>
                    </w:rPr>
                    <w:t>污染物</w:t>
                  </w:r>
                </w:p>
              </w:tc>
              <w:tc>
                <w:tcPr>
                  <w:tcW w:w="1349" w:type="pct"/>
                  <w:vAlign w:val="center"/>
                </w:tcPr>
                <w:p>
                  <w:pPr>
                    <w:pStyle w:val="22"/>
                    <w:bidi w:val="0"/>
                    <w:rPr>
                      <w:rFonts w:hint="default" w:ascii="Times New Roman" w:hAnsi="Times New Roman" w:cs="Times New Roman"/>
                    </w:rPr>
                  </w:pPr>
                  <w:r>
                    <w:rPr>
                      <w:rFonts w:hint="default" w:ascii="Times New Roman" w:hAnsi="Times New Roman" w:cs="Times New Roman"/>
                    </w:rPr>
                    <w:t>年评价指标</w:t>
                  </w:r>
                </w:p>
              </w:tc>
              <w:tc>
                <w:tcPr>
                  <w:tcW w:w="814" w:type="pct"/>
                  <w:vAlign w:val="center"/>
                </w:tcPr>
                <w:p>
                  <w:pPr>
                    <w:pStyle w:val="22"/>
                    <w:bidi w:val="0"/>
                    <w:rPr>
                      <w:rFonts w:hint="default" w:ascii="Times New Roman" w:hAnsi="Times New Roman" w:cs="Times New Roman"/>
                    </w:rPr>
                  </w:pPr>
                  <w:r>
                    <w:rPr>
                      <w:rFonts w:hint="default" w:ascii="Times New Roman" w:hAnsi="Times New Roman" w:cs="Times New Roman"/>
                    </w:rPr>
                    <w:t>现状浓度</w:t>
                  </w:r>
                </w:p>
              </w:tc>
              <w:tc>
                <w:tcPr>
                  <w:tcW w:w="814" w:type="pct"/>
                  <w:vAlign w:val="center"/>
                </w:tcPr>
                <w:p>
                  <w:pPr>
                    <w:pStyle w:val="22"/>
                    <w:bidi w:val="0"/>
                    <w:rPr>
                      <w:rFonts w:hint="default" w:ascii="Times New Roman" w:hAnsi="Times New Roman" w:cs="Times New Roman"/>
                    </w:rPr>
                  </w:pPr>
                  <w:r>
                    <w:rPr>
                      <w:rFonts w:hint="default" w:ascii="Times New Roman" w:hAnsi="Times New Roman" w:cs="Times New Roman"/>
                    </w:rPr>
                    <w:t>标准值</w:t>
                  </w:r>
                </w:p>
              </w:tc>
              <w:tc>
                <w:tcPr>
                  <w:tcW w:w="814" w:type="pct"/>
                  <w:vAlign w:val="center"/>
                </w:tcPr>
                <w:p>
                  <w:pPr>
                    <w:pStyle w:val="22"/>
                    <w:bidi w:val="0"/>
                    <w:rPr>
                      <w:rFonts w:hint="default" w:ascii="Times New Roman" w:hAnsi="Times New Roman" w:cs="Times New Roman"/>
                    </w:rPr>
                  </w:pPr>
                  <w:r>
                    <w:rPr>
                      <w:rFonts w:hint="default" w:ascii="Times New Roman" w:hAnsi="Times New Roman" w:cs="Times New Roman"/>
                    </w:rPr>
                    <w:t>占标率</w:t>
                  </w:r>
                </w:p>
              </w:tc>
              <w:tc>
                <w:tcPr>
                  <w:tcW w:w="689" w:type="pct"/>
                  <w:vAlign w:val="center"/>
                </w:tcPr>
                <w:p>
                  <w:pPr>
                    <w:pStyle w:val="22"/>
                    <w:bidi w:val="0"/>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1" w:type="dxa"/>
                  <w:vAlign w:val="center"/>
                </w:tcPr>
                <w:p>
                  <w:pPr>
                    <w:pStyle w:val="22"/>
                    <w:bidi w:val="0"/>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2338" w:type="dxa"/>
                  <w:vAlign w:val="center"/>
                </w:tcPr>
                <w:p>
                  <w:pPr>
                    <w:pStyle w:val="22"/>
                    <w:bidi w:val="0"/>
                    <w:rPr>
                      <w:rFonts w:hint="default" w:ascii="Times New Roman" w:hAnsi="Times New Roman" w:cs="Times New Roman"/>
                    </w:rPr>
                  </w:pPr>
                  <w:r>
                    <w:rPr>
                      <w:rFonts w:hint="default" w:ascii="Times New Roman" w:hAnsi="Times New Roman" w:cs="Times New Roman"/>
                    </w:rPr>
                    <w:t>年均值</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6</w:t>
                  </w:r>
                  <w:r>
                    <w:rPr>
                      <w:rFonts w:hint="default" w:ascii="Times New Roman" w:hAnsi="Times New Roman" w:cs="Times New Roman"/>
                    </w:rPr>
                    <w:t>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default" w:ascii="Times New Roman" w:hAnsi="Times New Roman" w:cs="Times New Roman"/>
                    </w:rPr>
                    <w:t>60µg/m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default" w:ascii="Times New Roman" w:hAnsi="Times New Roman" w:cs="Times New Roman"/>
                      <w:lang w:val="en-US" w:eastAsia="zh-CN"/>
                    </w:rPr>
                    <w:t>1</w:t>
                  </w:r>
                  <w:r>
                    <w:rPr>
                      <w:rFonts w:hint="eastAsia" w:cs="Times New Roman"/>
                      <w:lang w:val="en-US" w:eastAsia="zh-CN"/>
                    </w:rPr>
                    <w:t>0</w:t>
                  </w:r>
                  <w:r>
                    <w:rPr>
                      <w:rFonts w:hint="default" w:ascii="Times New Roman" w:hAnsi="Times New Roman" w:cs="Times New Roman"/>
                      <w:lang w:val="en-US" w:eastAsia="zh-CN"/>
                    </w:rPr>
                    <w:t>%</w:t>
                  </w:r>
                </w:p>
              </w:tc>
              <w:tc>
                <w:tcPr>
                  <w:tcW w:w="1195" w:type="dxa"/>
                  <w:vAlign w:val="center"/>
                </w:tcPr>
                <w:p>
                  <w:pPr>
                    <w:pStyle w:val="22"/>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1" w:type="dxa"/>
                  <w:vAlign w:val="center"/>
                </w:tcPr>
                <w:p>
                  <w:pPr>
                    <w:pStyle w:val="22"/>
                    <w:bidi w:val="0"/>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2338" w:type="dxa"/>
                  <w:vAlign w:val="center"/>
                </w:tcPr>
                <w:p>
                  <w:pPr>
                    <w:pStyle w:val="22"/>
                    <w:bidi w:val="0"/>
                    <w:rPr>
                      <w:rFonts w:hint="default" w:ascii="Times New Roman" w:hAnsi="Times New Roman" w:cs="Times New Roman"/>
                    </w:rPr>
                  </w:pPr>
                  <w:r>
                    <w:rPr>
                      <w:rFonts w:hint="default" w:ascii="Times New Roman" w:hAnsi="Times New Roman" w:cs="Times New Roman"/>
                    </w:rPr>
                    <w:t>年均值</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20</w:t>
                  </w:r>
                  <w:r>
                    <w:rPr>
                      <w:rFonts w:hint="default" w:ascii="Times New Roman" w:hAnsi="Times New Roman" w:cs="Times New Roman"/>
                    </w:rPr>
                    <w:t>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default" w:ascii="Times New Roman" w:hAnsi="Times New Roman" w:cs="Times New Roman"/>
                    </w:rPr>
                    <w:t>40µg/m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50</w:t>
                  </w:r>
                  <w:r>
                    <w:rPr>
                      <w:rFonts w:hint="default" w:ascii="Times New Roman" w:hAnsi="Times New Roman" w:cs="Times New Roman"/>
                      <w:lang w:val="en-US" w:eastAsia="zh-CN"/>
                    </w:rPr>
                    <w:t>.00%</w:t>
                  </w:r>
                </w:p>
              </w:tc>
              <w:tc>
                <w:tcPr>
                  <w:tcW w:w="1195" w:type="dxa"/>
                  <w:vAlign w:val="center"/>
                </w:tcPr>
                <w:p>
                  <w:pPr>
                    <w:pStyle w:val="22"/>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1" w:type="dxa"/>
                  <w:vAlign w:val="center"/>
                </w:tcPr>
                <w:p>
                  <w:pPr>
                    <w:pStyle w:val="22"/>
                    <w:bidi w:val="0"/>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2338" w:type="dxa"/>
                  <w:vAlign w:val="center"/>
                </w:tcPr>
                <w:p>
                  <w:pPr>
                    <w:pStyle w:val="22"/>
                    <w:bidi w:val="0"/>
                    <w:rPr>
                      <w:rFonts w:hint="default" w:ascii="Times New Roman" w:hAnsi="Times New Roman" w:cs="Times New Roman"/>
                    </w:rPr>
                  </w:pPr>
                  <w:r>
                    <w:rPr>
                      <w:rFonts w:hint="default" w:ascii="Times New Roman" w:hAnsi="Times New Roman" w:cs="Times New Roman"/>
                    </w:rPr>
                    <w:t>年均值</w:t>
                  </w:r>
                </w:p>
              </w:tc>
              <w:tc>
                <w:tcPr>
                  <w:tcW w:w="1411" w:type="dxa"/>
                  <w:vAlign w:val="center"/>
                </w:tcPr>
                <w:p>
                  <w:pPr>
                    <w:pStyle w:val="22"/>
                    <w:bidi w:val="0"/>
                    <w:rPr>
                      <w:rFonts w:hint="default" w:ascii="Times New Roman" w:hAnsi="Times New Roman" w:cs="Times New Roman"/>
                    </w:rPr>
                  </w:pPr>
                  <w:r>
                    <w:rPr>
                      <w:rFonts w:hint="default" w:ascii="Times New Roman" w:hAnsi="Times New Roman" w:cs="Times New Roman"/>
                      <w:lang w:val="en-US" w:eastAsia="zh-CN"/>
                    </w:rPr>
                    <w:t>5</w:t>
                  </w:r>
                  <w:r>
                    <w:rPr>
                      <w:rFonts w:hint="eastAsia" w:cs="Times New Roman"/>
                      <w:lang w:val="en-US" w:eastAsia="zh-CN"/>
                    </w:rPr>
                    <w:t>5</w:t>
                  </w:r>
                  <w:r>
                    <w:rPr>
                      <w:rFonts w:hint="default" w:ascii="Times New Roman" w:hAnsi="Times New Roman" w:cs="Times New Roman"/>
                    </w:rPr>
                    <w:t>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default" w:ascii="Times New Roman" w:hAnsi="Times New Roman" w:cs="Times New Roman"/>
                    </w:rPr>
                    <w:t>70µg/m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78.6</w:t>
                  </w:r>
                  <w:r>
                    <w:rPr>
                      <w:rFonts w:hint="default" w:ascii="Times New Roman" w:hAnsi="Times New Roman" w:cs="Times New Roman"/>
                      <w:lang w:val="en-US" w:eastAsia="zh-CN"/>
                    </w:rPr>
                    <w:t>%</w:t>
                  </w:r>
                </w:p>
              </w:tc>
              <w:tc>
                <w:tcPr>
                  <w:tcW w:w="1195" w:type="dxa"/>
                  <w:vAlign w:val="center"/>
                </w:tcPr>
                <w:p>
                  <w:pPr>
                    <w:pStyle w:val="22"/>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1" w:type="dxa"/>
                  <w:vAlign w:val="center"/>
                </w:tcPr>
                <w:p>
                  <w:pPr>
                    <w:pStyle w:val="22"/>
                    <w:bidi w:val="0"/>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2.5</w:t>
                  </w:r>
                </w:p>
              </w:tc>
              <w:tc>
                <w:tcPr>
                  <w:tcW w:w="2338" w:type="dxa"/>
                  <w:vAlign w:val="center"/>
                </w:tcPr>
                <w:p>
                  <w:pPr>
                    <w:pStyle w:val="22"/>
                    <w:bidi w:val="0"/>
                    <w:rPr>
                      <w:rFonts w:hint="default" w:ascii="Times New Roman" w:hAnsi="Times New Roman" w:cs="Times New Roman"/>
                    </w:rPr>
                  </w:pPr>
                  <w:r>
                    <w:rPr>
                      <w:rFonts w:hint="default" w:ascii="Times New Roman" w:hAnsi="Times New Roman" w:cs="Times New Roman"/>
                    </w:rPr>
                    <w:t>年均值</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29</w:t>
                  </w:r>
                  <w:r>
                    <w:rPr>
                      <w:rFonts w:hint="default" w:ascii="Times New Roman" w:hAnsi="Times New Roman" w:cs="Times New Roman"/>
                    </w:rPr>
                    <w:t>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default" w:ascii="Times New Roman" w:hAnsi="Times New Roman" w:cs="Times New Roman"/>
                    </w:rPr>
                    <w:t>35µg/m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82.9</w:t>
                  </w:r>
                  <w:r>
                    <w:rPr>
                      <w:rFonts w:hint="default" w:ascii="Times New Roman" w:hAnsi="Times New Roman" w:cs="Times New Roman"/>
                      <w:lang w:val="en-US" w:eastAsia="zh-CN"/>
                    </w:rPr>
                    <w:t>%</w:t>
                  </w:r>
                </w:p>
              </w:tc>
              <w:tc>
                <w:tcPr>
                  <w:tcW w:w="1195" w:type="dxa"/>
                  <w:vAlign w:val="center"/>
                </w:tcPr>
                <w:p>
                  <w:pPr>
                    <w:pStyle w:val="22"/>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901" w:type="dxa"/>
                  <w:vAlign w:val="center"/>
                </w:tcPr>
                <w:p>
                  <w:pPr>
                    <w:pStyle w:val="22"/>
                    <w:bidi w:val="0"/>
                    <w:rPr>
                      <w:rFonts w:hint="default" w:ascii="Times New Roman" w:hAnsi="Times New Roman" w:cs="Times New Roman"/>
                    </w:rPr>
                  </w:pPr>
                  <w:r>
                    <w:rPr>
                      <w:rFonts w:hint="default" w:ascii="Times New Roman" w:hAnsi="Times New Roman" w:cs="Times New Roman"/>
                    </w:rPr>
                    <w:t>CO</w:t>
                  </w:r>
                </w:p>
              </w:tc>
              <w:tc>
                <w:tcPr>
                  <w:tcW w:w="2338" w:type="dxa"/>
                  <w:vAlign w:val="center"/>
                </w:tcPr>
                <w:p>
                  <w:pPr>
                    <w:pStyle w:val="22"/>
                    <w:bidi w:val="0"/>
                    <w:rPr>
                      <w:rFonts w:hint="default" w:ascii="Times New Roman" w:hAnsi="Times New Roman" w:cs="Times New Roman"/>
                    </w:rPr>
                  </w:pPr>
                  <w:r>
                    <w:rPr>
                      <w:rFonts w:hint="default" w:ascii="Times New Roman" w:hAnsi="Times New Roman" w:cs="Times New Roman"/>
                    </w:rPr>
                    <w:t>日均值第95百分位数</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1.2</w:t>
                  </w:r>
                  <w:r>
                    <w:rPr>
                      <w:rFonts w:hint="default" w:ascii="Times New Roman" w:hAnsi="Times New Roman" w:cs="Times New Roman"/>
                    </w:rPr>
                    <w:t>mg/m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default" w:ascii="Times New Roman" w:hAnsi="Times New Roman" w:cs="Times New Roman"/>
                    </w:rPr>
                    <w:t>4.0mg/m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30</w:t>
                  </w:r>
                  <w:r>
                    <w:rPr>
                      <w:rFonts w:hint="default" w:ascii="Times New Roman" w:hAnsi="Times New Roman" w:cs="Times New Roman"/>
                      <w:lang w:val="en-US" w:eastAsia="zh-CN"/>
                    </w:rPr>
                    <w:t>%</w:t>
                  </w:r>
                </w:p>
              </w:tc>
              <w:tc>
                <w:tcPr>
                  <w:tcW w:w="1195" w:type="dxa"/>
                  <w:vAlign w:val="center"/>
                </w:tcPr>
                <w:p>
                  <w:pPr>
                    <w:pStyle w:val="22"/>
                    <w:bidi w:val="0"/>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901" w:type="dxa"/>
                  <w:vAlign w:val="center"/>
                </w:tcPr>
                <w:p>
                  <w:pPr>
                    <w:pStyle w:val="22"/>
                    <w:bidi w:val="0"/>
                    <w:rPr>
                      <w:rFonts w:hint="default" w:ascii="Times New Roman" w:hAnsi="Times New Roman" w:cs="Times New Roman"/>
                    </w:rPr>
                  </w:pPr>
                  <w:r>
                    <w:rPr>
                      <w:rFonts w:hint="default" w:ascii="Times New Roman" w:hAnsi="Times New Roman" w:cs="Times New Roman"/>
                    </w:rPr>
                    <w:t>O</w:t>
                  </w:r>
                  <w:r>
                    <w:rPr>
                      <w:rFonts w:hint="default" w:ascii="Times New Roman" w:hAnsi="Times New Roman" w:cs="Times New Roman"/>
                      <w:vertAlign w:val="subscript"/>
                    </w:rPr>
                    <w:t>3</w:t>
                  </w:r>
                </w:p>
              </w:tc>
              <w:tc>
                <w:tcPr>
                  <w:tcW w:w="2338" w:type="dxa"/>
                  <w:vAlign w:val="center"/>
                </w:tcPr>
                <w:p>
                  <w:pPr>
                    <w:pStyle w:val="22"/>
                    <w:bidi w:val="0"/>
                    <w:rPr>
                      <w:rFonts w:hint="default" w:ascii="Times New Roman" w:hAnsi="Times New Roman" w:cs="Times New Roman"/>
                    </w:rPr>
                  </w:pPr>
                  <w:r>
                    <w:rPr>
                      <w:rFonts w:hint="default" w:ascii="Times New Roman" w:hAnsi="Times New Roman" w:cs="Times New Roman"/>
                    </w:rPr>
                    <w:t>日最大8小时均值第90百分位数</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90</w:t>
                  </w:r>
                  <w:r>
                    <w:rPr>
                      <w:rFonts w:hint="default" w:ascii="Times New Roman" w:hAnsi="Times New Roman" w:cs="Times New Roman"/>
                    </w:rPr>
                    <w:t>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default" w:ascii="Times New Roman" w:hAnsi="Times New Roman" w:cs="Times New Roman"/>
                    </w:rPr>
                    <w:t>160µg/m</w:t>
                  </w:r>
                  <w:r>
                    <w:rPr>
                      <w:rFonts w:hint="default" w:ascii="Times New Roman" w:hAnsi="Times New Roman" w:cs="Times New Roman"/>
                      <w:vertAlign w:val="superscript"/>
                    </w:rPr>
                    <w:t>3</w:t>
                  </w:r>
                </w:p>
              </w:tc>
              <w:tc>
                <w:tcPr>
                  <w:tcW w:w="1411" w:type="dxa"/>
                  <w:vAlign w:val="center"/>
                </w:tcPr>
                <w:p>
                  <w:pPr>
                    <w:pStyle w:val="22"/>
                    <w:bidi w:val="0"/>
                    <w:rPr>
                      <w:rFonts w:hint="default" w:ascii="Times New Roman" w:hAnsi="Times New Roman" w:cs="Times New Roman"/>
                    </w:rPr>
                  </w:pPr>
                  <w:r>
                    <w:rPr>
                      <w:rFonts w:hint="eastAsia" w:cs="Times New Roman"/>
                      <w:lang w:val="en-US" w:eastAsia="zh-CN"/>
                    </w:rPr>
                    <w:t>56.25</w:t>
                  </w:r>
                  <w:r>
                    <w:rPr>
                      <w:rFonts w:hint="default" w:ascii="Times New Roman" w:hAnsi="Times New Roman" w:cs="Times New Roman"/>
                      <w:lang w:val="en-US" w:eastAsia="zh-CN"/>
                    </w:rPr>
                    <w:t>%</w:t>
                  </w:r>
                </w:p>
              </w:tc>
              <w:tc>
                <w:tcPr>
                  <w:tcW w:w="1195" w:type="dxa"/>
                  <w:vAlign w:val="center"/>
                </w:tcPr>
                <w:p>
                  <w:pPr>
                    <w:pStyle w:val="22"/>
                    <w:bidi w:val="0"/>
                    <w:rPr>
                      <w:rFonts w:hint="default" w:ascii="Times New Roman" w:hAnsi="Times New Roman" w:cs="Times New Roman"/>
                    </w:rPr>
                  </w:pPr>
                  <w:r>
                    <w:rPr>
                      <w:rFonts w:hint="default" w:ascii="Times New Roman" w:hAnsi="Times New Roman" w:cs="Times New Roman"/>
                    </w:rPr>
                    <w:t>达标</w:t>
                  </w:r>
                </w:p>
              </w:tc>
            </w:tr>
          </w:tbl>
          <w:p>
            <w:pPr>
              <w:pStyle w:val="4"/>
              <w:rPr>
                <w:rFonts w:hint="default"/>
                <w:b w:val="0"/>
                <w:bCs/>
              </w:rPr>
            </w:pPr>
            <w:r>
              <w:rPr>
                <w:rFonts w:hint="default" w:ascii="Times New Roman" w:hAnsi="Times New Roman" w:cs="Times New Roman"/>
                <w:b w:val="0"/>
                <w:bCs/>
                <w:sz w:val="24"/>
                <w:szCs w:val="24"/>
              </w:rPr>
              <w:t>由上表可知，项目所在区域SO</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rPr>
              <w:t>、NO</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rPr>
              <w:t>、PM</w:t>
            </w:r>
            <w:r>
              <w:rPr>
                <w:rFonts w:hint="default" w:ascii="Times New Roman" w:hAnsi="Times New Roman" w:cs="Times New Roman"/>
                <w:b w:val="0"/>
                <w:bCs/>
                <w:sz w:val="24"/>
                <w:szCs w:val="24"/>
                <w:vertAlign w:val="subscript"/>
              </w:rPr>
              <w:t>10</w:t>
            </w:r>
            <w:r>
              <w:rPr>
                <w:rFonts w:hint="default" w:ascii="Times New Roman" w:hAnsi="Times New Roman" w:cs="Times New Roman"/>
                <w:b w:val="0"/>
                <w:bCs/>
                <w:sz w:val="24"/>
                <w:szCs w:val="24"/>
              </w:rPr>
              <w:t>、PM</w:t>
            </w:r>
            <w:r>
              <w:rPr>
                <w:rFonts w:hint="default" w:ascii="Times New Roman" w:hAnsi="Times New Roman" w:cs="Times New Roman"/>
                <w:b w:val="0"/>
                <w:bCs/>
                <w:sz w:val="24"/>
                <w:szCs w:val="24"/>
                <w:vertAlign w:val="subscript"/>
              </w:rPr>
              <w:t>2.5</w:t>
            </w:r>
            <w:r>
              <w:rPr>
                <w:rFonts w:hint="default" w:ascii="Times New Roman" w:hAnsi="Times New Roman" w:cs="Times New Roman"/>
                <w:b w:val="0"/>
                <w:bCs/>
                <w:sz w:val="24"/>
                <w:szCs w:val="24"/>
              </w:rPr>
              <w:t>、CO、O</w:t>
            </w:r>
            <w:r>
              <w:rPr>
                <w:rFonts w:hint="default" w:ascii="Times New Roman" w:hAnsi="Times New Roman" w:cs="Times New Roman"/>
                <w:b w:val="0"/>
                <w:bCs/>
                <w:sz w:val="24"/>
                <w:szCs w:val="24"/>
                <w:vertAlign w:val="subscript"/>
              </w:rPr>
              <w:t>3</w:t>
            </w:r>
            <w:r>
              <w:rPr>
                <w:rFonts w:hint="default" w:ascii="Times New Roman" w:hAnsi="Times New Roman" w:cs="Times New Roman"/>
                <w:b w:val="0"/>
                <w:bCs/>
                <w:sz w:val="24"/>
                <w:szCs w:val="24"/>
              </w:rPr>
              <w:t>满足《环境空气质量标准》（GB3095-2012）中二级标准要求，故项目所在区域环境空气质量为达标区。</w:t>
            </w:r>
          </w:p>
          <w:p>
            <w:pPr>
              <w:bidi w:val="0"/>
              <w:rPr>
                <w:rFonts w:hint="default"/>
                <w:b/>
                <w:bCs/>
                <w:lang w:val="en-US" w:eastAsia="zh-CN"/>
              </w:rPr>
            </w:pPr>
            <w:r>
              <w:rPr>
                <w:rFonts w:hint="default"/>
                <w:b/>
                <w:bCs/>
                <w:lang w:val="en-US" w:eastAsia="zh-CN"/>
              </w:rPr>
              <w:t>3.</w:t>
            </w:r>
            <w:r>
              <w:rPr>
                <w:rFonts w:hint="eastAsia"/>
                <w:b/>
                <w:bCs/>
                <w:lang w:val="en-US" w:eastAsia="zh-CN"/>
              </w:rPr>
              <w:t>2</w:t>
            </w:r>
            <w:r>
              <w:rPr>
                <w:rFonts w:hint="default"/>
                <w:b/>
                <w:bCs/>
                <w:lang w:val="en-US" w:eastAsia="zh-CN"/>
              </w:rPr>
              <w:t>地表水环境质量评价</w:t>
            </w:r>
          </w:p>
          <w:p>
            <w:pPr>
              <w:bidi w:val="0"/>
              <w:rPr>
                <w:rFonts w:hint="default"/>
              </w:rPr>
            </w:pPr>
            <w:r>
              <w:rPr>
                <w:rFonts w:hint="eastAsia"/>
                <w:lang w:val="en-US" w:eastAsia="zh-CN"/>
              </w:rPr>
              <w:t>本项目区域地表主要为后河、前河、中河；</w:t>
            </w:r>
            <w:r>
              <w:rPr>
                <w:rFonts w:hint="default"/>
              </w:rPr>
              <w:t>根据《202</w:t>
            </w:r>
            <w:r>
              <w:rPr>
                <w:rFonts w:hint="eastAsia"/>
                <w:lang w:val="en-US" w:eastAsia="zh-CN"/>
              </w:rPr>
              <w:t>4</w:t>
            </w:r>
            <w:r>
              <w:rPr>
                <w:rFonts w:hint="default"/>
              </w:rPr>
              <w:t>年</w:t>
            </w:r>
            <w:r>
              <w:rPr>
                <w:rFonts w:hint="eastAsia"/>
                <w:lang w:val="en-US" w:eastAsia="zh-CN"/>
              </w:rPr>
              <w:t>达州市地表水水质月报</w:t>
            </w:r>
            <w:r>
              <w:rPr>
                <w:rFonts w:hint="default"/>
              </w:rPr>
              <w:t>》，监测断面数据如下：</w:t>
            </w:r>
          </w:p>
          <w:p>
            <w:pPr>
              <w:pStyle w:val="26"/>
              <w:bidi w:val="0"/>
              <w:rPr>
                <w:rFonts w:hint="default" w:ascii="Times New Roman" w:hAnsi="Times New Roman" w:cs="Times New Roman"/>
              </w:rPr>
            </w:pPr>
            <w:r>
              <w:rPr>
                <w:rFonts w:hint="default" w:ascii="Times New Roman" w:hAnsi="Times New Roman" w:cs="Times New Roman"/>
              </w:rPr>
              <w:t>表3-</w:t>
            </w:r>
            <w:r>
              <w:rPr>
                <w:rFonts w:hint="eastAsia" w:cs="Times New Roman"/>
                <w:lang w:val="en-US" w:eastAsia="zh-CN"/>
              </w:rPr>
              <w:t>2</w:t>
            </w:r>
            <w:r>
              <w:rPr>
                <w:rFonts w:hint="default" w:ascii="Times New Roman" w:hAnsi="Times New Roman" w:cs="Times New Roman"/>
              </w:rPr>
              <w:t xml:space="preserve"> 区域地表水功能类别</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827"/>
              <w:gridCol w:w="1476"/>
              <w:gridCol w:w="639"/>
              <w:gridCol w:w="938"/>
              <w:gridCol w:w="938"/>
              <w:gridCol w:w="161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4" w:type="pct"/>
                  <w:tcBorders>
                    <w:top w:val="single" w:color="000000" w:sz="4" w:space="0"/>
                    <w:left w:val="single" w:color="000000" w:sz="4" w:space="0"/>
                    <w:bottom w:val="single" w:color="000000" w:sz="4" w:space="0"/>
                    <w:right w:val="single" w:color="000000" w:sz="4" w:space="0"/>
                    <w:tl2br w:val="nil"/>
                  </w:tcBorders>
                  <w:noWrap w:val="0"/>
                  <w:vAlign w:val="center"/>
                </w:tcPr>
                <w:p>
                  <w:pPr>
                    <w:pStyle w:val="22"/>
                    <w:bidi w:val="0"/>
                    <w:rPr>
                      <w:rFonts w:hint="default"/>
                    </w:rPr>
                  </w:pPr>
                  <w:r>
                    <w:rPr>
                      <w:rFonts w:hint="default"/>
                    </w:rPr>
                    <w:t>断面名称</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所在地</w:t>
                  </w:r>
                </w:p>
              </w:tc>
              <w:tc>
                <w:tcPr>
                  <w:tcW w:w="844"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断面类别</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规定</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上年度类别</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本年度类别</w:t>
                  </w:r>
                </w:p>
              </w:tc>
              <w:tc>
                <w:tcPr>
                  <w:tcW w:w="923"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主要污染指标/超标倍数</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单独评价指标/超标倍数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4"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lang w:val="en-US" w:eastAsia="zh-CN"/>
                    </w:rPr>
                  </w:pPr>
                  <w:r>
                    <w:rPr>
                      <w:rFonts w:hint="eastAsia"/>
                      <w:lang w:val="en-US" w:eastAsia="zh-CN"/>
                    </w:rPr>
                    <w:t>前河</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lang w:val="en-US" w:eastAsia="zh-CN"/>
                    </w:rPr>
                  </w:pPr>
                  <w:r>
                    <w:rPr>
                      <w:rFonts w:hint="eastAsia"/>
                      <w:lang w:val="en-US" w:eastAsia="zh-CN"/>
                    </w:rPr>
                    <w:t>土堡寨</w:t>
                  </w:r>
                </w:p>
              </w:tc>
              <w:tc>
                <w:tcPr>
                  <w:tcW w:w="844"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国控</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Ⅱ</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Ⅱ</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Ⅱ</w:t>
                  </w:r>
                </w:p>
              </w:tc>
              <w:tc>
                <w:tcPr>
                  <w:tcW w:w="923"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74"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lang w:eastAsia="zh-CN"/>
                    </w:rPr>
                  </w:pPr>
                  <w:r>
                    <w:rPr>
                      <w:rFonts w:hint="eastAsia"/>
                      <w:lang w:val="en-US" w:eastAsia="zh-CN"/>
                    </w:rPr>
                    <w:t>后河</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lang w:eastAsia="zh-CN"/>
                    </w:rPr>
                  </w:pPr>
                  <w:r>
                    <w:rPr>
                      <w:rFonts w:hint="eastAsia"/>
                      <w:lang w:val="en-US" w:eastAsia="zh-CN"/>
                    </w:rPr>
                    <w:t>旋坑坝</w:t>
                  </w:r>
                </w:p>
              </w:tc>
              <w:tc>
                <w:tcPr>
                  <w:tcW w:w="844"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lang w:eastAsia="zh-CN"/>
                    </w:rPr>
                  </w:pPr>
                  <w:r>
                    <w:rPr>
                      <w:rFonts w:hint="eastAsia"/>
                      <w:lang w:val="en-US" w:eastAsia="zh-CN"/>
                    </w:rPr>
                    <w:t>国考</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Ⅱ</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Ⅱ</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Ⅱ</w:t>
                  </w:r>
                </w:p>
              </w:tc>
              <w:tc>
                <w:tcPr>
                  <w:tcW w:w="923"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74"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lang w:val="en-US" w:eastAsia="zh-CN"/>
                    </w:rPr>
                  </w:pPr>
                  <w:r>
                    <w:rPr>
                      <w:rFonts w:hint="eastAsia"/>
                      <w:lang w:val="en-US" w:eastAsia="zh-CN"/>
                    </w:rPr>
                    <w:t>中河</w:t>
                  </w:r>
                </w:p>
              </w:tc>
              <w:tc>
                <w:tcPr>
                  <w:tcW w:w="473"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lang w:eastAsia="zh-CN"/>
                    </w:rPr>
                  </w:pPr>
                  <w:r>
                    <w:rPr>
                      <w:rFonts w:hint="eastAsia"/>
                      <w:lang w:val="en-US" w:eastAsia="zh-CN"/>
                    </w:rPr>
                    <w:t>普光</w:t>
                  </w:r>
                </w:p>
              </w:tc>
              <w:tc>
                <w:tcPr>
                  <w:tcW w:w="844"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eastAsia"/>
                      <w:lang w:eastAsia="zh-CN"/>
                    </w:rPr>
                  </w:pPr>
                  <w:r>
                    <w:rPr>
                      <w:rFonts w:hint="eastAsia"/>
                      <w:lang w:val="en-US" w:eastAsia="zh-CN"/>
                    </w:rPr>
                    <w:t>省控</w:t>
                  </w:r>
                </w:p>
              </w:tc>
              <w:tc>
                <w:tcPr>
                  <w:tcW w:w="365"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Ⅱ</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Ⅱ</w:t>
                  </w:r>
                </w:p>
              </w:tc>
              <w:tc>
                <w:tcPr>
                  <w:tcW w:w="536"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Ⅱ</w:t>
                  </w:r>
                </w:p>
              </w:tc>
              <w:tc>
                <w:tcPr>
                  <w:tcW w:w="923"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w:t>
                  </w:r>
                </w:p>
              </w:tc>
              <w:tc>
                <w:tcPr>
                  <w:tcW w:w="845" w:type="pct"/>
                  <w:tcBorders>
                    <w:top w:val="single" w:color="000000" w:sz="4" w:space="0"/>
                    <w:left w:val="single" w:color="000000" w:sz="4" w:space="0"/>
                    <w:bottom w:val="single" w:color="000000" w:sz="4" w:space="0"/>
                    <w:right w:val="single" w:color="000000" w:sz="4" w:space="0"/>
                  </w:tcBorders>
                  <w:noWrap w:val="0"/>
                  <w:vAlign w:val="center"/>
                </w:tcPr>
                <w:p>
                  <w:pPr>
                    <w:pStyle w:val="22"/>
                    <w:bidi w:val="0"/>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pPr>
                    <w:pStyle w:val="22"/>
                    <w:bidi w:val="0"/>
                    <w:jc w:val="left"/>
                    <w:rPr>
                      <w:rFonts w:hint="default"/>
                    </w:rPr>
                  </w:pPr>
                  <w:r>
                    <w:rPr>
                      <w:rFonts w:hint="default"/>
                    </w:rPr>
                    <w:t>注：1. 地表水环境评价执行《地表水环境质量标准》（GB3838-2002）和《地表水环境质量评价办法（试行）》（环办〔2011〕22号）。</w:t>
                  </w:r>
                </w:p>
                <w:p>
                  <w:pPr>
                    <w:pStyle w:val="22"/>
                    <w:bidi w:val="0"/>
                    <w:jc w:val="left"/>
                    <w:rPr>
                      <w:rFonts w:hint="default"/>
                    </w:rPr>
                  </w:pPr>
                  <w:r>
                    <w:rPr>
                      <w:rFonts w:hint="default"/>
                    </w:rPr>
                    <w:t>2.21项评价指标为：pH、溶解氧、高锰酸盐指数、五日生化需氧量、氨氮、石油类、挥发酚、汞、铅、镉、阴离子表面活性剂、铬（六价）、氟化物、总磷、氰化物、硫化物、砷、化学需氧量、铜、锌、硒。</w:t>
                  </w:r>
                </w:p>
                <w:p>
                  <w:pPr>
                    <w:pStyle w:val="22"/>
                    <w:bidi w:val="0"/>
                    <w:jc w:val="left"/>
                    <w:rPr>
                      <w:rFonts w:hint="default"/>
                    </w:rPr>
                  </w:pPr>
                  <w:r>
                    <w:rPr>
                      <w:rFonts w:hint="default"/>
                    </w:rPr>
                    <w:t>3. 超过Ⅲ类水质标准的指标为断面污染指标，取超标倍数最大的前三项为主要污染指标。</w:t>
                  </w:r>
                </w:p>
                <w:p>
                  <w:pPr>
                    <w:pStyle w:val="22"/>
                    <w:bidi w:val="0"/>
                    <w:jc w:val="left"/>
                    <w:rPr>
                      <w:rFonts w:hint="default"/>
                    </w:rPr>
                  </w:pPr>
                  <w:r>
                    <w:rPr>
                      <w:rFonts w:hint="default"/>
                    </w:rPr>
                    <w:t>4. 红江渡口、玉溪、跑马滩、大安、郪江口和梓江大桥6个国控断面采用国家反馈的采测分离数据（含部分市级监测数据）进行评价。</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auto"/>
                <w:kern w:val="0"/>
                <w:sz w:val="24"/>
                <w:szCs w:val="24"/>
                <w:shd w:val="clear" w:color="auto" w:fill="FFFFFF"/>
              </w:rPr>
            </w:pPr>
            <w:r>
              <w:rPr>
                <w:rFonts w:hint="default" w:ascii="Times New Roman" w:hAnsi="Times New Roman" w:eastAsia="宋体" w:cs="Times New Roman"/>
                <w:bCs/>
                <w:color w:val="auto"/>
                <w:kern w:val="0"/>
                <w:sz w:val="24"/>
                <w:szCs w:val="24"/>
                <w:shd w:val="clear" w:color="auto" w:fill="FFFFFF"/>
              </w:rPr>
              <w:t>根据上表可知，</w:t>
            </w:r>
            <w:r>
              <w:rPr>
                <w:rFonts w:hint="default" w:ascii="Times New Roman" w:hAnsi="Times New Roman" w:eastAsia="宋体" w:cs="Times New Roman"/>
                <w:bCs/>
                <w:color w:val="auto"/>
                <w:kern w:val="0"/>
                <w:sz w:val="24"/>
                <w:szCs w:val="24"/>
                <w:shd w:val="clear" w:color="auto" w:fill="FFFFFF"/>
                <w:lang w:val="en-US" w:eastAsia="zh-CN"/>
              </w:rPr>
              <w:t>项目区域</w:t>
            </w:r>
            <w:r>
              <w:rPr>
                <w:rFonts w:hint="default" w:ascii="Times New Roman" w:hAnsi="Times New Roman" w:eastAsia="宋体" w:cs="Times New Roman"/>
                <w:bCs/>
                <w:color w:val="auto"/>
                <w:kern w:val="0"/>
                <w:sz w:val="24"/>
                <w:szCs w:val="24"/>
                <w:shd w:val="clear" w:color="auto" w:fill="FFFFFF"/>
              </w:rPr>
              <w:t>地表水</w:t>
            </w:r>
            <w:r>
              <w:rPr>
                <w:rFonts w:hint="default" w:ascii="Times New Roman" w:hAnsi="Times New Roman" w:eastAsia="宋体" w:cs="Times New Roman"/>
                <w:bCs/>
                <w:color w:val="auto"/>
                <w:kern w:val="0"/>
                <w:sz w:val="24"/>
                <w:szCs w:val="24"/>
                <w:shd w:val="clear" w:color="auto" w:fill="FFFFFF"/>
                <w:lang w:val="en-US" w:eastAsia="zh-CN"/>
              </w:rPr>
              <w:t>环境总体能</w:t>
            </w:r>
            <w:r>
              <w:rPr>
                <w:rFonts w:hint="default" w:ascii="Times New Roman" w:hAnsi="Times New Roman" w:eastAsia="宋体" w:cs="Times New Roman"/>
                <w:bCs/>
                <w:color w:val="auto"/>
                <w:kern w:val="0"/>
                <w:sz w:val="24"/>
                <w:szCs w:val="24"/>
                <w:shd w:val="clear" w:color="auto" w:fill="FFFFFF"/>
              </w:rPr>
              <w:t>满足《地表水环境质量标准》（GB3838-2002）中的III类</w:t>
            </w:r>
            <w:r>
              <w:rPr>
                <w:rFonts w:hint="default" w:ascii="Times New Roman" w:hAnsi="Times New Roman" w:cs="Times New Roman"/>
                <w:bCs/>
                <w:color w:val="auto"/>
                <w:kern w:val="0"/>
                <w:sz w:val="24"/>
                <w:szCs w:val="24"/>
                <w:shd w:val="clear" w:color="auto" w:fill="FFFFFF"/>
              </w:rPr>
              <w:t>水域标准要求。因此，项目所在区域地表水环境质量现状良好。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3.</w:t>
            </w:r>
            <w:r>
              <w:rPr>
                <w:rFonts w:hint="eastAsia" w:ascii="Times New Roman" w:hAnsi="Times New Roman" w:eastAsia="宋体" w:cs="Times New Roman"/>
                <w:b/>
                <w:bCs/>
                <w:kern w:val="0"/>
                <w:sz w:val="24"/>
                <w:szCs w:val="24"/>
                <w:lang w:val="en-US" w:eastAsia="zh-CN" w:bidi="ar-SA"/>
              </w:rPr>
              <w:t>3</w:t>
            </w:r>
            <w:r>
              <w:rPr>
                <w:rFonts w:hint="default" w:ascii="Times New Roman" w:hAnsi="Times New Roman" w:eastAsia="宋体" w:cs="Times New Roman"/>
                <w:b/>
                <w:bCs/>
                <w:kern w:val="0"/>
                <w:sz w:val="24"/>
                <w:szCs w:val="24"/>
                <w:lang w:val="en-US" w:eastAsia="zh-CN" w:bidi="ar-SA"/>
              </w:rPr>
              <w:t>声环境质量现状</w:t>
            </w:r>
          </w:p>
          <w:p>
            <w:pPr>
              <w:pStyle w:val="31"/>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ascii="宋体" w:hAnsi="宋体" w:cs="宋体"/>
                <w:kern w:val="0"/>
                <w:szCs w:val="21"/>
              </w:rPr>
            </w:pPr>
            <w:r>
              <w:rPr>
                <w:rFonts w:hint="eastAsia" w:ascii="Times New Roman" w:hAnsi="Times New Roman" w:eastAsia="宋体" w:cs="Times New Roman"/>
                <w:b w:val="0"/>
                <w:bCs w:val="0"/>
                <w:color w:val="auto"/>
                <w:sz w:val="24"/>
                <w:szCs w:val="24"/>
                <w:highlight w:val="none"/>
                <w:lang w:val="en-US" w:eastAsia="zh-CN"/>
              </w:rPr>
              <w:t>本项目周边50m范围内无居民，可不进行声环境质量现状调查。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44" w:type="pct"/>
            <w:noWrap w:val="0"/>
            <w:vAlign w:val="center"/>
          </w:tcPr>
          <w:p>
            <w:pPr>
              <w:pStyle w:val="30"/>
              <w:bidi w:val="0"/>
              <w:rPr>
                <w:rFonts w:hint="eastAsia"/>
              </w:rPr>
            </w:pPr>
            <w:r>
              <w:rPr>
                <w:rFonts w:hint="eastAsia"/>
              </w:rPr>
              <w:t>环境保护目标</w:t>
            </w:r>
          </w:p>
        </w:tc>
        <w:tc>
          <w:tcPr>
            <w:tcW w:w="455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cs="Times New Roman"/>
                <w:b/>
                <w:bCs/>
                <w:kern w:val="0"/>
                <w:sz w:val="24"/>
                <w:szCs w:val="24"/>
                <w:lang w:val="en-US" w:eastAsia="zh-CN" w:bidi="ar-SA"/>
              </w:rPr>
            </w:pPr>
            <w:r>
              <w:rPr>
                <w:rFonts w:hint="eastAsia" w:cs="Times New Roman"/>
                <w:b/>
                <w:bCs/>
                <w:kern w:val="0"/>
                <w:sz w:val="24"/>
                <w:szCs w:val="24"/>
                <w:lang w:val="en-US" w:eastAsia="zh-CN" w:bidi="ar-SA"/>
              </w:rPr>
              <w:t>3.4环境保护目标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kern w:val="0"/>
                <w:sz w:val="24"/>
                <w:szCs w:val="24"/>
                <w:lang w:val="zh-CN" w:eastAsia="zh-CN" w:bidi="ar-SA"/>
              </w:rPr>
            </w:pPr>
            <w:r>
              <w:rPr>
                <w:rFonts w:hint="eastAsia" w:cs="Times New Roman"/>
                <w:b/>
                <w:bCs/>
                <w:kern w:val="0"/>
                <w:sz w:val="24"/>
                <w:szCs w:val="24"/>
                <w:lang w:val="en-US" w:eastAsia="zh-CN" w:bidi="ar-SA"/>
              </w:rPr>
              <w:t>1、</w:t>
            </w:r>
            <w:r>
              <w:rPr>
                <w:rFonts w:hint="default" w:ascii="Times New Roman" w:hAnsi="Times New Roman" w:eastAsia="宋体" w:cs="Times New Roman"/>
                <w:b/>
                <w:bCs/>
                <w:kern w:val="0"/>
                <w:sz w:val="24"/>
                <w:szCs w:val="24"/>
                <w:lang w:val="zh-CN" w:eastAsia="zh-CN" w:bidi="ar-SA"/>
              </w:rPr>
              <w:t>大气环境</w:t>
            </w:r>
          </w:p>
          <w:p>
            <w:pPr>
              <w:adjustRightInd w:val="0"/>
              <w:snapToGrid w:val="0"/>
              <w:spacing w:line="400" w:lineRule="exact"/>
              <w:ind w:left="-60" w:leftChars="-25" w:right="-60" w:rightChars="-25" w:firstLine="480" w:firstLineChars="200"/>
              <w:jc w:val="left"/>
              <w:rPr>
                <w:rFonts w:eastAsia="黑体"/>
                <w:color w:val="auto"/>
                <w:kern w:val="0"/>
                <w:szCs w:val="21"/>
                <w:lang w:val="zh-CN"/>
              </w:rPr>
            </w:pPr>
            <w:r>
              <w:rPr>
                <w:color w:val="auto"/>
                <w:szCs w:val="21"/>
              </w:rPr>
              <w:t>项目</w:t>
            </w:r>
            <w:r>
              <w:rPr>
                <w:rFonts w:hint="eastAsia"/>
                <w:color w:val="auto"/>
                <w:szCs w:val="21"/>
                <w:lang w:val="en-US" w:eastAsia="zh-CN"/>
              </w:rPr>
              <w:t>位于四川达州普光经济开发区普光工业区内，</w:t>
            </w:r>
            <w:r>
              <w:rPr>
                <w:color w:val="auto"/>
                <w:szCs w:val="21"/>
                <w:lang w:val="zh-CN"/>
              </w:rPr>
              <w:t>厂界外500</w:t>
            </w:r>
            <w:r>
              <w:rPr>
                <w:color w:val="auto"/>
                <w:szCs w:val="21"/>
              </w:rPr>
              <w:t>m</w:t>
            </w:r>
            <w:r>
              <w:rPr>
                <w:color w:val="auto"/>
                <w:szCs w:val="21"/>
                <w:lang w:val="zh-CN"/>
              </w:rPr>
              <w:t>范围内</w:t>
            </w:r>
            <w:r>
              <w:rPr>
                <w:color w:val="auto"/>
                <w:szCs w:val="21"/>
              </w:rPr>
              <w:t>无</w:t>
            </w:r>
            <w:r>
              <w:rPr>
                <w:color w:val="auto"/>
                <w:szCs w:val="21"/>
                <w:lang w:val="zh-CN"/>
              </w:rPr>
              <w:t>自然保护区、风景名胜区、文化区域</w:t>
            </w:r>
            <w:r>
              <w:rPr>
                <w:rFonts w:hint="eastAsia"/>
                <w:color w:val="auto"/>
                <w:szCs w:val="21"/>
                <w:lang w:val="zh-CN"/>
              </w:rPr>
              <w:t>、</w:t>
            </w:r>
            <w:r>
              <w:rPr>
                <w:rFonts w:hint="eastAsia"/>
                <w:color w:val="auto"/>
                <w:szCs w:val="21"/>
                <w:lang w:val="en-US" w:eastAsia="zh-CN"/>
              </w:rPr>
              <w:t>居民集中居住区等</w:t>
            </w:r>
            <w:r>
              <w:rPr>
                <w:color w:val="auto"/>
                <w:szCs w:val="21"/>
                <w:lang w:val="zh-CN"/>
              </w:rPr>
              <w:t>保护目标</w:t>
            </w:r>
            <w:r>
              <w:rPr>
                <w:color w:val="auto"/>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kern w:val="0"/>
                <w:sz w:val="24"/>
                <w:szCs w:val="24"/>
                <w:lang w:val="zh-CN" w:eastAsia="zh-CN" w:bidi="ar-SA"/>
              </w:rPr>
            </w:pPr>
            <w:r>
              <w:rPr>
                <w:rFonts w:hint="default" w:ascii="Times New Roman" w:hAnsi="Times New Roman" w:eastAsia="宋体" w:cs="Times New Roman"/>
                <w:b/>
                <w:bCs/>
                <w:kern w:val="0"/>
                <w:sz w:val="24"/>
                <w:szCs w:val="24"/>
                <w:lang w:val="zh-CN" w:eastAsia="zh-CN" w:bidi="ar-SA"/>
              </w:rPr>
              <w:t>2、声环境</w:t>
            </w:r>
          </w:p>
          <w:p>
            <w:pPr>
              <w:adjustRightInd w:val="0"/>
              <w:snapToGrid w:val="0"/>
              <w:spacing w:line="400" w:lineRule="exact"/>
              <w:ind w:left="-60" w:leftChars="-25" w:right="-60" w:rightChars="-25" w:firstLine="480" w:firstLineChars="200"/>
              <w:jc w:val="left"/>
              <w:rPr>
                <w:color w:val="auto"/>
                <w:szCs w:val="21"/>
                <w:lang w:val="zh-CN"/>
              </w:rPr>
            </w:pPr>
            <w:r>
              <w:rPr>
                <w:color w:val="auto"/>
                <w:szCs w:val="21"/>
              </w:rPr>
              <w:t>项目</w:t>
            </w:r>
            <w:r>
              <w:rPr>
                <w:color w:val="auto"/>
                <w:szCs w:val="21"/>
                <w:lang w:val="zh-CN"/>
              </w:rPr>
              <w:t>厂界外50米范围内</w:t>
            </w:r>
            <w:r>
              <w:rPr>
                <w:rFonts w:hint="eastAsia"/>
                <w:color w:val="auto"/>
                <w:szCs w:val="21"/>
                <w:lang w:val="en-US" w:eastAsia="zh-CN"/>
              </w:rPr>
              <w:t>无住户、医院、学校等</w:t>
            </w:r>
            <w:r>
              <w:rPr>
                <w:color w:val="auto"/>
                <w:szCs w:val="21"/>
                <w:lang w:val="zh-CN"/>
              </w:rPr>
              <w:t>声环境保护目标。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kern w:val="0"/>
                <w:sz w:val="24"/>
                <w:szCs w:val="24"/>
                <w:lang w:val="zh-CN" w:eastAsia="zh-CN" w:bidi="ar-SA"/>
              </w:rPr>
            </w:pPr>
            <w:r>
              <w:rPr>
                <w:rFonts w:hint="default" w:ascii="Times New Roman" w:hAnsi="Times New Roman" w:eastAsia="宋体" w:cs="Times New Roman"/>
                <w:b/>
                <w:bCs/>
                <w:kern w:val="0"/>
                <w:sz w:val="24"/>
                <w:szCs w:val="24"/>
                <w:lang w:val="zh-CN" w:eastAsia="zh-CN" w:bidi="ar-SA"/>
              </w:rPr>
              <w:t>3、地下水环境</w:t>
            </w:r>
          </w:p>
          <w:p>
            <w:pPr>
              <w:adjustRightInd w:val="0"/>
              <w:snapToGrid w:val="0"/>
              <w:spacing w:line="400" w:lineRule="exact"/>
              <w:ind w:left="-60" w:leftChars="-25" w:right="-60" w:rightChars="-25" w:firstLine="480" w:firstLineChars="200"/>
              <w:jc w:val="left"/>
              <w:rPr>
                <w:color w:val="auto"/>
                <w:szCs w:val="21"/>
              </w:rPr>
            </w:pPr>
            <w:r>
              <w:rPr>
                <w:color w:val="auto"/>
                <w:szCs w:val="21"/>
              </w:rPr>
              <w:t>根据调查，项目</w:t>
            </w:r>
            <w:r>
              <w:rPr>
                <w:color w:val="auto"/>
                <w:szCs w:val="21"/>
                <w:lang w:val="zh-CN"/>
              </w:rPr>
              <w:t>厂界外500米范围内的</w:t>
            </w:r>
            <w:r>
              <w:rPr>
                <w:color w:val="auto"/>
                <w:szCs w:val="21"/>
              </w:rPr>
              <w:t>无</w:t>
            </w:r>
            <w:r>
              <w:rPr>
                <w:color w:val="auto"/>
                <w:szCs w:val="21"/>
                <w:lang w:val="zh-CN"/>
              </w:rPr>
              <w:t>地下水集中式饮用水水源和热水、矿泉水、温泉等特殊地下水资源。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kern w:val="0"/>
                <w:sz w:val="24"/>
                <w:szCs w:val="24"/>
                <w:lang w:val="zh-CN" w:eastAsia="zh-CN" w:bidi="ar-SA"/>
              </w:rPr>
            </w:pPr>
            <w:r>
              <w:rPr>
                <w:rFonts w:hint="default" w:ascii="Times New Roman" w:hAnsi="Times New Roman" w:eastAsia="宋体" w:cs="Times New Roman"/>
                <w:b/>
                <w:bCs/>
                <w:kern w:val="0"/>
                <w:sz w:val="24"/>
                <w:szCs w:val="24"/>
                <w:lang w:val="zh-CN" w:eastAsia="zh-CN" w:bidi="ar-SA"/>
              </w:rPr>
              <w:t>4、地</w:t>
            </w:r>
            <w:r>
              <w:rPr>
                <w:rFonts w:hint="eastAsia" w:ascii="Times New Roman" w:hAnsi="Times New Roman" w:eastAsia="宋体" w:cs="Times New Roman"/>
                <w:b/>
                <w:bCs/>
                <w:kern w:val="0"/>
                <w:sz w:val="24"/>
                <w:szCs w:val="24"/>
                <w:lang w:val="en-US" w:eastAsia="zh-CN" w:bidi="ar-SA"/>
              </w:rPr>
              <w:t>表</w:t>
            </w:r>
            <w:r>
              <w:rPr>
                <w:rFonts w:hint="default" w:ascii="Times New Roman" w:hAnsi="Times New Roman" w:eastAsia="宋体" w:cs="Times New Roman"/>
                <w:b/>
                <w:bCs/>
                <w:kern w:val="0"/>
                <w:sz w:val="24"/>
                <w:szCs w:val="24"/>
                <w:lang w:val="zh-CN" w:eastAsia="zh-CN" w:bidi="ar-SA"/>
              </w:rPr>
              <w:t>水环境</w:t>
            </w:r>
          </w:p>
          <w:p>
            <w:pPr>
              <w:autoSpaceDE w:val="0"/>
              <w:autoSpaceDN w:val="0"/>
              <w:adjustRightInd w:val="0"/>
              <w:snapToGrid w:val="0"/>
              <w:spacing w:line="400" w:lineRule="exact"/>
              <w:ind w:right="-36" w:rightChars="-15" w:firstLine="480" w:firstLineChars="200"/>
              <w:rPr>
                <w:color w:val="auto"/>
                <w:kern w:val="0"/>
                <w:sz w:val="22"/>
                <w:szCs w:val="22"/>
              </w:rPr>
            </w:pPr>
            <w:r>
              <w:rPr>
                <w:rFonts w:hint="default"/>
                <w:color w:val="auto"/>
                <w:szCs w:val="21"/>
                <w:lang w:val="en-US" w:eastAsia="zh-CN"/>
              </w:rPr>
              <w:t>项目区</w:t>
            </w:r>
            <w:r>
              <w:rPr>
                <w:rFonts w:hint="eastAsia"/>
                <w:color w:val="auto"/>
                <w:szCs w:val="21"/>
                <w:lang w:val="en-US" w:eastAsia="zh-CN"/>
              </w:rPr>
              <w:t>附近地表水体为后河，</w:t>
            </w:r>
            <w:r>
              <w:rPr>
                <w:rFonts w:hint="default"/>
                <w:color w:val="auto"/>
                <w:szCs w:val="21"/>
                <w:lang w:val="en-US" w:eastAsia="zh-CN"/>
              </w:rPr>
              <w:t>地表水主要保护</w:t>
            </w:r>
            <w:r>
              <w:rPr>
                <w:rFonts w:hint="eastAsia"/>
                <w:color w:val="auto"/>
                <w:szCs w:val="21"/>
                <w:lang w:val="en-US" w:eastAsia="zh-CN"/>
              </w:rPr>
              <w:t>后河</w:t>
            </w:r>
            <w:r>
              <w:rPr>
                <w:rFonts w:hint="default"/>
                <w:color w:val="auto"/>
                <w:szCs w:val="21"/>
                <w:lang w:val="en-US" w:eastAsia="zh-CN"/>
              </w:rPr>
              <w:t>水质</w:t>
            </w:r>
            <w:r>
              <w:rPr>
                <w:rFonts w:hint="default"/>
                <w:color w:val="auto"/>
                <w:szCs w:val="21"/>
              </w:rPr>
              <w:t>满足《地表水质量标准》（GB 3838-2002）Ⅲ类水域水质标准</w:t>
            </w:r>
            <w:r>
              <w:rPr>
                <w:rFonts w:hint="eastAsia"/>
                <w:color w:val="auto"/>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kern w:val="0"/>
                <w:sz w:val="24"/>
                <w:szCs w:val="24"/>
                <w:lang w:val="zh-CN" w:eastAsia="zh-CN" w:bidi="ar-SA"/>
              </w:rPr>
            </w:pPr>
            <w:r>
              <w:rPr>
                <w:rFonts w:hint="eastAsia" w:ascii="Times New Roman" w:hAnsi="Times New Roman" w:eastAsia="宋体" w:cs="Times New Roman"/>
                <w:b/>
                <w:bCs/>
                <w:kern w:val="0"/>
                <w:sz w:val="24"/>
                <w:szCs w:val="24"/>
                <w:lang w:val="en-US" w:eastAsia="zh-CN" w:bidi="ar-SA"/>
              </w:rPr>
              <w:t>5、</w:t>
            </w:r>
            <w:r>
              <w:rPr>
                <w:rFonts w:hint="default" w:ascii="Times New Roman" w:hAnsi="Times New Roman" w:eastAsia="宋体" w:cs="Times New Roman"/>
                <w:b/>
                <w:bCs/>
                <w:kern w:val="0"/>
                <w:sz w:val="24"/>
                <w:szCs w:val="24"/>
                <w:lang w:val="zh-CN" w:eastAsia="zh-CN" w:bidi="ar-SA"/>
              </w:rPr>
              <w:t>生态环境</w:t>
            </w:r>
          </w:p>
          <w:p>
            <w:pPr>
              <w:bidi w:val="0"/>
              <w:rPr>
                <w:rFonts w:hint="eastAsia" w:ascii="Times New Roman" w:hAnsi="Times New Roman" w:eastAsia="宋体" w:cs="Times New Roman"/>
                <w:b w:val="0"/>
                <w:bCs w:val="0"/>
                <w:color w:val="auto"/>
                <w:szCs w:val="24"/>
                <w:highlight w:val="none"/>
                <w:lang w:val="en-US" w:eastAsia="zh-CN"/>
              </w:rPr>
            </w:pPr>
            <w:r>
              <w:rPr>
                <w:lang w:val="zh-CN"/>
              </w:rPr>
              <w:t>根据现场调查，项目区域内不涉及自然保护区、森林公园及风景名胜区、生活饮用水水源保护区及其他需要特别保护区域，区域内无国家保护的重点野生动植物，无名木古树及珍稀动植物等，无特殊文物保护单位。</w:t>
            </w:r>
            <w: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444" w:type="pct"/>
            <w:noWrap w:val="0"/>
            <w:tcMar>
              <w:left w:w="28" w:type="dxa"/>
              <w:right w:w="28" w:type="dxa"/>
            </w:tcMar>
            <w:vAlign w:val="center"/>
          </w:tcPr>
          <w:p>
            <w:pPr>
              <w:pStyle w:val="30"/>
              <w:bidi w:val="0"/>
            </w:pPr>
            <w:r>
              <w:rPr>
                <w:rFonts w:hint="eastAsia"/>
              </w:rPr>
              <w:t>污染物排放控制标准</w:t>
            </w:r>
          </w:p>
        </w:tc>
        <w:tc>
          <w:tcPr>
            <w:tcW w:w="455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3.5 污染物排放控制标准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kern w:val="0"/>
                <w:sz w:val="24"/>
                <w:szCs w:val="24"/>
                <w:lang w:val="zh-CN" w:eastAsia="zh-CN" w:bidi="ar-SA"/>
              </w:rPr>
            </w:pPr>
            <w:r>
              <w:rPr>
                <w:rFonts w:hint="eastAsia" w:ascii="Times New Roman" w:hAnsi="Times New Roman" w:eastAsia="宋体" w:cs="Times New Roman"/>
                <w:b/>
                <w:bCs/>
                <w:kern w:val="0"/>
                <w:sz w:val="24"/>
                <w:szCs w:val="24"/>
                <w:lang w:val="zh-CN" w:eastAsia="zh-CN" w:bidi="ar-SA"/>
              </w:rPr>
              <w:t>1、废气</w:t>
            </w:r>
          </w:p>
          <w:p>
            <w:pPr>
              <w:autoSpaceDE w:val="0"/>
              <w:autoSpaceDN w:val="0"/>
              <w:adjustRightInd w:val="0"/>
              <w:snapToGrid w:val="0"/>
              <w:spacing w:line="400" w:lineRule="exact"/>
              <w:ind w:firstLine="480" w:firstLineChars="200"/>
              <w:jc w:val="both"/>
              <w:rPr>
                <w:rFonts w:hint="default" w:ascii="Times New Roman" w:hAnsi="Times New Roman" w:cs="Times New Roman"/>
                <w:color w:val="auto"/>
                <w:szCs w:val="21"/>
              </w:rPr>
            </w:pPr>
            <w:r>
              <w:rPr>
                <w:rFonts w:hint="default" w:ascii="Times New Roman" w:hAnsi="Times New Roman" w:cs="Times New Roman"/>
                <w:color w:val="auto"/>
                <w:szCs w:val="21"/>
              </w:rPr>
              <w:t>施工期扬尘执行《四川省施工场地扬尘排放标准》（DB512682-2020）。</w:t>
            </w:r>
          </w:p>
          <w:p>
            <w:pPr>
              <w:pStyle w:val="26"/>
              <w:bidi w:val="0"/>
              <w:rPr>
                <w:rFonts w:hint="default" w:ascii="Times New Roman" w:hAnsi="Times New Roman" w:eastAsia="黑体" w:cs="Times New Roman"/>
                <w:color w:val="auto"/>
                <w:kern w:val="0"/>
                <w:szCs w:val="20"/>
                <w:lang w:val="en-US" w:eastAsia="zh-CN"/>
              </w:rPr>
            </w:pPr>
            <w:r>
              <w:rPr>
                <w:rFonts w:hint="default"/>
                <w:lang w:val="zh-CN" w:eastAsia="zh-CN"/>
              </w:rPr>
              <w:t>表</w:t>
            </w:r>
            <w:r>
              <w:rPr>
                <w:rFonts w:hint="default"/>
                <w:lang w:val="en-US" w:eastAsia="zh-CN"/>
              </w:rPr>
              <w:t>3</w:t>
            </w:r>
            <w:r>
              <w:rPr>
                <w:rFonts w:hint="eastAsia"/>
                <w:lang w:val="en-US" w:eastAsia="zh-CN"/>
              </w:rPr>
              <w:t>-3</w:t>
            </w:r>
            <w:r>
              <w:rPr>
                <w:rFonts w:hint="default"/>
                <w:lang w:val="zh-CN" w:eastAsia="zh-CN"/>
              </w:rPr>
              <w:t xml:space="preserve"> </w:t>
            </w:r>
            <w:r>
              <w:rPr>
                <w:rFonts w:hint="default"/>
                <w:lang w:val="en-US" w:eastAsia="zh-CN"/>
              </w:rPr>
              <w:t>四川省施工场地扬尘排放限值</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3404"/>
              <w:gridCol w:w="1575"/>
              <w:gridCol w:w="1461"/>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22" w:type="pct"/>
                  <w:noWrap w:val="0"/>
                  <w:vAlign w:val="center"/>
                </w:tcPr>
                <w:p>
                  <w:pPr>
                    <w:pStyle w:val="22"/>
                    <w:bidi w:val="0"/>
                    <w:rPr>
                      <w:rFonts w:hint="default"/>
                      <w:lang w:val="en-US" w:eastAsia="zh-CN"/>
                    </w:rPr>
                  </w:pPr>
                  <w:r>
                    <w:rPr>
                      <w:rFonts w:hint="default"/>
                      <w:lang w:val="en-US" w:eastAsia="zh-CN"/>
                    </w:rPr>
                    <w:t>监测项目</w:t>
                  </w:r>
                </w:p>
              </w:tc>
              <w:tc>
                <w:tcPr>
                  <w:tcW w:w="1945" w:type="pct"/>
                  <w:noWrap w:val="0"/>
                  <w:vAlign w:val="center"/>
                </w:tcPr>
                <w:p>
                  <w:pPr>
                    <w:pStyle w:val="22"/>
                    <w:bidi w:val="0"/>
                    <w:rPr>
                      <w:rFonts w:hint="default"/>
                      <w:lang w:val="en-US" w:eastAsia="zh-CN"/>
                    </w:rPr>
                  </w:pPr>
                  <w:r>
                    <w:rPr>
                      <w:rFonts w:hint="default"/>
                      <w:lang w:val="en-US" w:eastAsia="zh-CN"/>
                    </w:rPr>
                    <w:t>区域</w:t>
                  </w:r>
                </w:p>
              </w:tc>
              <w:tc>
                <w:tcPr>
                  <w:tcW w:w="900" w:type="pct"/>
                  <w:noWrap w:val="0"/>
                  <w:vAlign w:val="center"/>
                </w:tcPr>
                <w:p>
                  <w:pPr>
                    <w:pStyle w:val="22"/>
                    <w:bidi w:val="0"/>
                    <w:rPr>
                      <w:rFonts w:hint="default"/>
                    </w:rPr>
                  </w:pPr>
                  <w:r>
                    <w:rPr>
                      <w:rFonts w:hint="default"/>
                      <w:lang w:val="en-US" w:eastAsia="zh-CN"/>
                    </w:rPr>
                    <w:t>施工阶段</w:t>
                  </w:r>
                </w:p>
              </w:tc>
              <w:tc>
                <w:tcPr>
                  <w:tcW w:w="835" w:type="pct"/>
                  <w:noWrap w:val="0"/>
                  <w:vAlign w:val="center"/>
                </w:tcPr>
                <w:p>
                  <w:pPr>
                    <w:pStyle w:val="22"/>
                    <w:bidi w:val="0"/>
                    <w:rPr>
                      <w:rFonts w:hint="default"/>
                      <w:lang w:val="en-US" w:eastAsia="zh-CN"/>
                    </w:rPr>
                  </w:pPr>
                  <w:r>
                    <w:rPr>
                      <w:rFonts w:hint="default"/>
                      <w:lang w:val="en-US" w:eastAsia="zh-CN"/>
                    </w:rPr>
                    <w:t>监测点排放限值</w:t>
                  </w:r>
                </w:p>
                <w:p>
                  <w:pPr>
                    <w:pStyle w:val="22"/>
                    <w:bidi w:val="0"/>
                    <w:rPr>
                      <w:rFonts w:hint="default"/>
                    </w:rPr>
                  </w:pPr>
                  <w:r>
                    <w:rPr>
                      <w:rFonts w:hint="default"/>
                      <w:lang w:val="en-US" w:eastAsia="zh-CN"/>
                    </w:rPr>
                    <w:t>（μg/m</w:t>
                  </w:r>
                  <w:r>
                    <w:rPr>
                      <w:rFonts w:hint="default"/>
                      <w:vertAlign w:val="superscript"/>
                      <w:lang w:val="en-US" w:eastAsia="zh-CN"/>
                    </w:rPr>
                    <w:t>3</w:t>
                  </w:r>
                  <w:r>
                    <w:rPr>
                      <w:rFonts w:hint="default"/>
                      <w:lang w:val="en-US" w:eastAsia="zh-CN"/>
                    </w:rPr>
                    <w:t>）</w:t>
                  </w:r>
                </w:p>
              </w:tc>
              <w:tc>
                <w:tcPr>
                  <w:tcW w:w="496" w:type="pct"/>
                  <w:noWrap w:val="0"/>
                  <w:vAlign w:val="center"/>
                </w:tcPr>
                <w:p>
                  <w:pPr>
                    <w:pStyle w:val="22"/>
                    <w:bidi w:val="0"/>
                    <w:rPr>
                      <w:rFonts w:hint="default"/>
                    </w:rPr>
                  </w:pPr>
                  <w:r>
                    <w:rPr>
                      <w:rFonts w:hint="default"/>
                      <w:lang w:val="en-US" w:eastAsia="zh-CN"/>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22" w:type="pct"/>
                  <w:vMerge w:val="restart"/>
                  <w:noWrap w:val="0"/>
                  <w:vAlign w:val="center"/>
                </w:tcPr>
                <w:p>
                  <w:pPr>
                    <w:pStyle w:val="22"/>
                    <w:bidi w:val="0"/>
                    <w:rPr>
                      <w:rFonts w:hint="default"/>
                      <w:lang w:val="en-US" w:eastAsia="zh-CN"/>
                    </w:rPr>
                  </w:pPr>
                  <w:r>
                    <w:rPr>
                      <w:rFonts w:hint="default"/>
                      <w:lang w:val="en-US" w:eastAsia="zh-CN"/>
                    </w:rPr>
                    <w:t>总悬浮颗粒物</w:t>
                  </w:r>
                </w:p>
                <w:p>
                  <w:pPr>
                    <w:pStyle w:val="22"/>
                    <w:bidi w:val="0"/>
                    <w:rPr>
                      <w:rFonts w:hint="default"/>
                      <w:lang w:val="en-US" w:eastAsia="zh-CN"/>
                    </w:rPr>
                  </w:pPr>
                  <w:r>
                    <w:rPr>
                      <w:rFonts w:hint="default"/>
                      <w:lang w:val="en-US" w:eastAsia="zh-CN"/>
                    </w:rPr>
                    <w:t>（TSP）</w:t>
                  </w:r>
                </w:p>
              </w:tc>
              <w:tc>
                <w:tcPr>
                  <w:tcW w:w="1945" w:type="pct"/>
                  <w:vMerge w:val="restart"/>
                  <w:noWrap w:val="0"/>
                  <w:vAlign w:val="center"/>
                </w:tcPr>
                <w:p>
                  <w:pPr>
                    <w:pStyle w:val="22"/>
                    <w:bidi w:val="0"/>
                    <w:rPr>
                      <w:rFonts w:hint="default"/>
                      <w:lang w:val="en-US" w:eastAsia="zh-CN"/>
                    </w:rPr>
                  </w:pPr>
                  <w:r>
                    <w:rPr>
                      <w:rFonts w:hint="default"/>
                      <w:lang w:val="en-US" w:eastAsia="zh-CN"/>
                    </w:rPr>
                    <w:t>成都市、自贡市、泸州市、德阳市、绵阳市、广元市、遂宁市、内江市、乐山市、南充市、宜宾市、广安市、达州市、巴中市、雅安市、眉山市、资阳市</w:t>
                  </w:r>
                </w:p>
              </w:tc>
              <w:tc>
                <w:tcPr>
                  <w:tcW w:w="900" w:type="pct"/>
                  <w:noWrap w:val="0"/>
                  <w:vAlign w:val="center"/>
                </w:tcPr>
                <w:p>
                  <w:pPr>
                    <w:pStyle w:val="22"/>
                    <w:bidi w:val="0"/>
                    <w:rPr>
                      <w:rFonts w:hint="default"/>
                    </w:rPr>
                  </w:pPr>
                  <w:r>
                    <w:rPr>
                      <w:rFonts w:hint="default"/>
                      <w:lang w:val="en-US" w:eastAsia="zh-CN"/>
                    </w:rPr>
                    <w:t>拆除工程/土方开挖/土方回填阶段</w:t>
                  </w:r>
                </w:p>
              </w:tc>
              <w:tc>
                <w:tcPr>
                  <w:tcW w:w="835" w:type="pct"/>
                  <w:noWrap w:val="0"/>
                  <w:vAlign w:val="center"/>
                </w:tcPr>
                <w:p>
                  <w:pPr>
                    <w:pStyle w:val="22"/>
                    <w:bidi w:val="0"/>
                    <w:rPr>
                      <w:rFonts w:hint="default"/>
                    </w:rPr>
                  </w:pPr>
                  <w:r>
                    <w:rPr>
                      <w:rFonts w:hint="default"/>
                      <w:lang w:val="en-US" w:eastAsia="zh-CN"/>
                    </w:rPr>
                    <w:t>600</w:t>
                  </w:r>
                </w:p>
              </w:tc>
              <w:tc>
                <w:tcPr>
                  <w:tcW w:w="496" w:type="pct"/>
                  <w:vMerge w:val="restart"/>
                  <w:noWrap w:val="0"/>
                  <w:vAlign w:val="center"/>
                </w:tcPr>
                <w:p>
                  <w:pPr>
                    <w:pStyle w:val="22"/>
                    <w:bidi w:val="0"/>
                    <w:rPr>
                      <w:rFonts w:hint="default"/>
                    </w:rPr>
                  </w:pPr>
                  <w:r>
                    <w:rPr>
                      <w:rFonts w:hint="default"/>
                      <w:lang w:val="en-US" w:eastAsia="zh-CN"/>
                    </w:rPr>
                    <w:t>自监测起持续15分钟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822" w:type="pct"/>
                  <w:vMerge w:val="continue"/>
                  <w:noWrap w:val="0"/>
                  <w:vAlign w:val="center"/>
                </w:tcPr>
                <w:p>
                  <w:pPr>
                    <w:pStyle w:val="22"/>
                    <w:bidi w:val="0"/>
                    <w:rPr>
                      <w:rFonts w:hint="default"/>
                      <w:lang w:val="en-US" w:eastAsia="zh-CN"/>
                    </w:rPr>
                  </w:pPr>
                </w:p>
              </w:tc>
              <w:tc>
                <w:tcPr>
                  <w:tcW w:w="1945" w:type="pct"/>
                  <w:vMerge w:val="continue"/>
                  <w:noWrap w:val="0"/>
                  <w:vAlign w:val="center"/>
                </w:tcPr>
                <w:p>
                  <w:pPr>
                    <w:pStyle w:val="22"/>
                    <w:bidi w:val="0"/>
                    <w:rPr>
                      <w:rFonts w:hint="default"/>
                      <w:lang w:val="en-US" w:eastAsia="zh-CN"/>
                    </w:rPr>
                  </w:pPr>
                </w:p>
              </w:tc>
              <w:tc>
                <w:tcPr>
                  <w:tcW w:w="900" w:type="pct"/>
                  <w:noWrap w:val="0"/>
                  <w:vAlign w:val="center"/>
                </w:tcPr>
                <w:p>
                  <w:pPr>
                    <w:pStyle w:val="22"/>
                    <w:bidi w:val="0"/>
                    <w:rPr>
                      <w:rFonts w:hint="default"/>
                      <w:lang w:val="en-US" w:eastAsia="zh-CN"/>
                    </w:rPr>
                  </w:pPr>
                  <w:r>
                    <w:rPr>
                      <w:rFonts w:hint="default"/>
                      <w:lang w:val="en-US" w:eastAsia="zh-CN"/>
                    </w:rPr>
                    <w:t>其他工程阶段</w:t>
                  </w:r>
                </w:p>
              </w:tc>
              <w:tc>
                <w:tcPr>
                  <w:tcW w:w="835" w:type="pct"/>
                  <w:noWrap w:val="0"/>
                  <w:vAlign w:val="center"/>
                </w:tcPr>
                <w:p>
                  <w:pPr>
                    <w:pStyle w:val="22"/>
                    <w:bidi w:val="0"/>
                    <w:rPr>
                      <w:rFonts w:hint="default"/>
                      <w:lang w:val="en-US" w:eastAsia="zh-CN"/>
                    </w:rPr>
                  </w:pPr>
                  <w:r>
                    <w:rPr>
                      <w:rFonts w:hint="default"/>
                      <w:lang w:val="en-US" w:eastAsia="zh-CN"/>
                    </w:rPr>
                    <w:t>250</w:t>
                  </w:r>
                </w:p>
              </w:tc>
              <w:tc>
                <w:tcPr>
                  <w:tcW w:w="496" w:type="pct"/>
                  <w:vMerge w:val="continue"/>
                  <w:noWrap w:val="0"/>
                  <w:vAlign w:val="center"/>
                </w:tcPr>
                <w:p>
                  <w:pPr>
                    <w:pStyle w:val="22"/>
                    <w:bidi w:val="0"/>
                    <w:rPr>
                      <w:rFonts w:hint="default"/>
                      <w:lang w:val="en-US" w:eastAsia="zh-CN"/>
                    </w:rPr>
                  </w:pPr>
                </w:p>
              </w:tc>
            </w:tr>
          </w:tbl>
          <w:p>
            <w:pPr>
              <w:keepNext w:val="0"/>
              <w:keepLines w:val="0"/>
              <w:pageBreakBefore w:val="0"/>
              <w:widowControl w:val="0"/>
              <w:kinsoku/>
              <w:wordWrap/>
              <w:overflowPunct/>
              <w:topLinePunct w:val="0"/>
              <w:bidi w:val="0"/>
              <w:adjustRightInd w:val="0"/>
              <w:snapToGrid w:val="0"/>
              <w:spacing w:line="400" w:lineRule="exact"/>
              <w:ind w:left="-60" w:leftChars="-25" w:right="-60" w:rightChars="-25" w:firstLine="480" w:firstLineChars="200"/>
              <w:jc w:val="both"/>
              <w:textAlignment w:val="auto"/>
              <w:rPr>
                <w:rFonts w:hint="eastAsia"/>
                <w:color w:val="auto"/>
                <w:szCs w:val="21"/>
                <w:lang w:val="en-US" w:eastAsia="zh-CN"/>
              </w:rPr>
            </w:pPr>
            <w:r>
              <w:rPr>
                <w:rFonts w:hint="default" w:ascii="Times New Roman" w:hAnsi="Times New Roman" w:eastAsia="宋体" w:cs="Times New Roman"/>
                <w:color w:val="auto"/>
                <w:szCs w:val="21"/>
                <w:lang w:val="en-US" w:eastAsia="zh-CN"/>
              </w:rPr>
              <w:t>营运期</w:t>
            </w:r>
            <w:r>
              <w:rPr>
                <w:color w:val="auto"/>
                <w:szCs w:val="21"/>
                <w:lang w:val="zh-CN"/>
              </w:rPr>
              <w:t>大气污染物</w:t>
            </w:r>
            <w:r>
              <w:rPr>
                <w:rFonts w:hint="eastAsia"/>
                <w:color w:val="auto"/>
                <w:szCs w:val="21"/>
                <w:lang w:val="en-US" w:eastAsia="zh-CN"/>
              </w:rPr>
              <w:t>执行标准及标准限值详见下表：</w:t>
            </w:r>
          </w:p>
          <w:p>
            <w:pPr>
              <w:jc w:val="center"/>
              <w:rPr>
                <w:rFonts w:hint="default" w:ascii="Times New Roman" w:hAnsi="Times New Roman" w:eastAsia="黑体" w:cs="Times New Roman"/>
                <w:b w:val="0"/>
                <w:bCs w:val="0"/>
                <w:sz w:val="21"/>
                <w:szCs w:val="21"/>
              </w:rPr>
            </w:pPr>
            <w:r>
              <w:rPr>
                <w:rFonts w:hint="default" w:ascii="Times New Roman" w:hAnsi="Times New Roman" w:eastAsia="黑体" w:cs="Times New Roman"/>
                <w:b w:val="0"/>
                <w:bCs w:val="0"/>
                <w:sz w:val="21"/>
                <w:szCs w:val="21"/>
              </w:rPr>
              <w:t>表</w:t>
            </w:r>
            <w:r>
              <w:rPr>
                <w:rFonts w:hint="default" w:ascii="Times New Roman" w:hAnsi="Times New Roman" w:eastAsia="黑体" w:cs="Times New Roman"/>
                <w:b w:val="0"/>
                <w:bCs w:val="0"/>
                <w:sz w:val="21"/>
                <w:szCs w:val="21"/>
                <w:lang w:val="en-US" w:eastAsia="zh-CN"/>
              </w:rPr>
              <w:t>3-</w:t>
            </w:r>
            <w:r>
              <w:rPr>
                <w:rFonts w:hint="eastAsia" w:ascii="Times New Roman" w:hAnsi="Times New Roman" w:eastAsia="黑体" w:cs="Times New Roman"/>
                <w:b w:val="0"/>
                <w:bCs w:val="0"/>
                <w:sz w:val="21"/>
                <w:szCs w:val="21"/>
                <w:lang w:val="en-US" w:eastAsia="zh-CN"/>
              </w:rPr>
              <w:t>4</w:t>
            </w:r>
            <w:r>
              <w:rPr>
                <w:rFonts w:hint="default" w:ascii="Times New Roman" w:hAnsi="Times New Roman" w:eastAsia="黑体" w:cs="Times New Roman"/>
                <w:b w:val="0"/>
                <w:bCs w:val="0"/>
                <w:sz w:val="21"/>
                <w:szCs w:val="21"/>
                <w:lang w:val="en-US" w:eastAsia="zh-CN"/>
              </w:rPr>
              <w:t xml:space="preserve"> </w:t>
            </w:r>
            <w:r>
              <w:rPr>
                <w:rFonts w:hint="default" w:ascii="Times New Roman" w:hAnsi="Times New Roman" w:eastAsia="黑体" w:cs="Times New Roman"/>
                <w:b w:val="0"/>
                <w:bCs w:val="0"/>
                <w:sz w:val="21"/>
                <w:szCs w:val="21"/>
              </w:rPr>
              <w:t>大气污染物</w:t>
            </w:r>
            <w:r>
              <w:rPr>
                <w:rFonts w:hint="default" w:ascii="Times New Roman" w:hAnsi="Times New Roman" w:eastAsia="黑体" w:cs="Times New Roman"/>
                <w:b w:val="0"/>
                <w:bCs w:val="0"/>
                <w:sz w:val="21"/>
                <w:szCs w:val="21"/>
                <w:lang w:eastAsia="zh-CN"/>
              </w:rPr>
              <w:t>有组织</w:t>
            </w:r>
            <w:r>
              <w:rPr>
                <w:rFonts w:hint="default" w:ascii="Times New Roman" w:hAnsi="Times New Roman" w:eastAsia="黑体" w:cs="Times New Roman"/>
                <w:b w:val="0"/>
                <w:bCs w:val="0"/>
                <w:sz w:val="21"/>
                <w:szCs w:val="21"/>
              </w:rPr>
              <w:t>排放标准限值</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743"/>
              <w:gridCol w:w="1614"/>
              <w:gridCol w:w="1177"/>
              <w:gridCol w:w="2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Merge w:val="restart"/>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污染物</w:t>
                  </w:r>
                </w:p>
              </w:tc>
              <w:tc>
                <w:tcPr>
                  <w:tcW w:w="995" w:type="pct"/>
                  <w:vMerge w:val="restart"/>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最高允许排放浓度（mg/m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w:t>
                  </w:r>
                </w:p>
              </w:tc>
              <w:tc>
                <w:tcPr>
                  <w:tcW w:w="1593" w:type="pct"/>
                  <w:gridSpan w:val="2"/>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最高允许排放速率（kg/h）</w:t>
                  </w:r>
                </w:p>
              </w:tc>
              <w:tc>
                <w:tcPr>
                  <w:tcW w:w="1648" w:type="pct"/>
                  <w:vMerge w:val="restart"/>
                  <w:tcBorders>
                    <w:tl2br w:val="nil"/>
                    <w:tr2bl w:val="nil"/>
                  </w:tcBorders>
                  <w:noWrap w:val="0"/>
                  <w:vAlign w:val="center"/>
                </w:tcPr>
                <w:p>
                  <w:pPr>
                    <w:pStyle w:val="28"/>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p>
              </w:tc>
              <w:tc>
                <w:tcPr>
                  <w:tcW w:w="995"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p>
              </w:tc>
              <w:tc>
                <w:tcPr>
                  <w:tcW w:w="921" w:type="pct"/>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排气筒高度（m）</w:t>
                  </w:r>
                </w:p>
              </w:tc>
              <w:tc>
                <w:tcPr>
                  <w:tcW w:w="672" w:type="pct"/>
                  <w:tcBorders>
                    <w:tl2br w:val="nil"/>
                    <w:tr2bl w:val="nil"/>
                  </w:tcBorders>
                  <w:noWrap w:val="0"/>
                  <w:vAlign w:val="center"/>
                </w:tcPr>
                <w:p>
                  <w:pPr>
                    <w:pStyle w:val="28"/>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排放速率</w:t>
                  </w:r>
                </w:p>
              </w:tc>
              <w:tc>
                <w:tcPr>
                  <w:tcW w:w="1648"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氟化物</w:t>
                  </w:r>
                </w:p>
              </w:tc>
              <w:tc>
                <w:tcPr>
                  <w:tcW w:w="995"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9.0</w:t>
                  </w:r>
                </w:p>
              </w:tc>
              <w:tc>
                <w:tcPr>
                  <w:tcW w:w="921"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67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0.1</w:t>
                  </w:r>
                </w:p>
              </w:tc>
              <w:tc>
                <w:tcPr>
                  <w:tcW w:w="1648" w:type="pct"/>
                  <w:vMerge w:val="restart"/>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《大气综合污染物排放标准》（GB16297-1996</w:t>
                  </w:r>
                  <w:r>
                    <w:rPr>
                      <w:rFonts w:hint="eastAsia"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硫酸雾</w:t>
                  </w:r>
                </w:p>
              </w:tc>
              <w:tc>
                <w:tcPr>
                  <w:tcW w:w="995"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45</w:t>
                  </w:r>
                </w:p>
              </w:tc>
              <w:tc>
                <w:tcPr>
                  <w:tcW w:w="921"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67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1648"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SO</w:t>
                  </w:r>
                  <w:r>
                    <w:rPr>
                      <w:rFonts w:hint="eastAsia" w:ascii="Times New Roman" w:hAnsi="Times New Roman" w:cs="Times New Roman"/>
                      <w:color w:val="auto"/>
                      <w:kern w:val="2"/>
                      <w:sz w:val="21"/>
                      <w:szCs w:val="21"/>
                      <w:vertAlign w:val="subscript"/>
                      <w:lang w:val="en-US" w:eastAsia="zh-CN"/>
                    </w:rPr>
                    <w:t>2</w:t>
                  </w:r>
                </w:p>
              </w:tc>
              <w:tc>
                <w:tcPr>
                  <w:tcW w:w="995"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550</w:t>
                  </w:r>
                </w:p>
              </w:tc>
              <w:tc>
                <w:tcPr>
                  <w:tcW w:w="921"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67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2.6</w:t>
                  </w:r>
                </w:p>
              </w:tc>
              <w:tc>
                <w:tcPr>
                  <w:tcW w:w="1648"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NO</w:t>
                  </w:r>
                  <w:r>
                    <w:rPr>
                      <w:rFonts w:hint="eastAsia" w:ascii="Times New Roman" w:hAnsi="Times New Roman" w:cs="Times New Roman"/>
                      <w:color w:val="auto"/>
                      <w:kern w:val="2"/>
                      <w:sz w:val="21"/>
                      <w:szCs w:val="21"/>
                      <w:vertAlign w:val="subscript"/>
                      <w:lang w:val="en-US" w:eastAsia="zh-CN"/>
                    </w:rPr>
                    <w:t>X</w:t>
                  </w:r>
                </w:p>
              </w:tc>
              <w:tc>
                <w:tcPr>
                  <w:tcW w:w="995"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240</w:t>
                  </w:r>
                </w:p>
              </w:tc>
              <w:tc>
                <w:tcPr>
                  <w:tcW w:w="921"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67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0.77</w:t>
                  </w:r>
                </w:p>
              </w:tc>
              <w:tc>
                <w:tcPr>
                  <w:tcW w:w="1648"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HCl</w:t>
                  </w:r>
                </w:p>
              </w:tc>
              <w:tc>
                <w:tcPr>
                  <w:tcW w:w="995"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100</w:t>
                  </w:r>
                </w:p>
              </w:tc>
              <w:tc>
                <w:tcPr>
                  <w:tcW w:w="921"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67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0.26</w:t>
                  </w:r>
                </w:p>
              </w:tc>
              <w:tc>
                <w:tcPr>
                  <w:tcW w:w="1648"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颗粒物</w:t>
                  </w:r>
                </w:p>
              </w:tc>
              <w:tc>
                <w:tcPr>
                  <w:tcW w:w="995"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120</w:t>
                  </w:r>
                </w:p>
              </w:tc>
              <w:tc>
                <w:tcPr>
                  <w:tcW w:w="921"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15</w:t>
                  </w:r>
                </w:p>
              </w:tc>
              <w:tc>
                <w:tcPr>
                  <w:tcW w:w="672" w:type="pct"/>
                  <w:tcBorders>
                    <w:tl2br w:val="nil"/>
                    <w:tr2bl w:val="nil"/>
                  </w:tcBorders>
                  <w:noWrap w:val="0"/>
                  <w:vAlign w:val="center"/>
                </w:tcPr>
                <w:p>
                  <w:pPr>
                    <w:pStyle w:val="28"/>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3.5</w:t>
                  </w:r>
                </w:p>
              </w:tc>
              <w:tc>
                <w:tcPr>
                  <w:tcW w:w="1648"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l2br w:val="nil"/>
                    <w:tr2bl w:val="nil"/>
                  </w:tcBorders>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VOCs</w:t>
                  </w:r>
                </w:p>
              </w:tc>
              <w:tc>
                <w:tcPr>
                  <w:tcW w:w="995" w:type="pct"/>
                  <w:tcBorders>
                    <w:tl2br w:val="nil"/>
                    <w:tr2bl w:val="nil"/>
                  </w:tcBorders>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60</w:t>
                  </w:r>
                </w:p>
              </w:tc>
              <w:tc>
                <w:tcPr>
                  <w:tcW w:w="921" w:type="pct"/>
                  <w:tcBorders>
                    <w:tl2br w:val="nil"/>
                    <w:tr2bl w:val="nil"/>
                  </w:tcBorders>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15</w:t>
                  </w:r>
                </w:p>
              </w:tc>
              <w:tc>
                <w:tcPr>
                  <w:tcW w:w="672" w:type="pct"/>
                  <w:tcBorders>
                    <w:tl2br w:val="nil"/>
                    <w:tr2bl w:val="nil"/>
                  </w:tcBorders>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3.4</w:t>
                  </w:r>
                </w:p>
              </w:tc>
              <w:tc>
                <w:tcPr>
                  <w:tcW w:w="1648" w:type="pct"/>
                  <w:tcBorders>
                    <w:tl2br w:val="nil"/>
                    <w:tr2bl w:val="nil"/>
                  </w:tcBorders>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rPr>
                    <w:t>《四川省固定污染源大气挥发性有机物排放标准》（DB51/2377-2017）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l2br w:val="nil"/>
                    <w:tr2bl w:val="nil"/>
                  </w:tcBorders>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氨</w:t>
                  </w:r>
                </w:p>
              </w:tc>
              <w:tc>
                <w:tcPr>
                  <w:tcW w:w="995" w:type="pct"/>
                  <w:tcBorders>
                    <w:tl2br w:val="nil"/>
                    <w:tr2bl w:val="nil"/>
                  </w:tcBorders>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921" w:type="pct"/>
                  <w:tcBorders>
                    <w:tl2br w:val="nil"/>
                    <w:tr2bl w:val="nil"/>
                  </w:tcBorders>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672" w:type="pct"/>
                  <w:tcBorders>
                    <w:tl2br w:val="nil"/>
                    <w:tr2bl w:val="nil"/>
                  </w:tcBorders>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4.9</w:t>
                  </w:r>
                </w:p>
              </w:tc>
              <w:tc>
                <w:tcPr>
                  <w:tcW w:w="1648" w:type="pct"/>
                  <w:vMerge w:val="restart"/>
                  <w:tcBorders>
                    <w:tl2br w:val="nil"/>
                    <w:tr2bl w:val="nil"/>
                  </w:tcBorders>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《恶臭污染物排放标准》（GB 14554-93）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2" w:type="pct"/>
                  <w:tcBorders>
                    <w:tl2br w:val="nil"/>
                    <w:tr2bl w:val="nil"/>
                  </w:tcBorders>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二硫化碳</w:t>
                  </w:r>
                </w:p>
              </w:tc>
              <w:tc>
                <w:tcPr>
                  <w:tcW w:w="995" w:type="pct"/>
                  <w:tcBorders>
                    <w:tl2br w:val="nil"/>
                    <w:tr2bl w:val="nil"/>
                  </w:tcBorders>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921" w:type="pct"/>
                  <w:tcBorders>
                    <w:tl2br w:val="nil"/>
                    <w:tr2bl w:val="nil"/>
                  </w:tcBorders>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672" w:type="pct"/>
                  <w:tcBorders>
                    <w:tl2br w:val="nil"/>
                    <w:tr2bl w:val="nil"/>
                  </w:tcBorders>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1648" w:type="pct"/>
                  <w:vMerge w:val="continue"/>
                  <w:tcBorders>
                    <w:tl2br w:val="nil"/>
                    <w:tr2bl w:val="nil"/>
                  </w:tcBorders>
                  <w:noWrap w:val="0"/>
                  <w:vAlign w:val="center"/>
                </w:tcPr>
                <w:p>
                  <w:pPr>
                    <w:pStyle w:val="28"/>
                    <w:ind w:firstLine="0" w:firstLineChars="0"/>
                    <w:rPr>
                      <w:rFonts w:hint="eastAsia" w:ascii="Times New Roman" w:hAnsi="Times New Roman" w:cs="Times New Roman"/>
                      <w:color w:val="auto"/>
                      <w:kern w:val="2"/>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440" w:lineRule="exact"/>
              <w:ind w:firstLine="0" w:firstLineChars="0"/>
              <w:jc w:val="center"/>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黑体" w:cs="Times New Roman"/>
                <w:b w:val="0"/>
                <w:bCs w:val="0"/>
                <w:sz w:val="21"/>
                <w:szCs w:val="21"/>
              </w:rPr>
              <w:t>表</w:t>
            </w:r>
            <w:r>
              <w:rPr>
                <w:rFonts w:hint="default" w:ascii="Times New Roman" w:hAnsi="Times New Roman" w:eastAsia="黑体" w:cs="Times New Roman"/>
                <w:b w:val="0"/>
                <w:bCs w:val="0"/>
                <w:sz w:val="21"/>
                <w:szCs w:val="21"/>
                <w:lang w:val="en-US" w:eastAsia="zh-CN"/>
              </w:rPr>
              <w:t>3-</w:t>
            </w:r>
            <w:r>
              <w:rPr>
                <w:rFonts w:hint="eastAsia" w:ascii="Times New Roman" w:hAnsi="Times New Roman" w:eastAsia="黑体" w:cs="Times New Roman"/>
                <w:b w:val="0"/>
                <w:bCs w:val="0"/>
                <w:sz w:val="21"/>
                <w:szCs w:val="21"/>
                <w:lang w:val="en-US" w:eastAsia="zh-CN"/>
              </w:rPr>
              <w:t>5</w:t>
            </w:r>
            <w:r>
              <w:rPr>
                <w:rFonts w:hint="default" w:ascii="Times New Roman" w:hAnsi="Times New Roman" w:eastAsia="黑体" w:cs="Times New Roman"/>
                <w:b w:val="0"/>
                <w:bCs w:val="0"/>
                <w:sz w:val="21"/>
                <w:szCs w:val="21"/>
                <w:lang w:val="en-US" w:eastAsia="zh-CN"/>
              </w:rPr>
              <w:t xml:space="preserve"> </w:t>
            </w:r>
            <w:r>
              <w:rPr>
                <w:rFonts w:hint="default" w:ascii="Times New Roman" w:hAnsi="Times New Roman" w:eastAsia="黑体" w:cs="Times New Roman"/>
                <w:b w:val="0"/>
                <w:bCs w:val="0"/>
                <w:sz w:val="21"/>
                <w:szCs w:val="21"/>
              </w:rPr>
              <w:t>大气污染物</w:t>
            </w:r>
            <w:r>
              <w:rPr>
                <w:rFonts w:hint="default" w:ascii="Times New Roman" w:hAnsi="Times New Roman" w:eastAsia="黑体" w:cs="Times New Roman"/>
                <w:b w:val="0"/>
                <w:bCs w:val="0"/>
                <w:sz w:val="21"/>
                <w:szCs w:val="21"/>
                <w:lang w:eastAsia="zh-CN"/>
              </w:rPr>
              <w:t>无组织</w:t>
            </w:r>
            <w:r>
              <w:rPr>
                <w:rFonts w:hint="default" w:ascii="Times New Roman" w:hAnsi="Times New Roman" w:eastAsia="黑体" w:cs="Times New Roman"/>
                <w:b w:val="0"/>
                <w:bCs w:val="0"/>
                <w:sz w:val="21"/>
                <w:szCs w:val="21"/>
              </w:rPr>
              <w:t>排放标准限值</w:t>
            </w:r>
          </w:p>
          <w:tbl>
            <w:tblPr>
              <w:tblStyle w:val="1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59"/>
              <w:gridCol w:w="2558"/>
              <w:gridCol w:w="4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vMerge w:val="restart"/>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污染物</w:t>
                  </w:r>
                </w:p>
              </w:tc>
              <w:tc>
                <w:tcPr>
                  <w:tcW w:w="1460" w:type="pct"/>
                  <w:vMerge w:val="restart"/>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无组织排放监控浓度限值（mg/m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w:t>
                  </w:r>
                </w:p>
              </w:tc>
              <w:tc>
                <w:tcPr>
                  <w:tcW w:w="2420" w:type="pct"/>
                  <w:vMerge w:val="restart"/>
                  <w:tcBorders>
                    <w:tl2br w:val="nil"/>
                    <w:tr2bl w:val="nil"/>
                  </w:tcBorders>
                  <w:noWrap w:val="0"/>
                  <w:vAlign w:val="center"/>
                </w:tcPr>
                <w:p>
                  <w:pPr>
                    <w:pStyle w:val="28"/>
                    <w:rPr>
                      <w:rFonts w:hint="default" w:ascii="Times New Roman" w:hAnsi="Times New Roman" w:eastAsia="宋体" w:cs="Times New Roman"/>
                      <w:color w:val="auto"/>
                      <w:kern w:val="2"/>
                      <w:sz w:val="21"/>
                      <w:szCs w:val="21"/>
                      <w:lang w:eastAsia="zh-CN"/>
                    </w:rPr>
                  </w:pPr>
                  <w:r>
                    <w:rPr>
                      <w:rFonts w:hint="default" w:ascii="Times New Roman" w:hAnsi="Times New Roman" w:eastAsia="宋体" w:cs="Times New Roman"/>
                      <w:color w:val="auto"/>
                      <w:kern w:val="2"/>
                      <w:sz w:val="21"/>
                      <w:szCs w:val="21"/>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p>
              </w:tc>
              <w:tc>
                <w:tcPr>
                  <w:tcW w:w="1460"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p>
              </w:tc>
              <w:tc>
                <w:tcPr>
                  <w:tcW w:w="2420"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VOCs</w:t>
                  </w:r>
                </w:p>
              </w:tc>
              <w:tc>
                <w:tcPr>
                  <w:tcW w:w="1460" w:type="pct"/>
                  <w:tcBorders>
                    <w:tl2br w:val="nil"/>
                    <w:tr2bl w:val="nil"/>
                  </w:tcBorders>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2.0</w:t>
                  </w:r>
                </w:p>
              </w:tc>
              <w:tc>
                <w:tcPr>
                  <w:tcW w:w="2420" w:type="pct"/>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《四川省固定污染源大气挥发性有机物排放标准》（DB51/2377-2017）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硫酸雾</w:t>
                  </w:r>
                </w:p>
              </w:tc>
              <w:tc>
                <w:tcPr>
                  <w:tcW w:w="1460" w:type="pct"/>
                  <w:tcBorders>
                    <w:tl2br w:val="nil"/>
                    <w:tr2bl w:val="nil"/>
                  </w:tcBorders>
                  <w:shd w:val="clear" w:color="auto" w:fill="auto"/>
                  <w:noWrap w:val="0"/>
                  <w:vAlign w:val="top"/>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1.2</w:t>
                  </w:r>
                </w:p>
              </w:tc>
              <w:tc>
                <w:tcPr>
                  <w:tcW w:w="2420" w:type="pct"/>
                  <w:vMerge w:val="restart"/>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《大气综合污染物排放标准》（GB16297-1996</w:t>
                  </w:r>
                  <w:r>
                    <w:rPr>
                      <w:rFonts w:hint="eastAsia"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颗粒物</w:t>
                  </w:r>
                </w:p>
              </w:tc>
              <w:tc>
                <w:tcPr>
                  <w:tcW w:w="1460"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rPr>
                    <w:t>1.0</w:t>
                  </w:r>
                </w:p>
              </w:tc>
              <w:tc>
                <w:tcPr>
                  <w:tcW w:w="2420"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二氧化硫</w:t>
                  </w:r>
                </w:p>
              </w:tc>
              <w:tc>
                <w:tcPr>
                  <w:tcW w:w="1460"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0.4</w:t>
                  </w:r>
                </w:p>
              </w:tc>
              <w:tc>
                <w:tcPr>
                  <w:tcW w:w="2420"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氮氧化物</w:t>
                  </w:r>
                </w:p>
              </w:tc>
              <w:tc>
                <w:tcPr>
                  <w:tcW w:w="1460"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0.12</w:t>
                  </w:r>
                </w:p>
              </w:tc>
              <w:tc>
                <w:tcPr>
                  <w:tcW w:w="2420"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氟化物</w:t>
                  </w:r>
                </w:p>
              </w:tc>
              <w:tc>
                <w:tcPr>
                  <w:tcW w:w="1460"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20</w:t>
                  </w:r>
                  <w:r>
                    <w:rPr>
                      <w:rFonts w:hint="default" w:ascii="Times New Roman" w:hAnsi="Times New Roman" w:cs="Times New Roman"/>
                      <w:color w:val="auto"/>
                      <w:kern w:val="2"/>
                      <w:sz w:val="21"/>
                      <w:szCs w:val="21"/>
                      <w:lang w:val="en-US" w:eastAsia="zh-CN"/>
                    </w:rPr>
                    <w:t>µ</w:t>
                  </w:r>
                  <w:r>
                    <w:rPr>
                      <w:rFonts w:hint="eastAsia" w:ascii="Times New Roman" w:hAnsi="Times New Roman" w:cs="Times New Roman"/>
                      <w:color w:val="auto"/>
                      <w:kern w:val="2"/>
                      <w:sz w:val="21"/>
                      <w:szCs w:val="21"/>
                      <w:lang w:val="en-US" w:eastAsia="zh-CN"/>
                    </w:rPr>
                    <w:t>g/m</w:t>
                  </w:r>
                  <w:r>
                    <w:rPr>
                      <w:rFonts w:hint="eastAsia" w:ascii="Times New Roman" w:hAnsi="Times New Roman" w:cs="Times New Roman"/>
                      <w:color w:val="auto"/>
                      <w:kern w:val="2"/>
                      <w:sz w:val="21"/>
                      <w:szCs w:val="21"/>
                      <w:vertAlign w:val="superscript"/>
                      <w:lang w:val="en-US" w:eastAsia="zh-CN"/>
                    </w:rPr>
                    <w:t>3</w:t>
                  </w:r>
                </w:p>
              </w:tc>
              <w:tc>
                <w:tcPr>
                  <w:tcW w:w="2420"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HCl</w:t>
                  </w:r>
                </w:p>
              </w:tc>
              <w:tc>
                <w:tcPr>
                  <w:tcW w:w="1460" w:type="pct"/>
                  <w:tcBorders>
                    <w:tl2br w:val="nil"/>
                    <w:tr2bl w:val="nil"/>
                  </w:tcBorders>
                  <w:shd w:val="clear" w:color="auto" w:fill="auto"/>
                  <w:noWrap w:val="0"/>
                  <w:vAlign w:val="center"/>
                </w:tcPr>
                <w:p>
                  <w:pPr>
                    <w:pStyle w:val="28"/>
                    <w:ind w:firstLine="0" w:firstLineChars="0"/>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0.2</w:t>
                  </w:r>
                </w:p>
              </w:tc>
              <w:tc>
                <w:tcPr>
                  <w:tcW w:w="2420"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shd w:val="clear" w:color="auto" w:fill="auto"/>
                  <w:noWrap w:val="0"/>
                  <w:vAlign w:val="center"/>
                </w:tcPr>
                <w:p>
                  <w:pPr>
                    <w:pStyle w:val="28"/>
                    <w:ind w:firstLine="0" w:firstLineChars="0"/>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氨</w:t>
                  </w:r>
                </w:p>
              </w:tc>
              <w:tc>
                <w:tcPr>
                  <w:tcW w:w="1460" w:type="pct"/>
                  <w:tcBorders>
                    <w:tl2br w:val="nil"/>
                    <w:tr2bl w:val="nil"/>
                  </w:tcBorders>
                  <w:shd w:val="clear" w:color="auto" w:fill="auto"/>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w:t>
                  </w:r>
                </w:p>
              </w:tc>
              <w:tc>
                <w:tcPr>
                  <w:tcW w:w="2420" w:type="pct"/>
                  <w:vMerge w:val="restart"/>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lang w:val="en-US" w:eastAsia="zh-CN"/>
                    </w:rPr>
                    <w:t>《恶臭污染物排放标准》（GB14554-93）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18" w:type="pct"/>
                  <w:tcBorders>
                    <w:tl2br w:val="nil"/>
                    <w:tr2bl w:val="nil"/>
                  </w:tcBorders>
                  <w:shd w:val="clear" w:color="auto" w:fill="auto"/>
                  <w:noWrap w:val="0"/>
                  <w:vAlign w:val="center"/>
                </w:tcPr>
                <w:p>
                  <w:pPr>
                    <w:pStyle w:val="28"/>
                    <w:ind w:firstLine="0" w:firstLineChars="0"/>
                    <w:rPr>
                      <w:rFonts w:hint="eastAsia"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二硫化碳</w:t>
                  </w:r>
                </w:p>
              </w:tc>
              <w:tc>
                <w:tcPr>
                  <w:tcW w:w="1460" w:type="pct"/>
                  <w:tcBorders>
                    <w:tl2br w:val="nil"/>
                    <w:tr2bl w:val="nil"/>
                  </w:tcBorders>
                  <w:shd w:val="clear" w:color="auto" w:fill="auto"/>
                  <w:noWrap w:val="0"/>
                  <w:vAlign w:val="center"/>
                </w:tcPr>
                <w:p>
                  <w:pPr>
                    <w:pStyle w:val="28"/>
                    <w:ind w:firstLine="0" w:firstLineChars="0"/>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3.0</w:t>
                  </w:r>
                </w:p>
              </w:tc>
              <w:tc>
                <w:tcPr>
                  <w:tcW w:w="2420" w:type="pct"/>
                  <w:vMerge w:val="continue"/>
                  <w:tcBorders>
                    <w:tl2br w:val="nil"/>
                    <w:tr2bl w:val="nil"/>
                  </w:tcBorders>
                  <w:noWrap w:val="0"/>
                  <w:vAlign w:val="center"/>
                </w:tcPr>
                <w:p>
                  <w:pPr>
                    <w:pStyle w:val="28"/>
                    <w:rPr>
                      <w:rFonts w:hint="default" w:ascii="Times New Roman" w:hAnsi="Times New Roman" w:eastAsia="宋体" w:cs="Times New Roman"/>
                      <w:color w:val="auto"/>
                      <w:kern w:val="2"/>
                      <w:sz w:val="21"/>
                      <w:szCs w:val="21"/>
                      <w:lang w:val="en-US" w:eastAsia="zh-CN"/>
                    </w:rPr>
                  </w:pPr>
                </w:p>
              </w:tc>
            </w:tr>
          </w:tbl>
          <w:p>
            <w:pPr>
              <w:spacing w:before="0" w:after="0" w:line="360" w:lineRule="auto"/>
              <w:ind w:right="0" w:firstLine="480" w:firstLineChars="200"/>
              <w:rPr>
                <w:sz w:val="24"/>
                <w:szCs w:val="24"/>
              </w:rPr>
            </w:pPr>
            <w:r>
              <w:rPr>
                <w:sz w:val="24"/>
                <w:szCs w:val="24"/>
              </w:rPr>
              <w:t>厂区内</w:t>
            </w:r>
            <w:r>
              <w:rPr>
                <w:rFonts w:hint="eastAsia"/>
                <w:sz w:val="24"/>
                <w:szCs w:val="24"/>
                <w:lang w:val="en-US" w:eastAsia="zh-CN"/>
              </w:rPr>
              <w:t>非甲烷总烃</w:t>
            </w:r>
            <w:r>
              <w:rPr>
                <w:sz w:val="24"/>
                <w:szCs w:val="24"/>
              </w:rPr>
              <w:t>排放限值参考执行《挥发性有机物无组织排放控制标准》（GB 37822-2019）表A.1的特别排放限值。</w:t>
            </w:r>
          </w:p>
          <w:p>
            <w:pPr>
              <w:pStyle w:val="26"/>
              <w:bidi w:val="0"/>
            </w:pPr>
            <w:r>
              <w:t>表3-</w:t>
            </w:r>
            <w:r>
              <w:rPr>
                <w:rFonts w:hint="eastAsia"/>
                <w:lang w:val="en-US" w:eastAsia="zh-CN"/>
              </w:rPr>
              <w:t>6</w:t>
            </w:r>
            <w:r>
              <w:t xml:space="preserve"> </w:t>
            </w:r>
            <w:r>
              <w:rPr>
                <w:rFonts w:hint="eastAsia"/>
              </w:rPr>
              <w:t xml:space="preserve"> </w:t>
            </w:r>
            <w:r>
              <w:t>厂区内</w:t>
            </w:r>
            <w:r>
              <w:rPr>
                <w:rFonts w:hint="eastAsia"/>
                <w:lang w:val="en-US" w:eastAsia="zh-CN"/>
              </w:rPr>
              <w:t>非甲烷总烃</w:t>
            </w:r>
            <w:r>
              <w:t>无组织排放限值</w:t>
            </w:r>
          </w:p>
          <w:tbl>
            <w:tblPr>
              <w:tblStyle w:val="16"/>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780"/>
              <w:gridCol w:w="2975"/>
              <w:gridCol w:w="219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34" w:type="pct"/>
                  <w:noWrap w:val="0"/>
                  <w:vAlign w:val="center"/>
                </w:tcPr>
                <w:p>
                  <w:pPr>
                    <w:pStyle w:val="22"/>
                    <w:bidi w:val="0"/>
                  </w:pPr>
                  <w:r>
                    <w:t>污染物项目</w:t>
                  </w:r>
                </w:p>
              </w:tc>
              <w:tc>
                <w:tcPr>
                  <w:tcW w:w="1016" w:type="pct"/>
                  <w:noWrap w:val="0"/>
                  <w:vAlign w:val="center"/>
                </w:tcPr>
                <w:p>
                  <w:pPr>
                    <w:pStyle w:val="22"/>
                    <w:bidi w:val="0"/>
                  </w:pPr>
                  <w:r>
                    <w:t>特别排放限值</w:t>
                  </w:r>
                </w:p>
              </w:tc>
              <w:tc>
                <w:tcPr>
                  <w:tcW w:w="1698" w:type="pct"/>
                  <w:noWrap w:val="0"/>
                  <w:vAlign w:val="center"/>
                </w:tcPr>
                <w:p>
                  <w:pPr>
                    <w:pStyle w:val="22"/>
                    <w:bidi w:val="0"/>
                  </w:pPr>
                  <w:r>
                    <w:t>限值含义</w:t>
                  </w:r>
                </w:p>
              </w:tc>
              <w:tc>
                <w:tcPr>
                  <w:tcW w:w="1250" w:type="pct"/>
                  <w:noWrap w:val="0"/>
                  <w:vAlign w:val="center"/>
                </w:tcPr>
                <w:p>
                  <w:pPr>
                    <w:pStyle w:val="22"/>
                    <w:bidi w:val="0"/>
                  </w:pPr>
                  <w:r>
                    <w:t>无组织排放监控位置</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34" w:type="pct"/>
                  <w:vMerge w:val="restart"/>
                  <w:noWrap w:val="0"/>
                  <w:vAlign w:val="center"/>
                </w:tcPr>
                <w:p>
                  <w:pPr>
                    <w:pStyle w:val="22"/>
                    <w:bidi w:val="0"/>
                  </w:pPr>
                  <w:r>
                    <w:t>NMHC</w:t>
                  </w:r>
                </w:p>
              </w:tc>
              <w:tc>
                <w:tcPr>
                  <w:tcW w:w="1016" w:type="pct"/>
                  <w:noWrap w:val="0"/>
                  <w:vAlign w:val="center"/>
                </w:tcPr>
                <w:p>
                  <w:pPr>
                    <w:pStyle w:val="22"/>
                    <w:bidi w:val="0"/>
                  </w:pPr>
                  <w:r>
                    <w:t>6</w:t>
                  </w:r>
                </w:p>
              </w:tc>
              <w:tc>
                <w:tcPr>
                  <w:tcW w:w="1698" w:type="pct"/>
                  <w:noWrap w:val="0"/>
                  <w:vAlign w:val="center"/>
                </w:tcPr>
                <w:p>
                  <w:pPr>
                    <w:pStyle w:val="22"/>
                    <w:bidi w:val="0"/>
                  </w:pPr>
                  <w:r>
                    <w:t>监控点处1h平均浓度值</w:t>
                  </w:r>
                </w:p>
              </w:tc>
              <w:tc>
                <w:tcPr>
                  <w:tcW w:w="1250" w:type="pct"/>
                  <w:vMerge w:val="restart"/>
                  <w:noWrap w:val="0"/>
                  <w:vAlign w:val="center"/>
                </w:tcPr>
                <w:p>
                  <w:pPr>
                    <w:pStyle w:val="22"/>
                    <w:bidi w:val="0"/>
                  </w:pPr>
                  <w:r>
                    <w:t>在厂房外设置监控点</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34" w:type="pct"/>
                  <w:vMerge w:val="continue"/>
                  <w:noWrap w:val="0"/>
                  <w:vAlign w:val="center"/>
                </w:tcPr>
                <w:p>
                  <w:pPr>
                    <w:pStyle w:val="22"/>
                    <w:bidi w:val="0"/>
                  </w:pPr>
                </w:p>
              </w:tc>
              <w:tc>
                <w:tcPr>
                  <w:tcW w:w="1016" w:type="pct"/>
                  <w:noWrap w:val="0"/>
                  <w:vAlign w:val="center"/>
                </w:tcPr>
                <w:p>
                  <w:pPr>
                    <w:pStyle w:val="22"/>
                    <w:bidi w:val="0"/>
                  </w:pPr>
                  <w:r>
                    <w:t>20</w:t>
                  </w:r>
                </w:p>
              </w:tc>
              <w:tc>
                <w:tcPr>
                  <w:tcW w:w="1698" w:type="pct"/>
                  <w:noWrap w:val="0"/>
                  <w:vAlign w:val="center"/>
                </w:tcPr>
                <w:p>
                  <w:pPr>
                    <w:pStyle w:val="22"/>
                    <w:bidi w:val="0"/>
                  </w:pPr>
                  <w:r>
                    <w:t>监控点处任意一次浓度值</w:t>
                  </w:r>
                </w:p>
              </w:tc>
              <w:tc>
                <w:tcPr>
                  <w:tcW w:w="1250" w:type="pct"/>
                  <w:vMerge w:val="continue"/>
                  <w:noWrap w:val="0"/>
                  <w:vAlign w:val="center"/>
                </w:tcPr>
                <w:p>
                  <w:pPr>
                    <w:pStyle w:val="22"/>
                    <w:bidi w:val="0"/>
                  </w:pPr>
                </w:p>
              </w:tc>
            </w:tr>
          </w:tbl>
          <w:p>
            <w:pPr>
              <w:spacing w:line="360" w:lineRule="auto"/>
              <w:ind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项目</w:t>
            </w:r>
            <w:r>
              <w:rPr>
                <w:rFonts w:hint="eastAsia" w:cs="Times New Roman"/>
                <w:b w:val="0"/>
                <w:bCs w:val="0"/>
                <w:sz w:val="24"/>
                <w:szCs w:val="24"/>
                <w:lang w:val="en-US" w:eastAsia="zh-CN"/>
              </w:rPr>
              <w:t>食堂</w:t>
            </w:r>
            <w:r>
              <w:rPr>
                <w:rFonts w:hint="default" w:ascii="Times New Roman" w:hAnsi="Times New Roman" w:cs="Times New Roman"/>
                <w:b w:val="0"/>
                <w:bCs w:val="0"/>
                <w:sz w:val="24"/>
                <w:szCs w:val="24"/>
              </w:rPr>
              <w:t>油烟执行《饮食业油烟排放标准(试行)》中限值标准。</w:t>
            </w:r>
          </w:p>
          <w:p>
            <w:pPr>
              <w:pStyle w:val="26"/>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w:t>
            </w:r>
            <w:r>
              <w:rPr>
                <w:rFonts w:hint="eastAsia" w:cs="Times New Roman"/>
                <w:lang w:val="en-US" w:eastAsia="zh-CN"/>
              </w:rPr>
              <w:t>7</w:t>
            </w:r>
            <w:r>
              <w:rPr>
                <w:rFonts w:hint="default" w:ascii="Times New Roman" w:hAnsi="Times New Roman" w:cs="Times New Roman"/>
              </w:rPr>
              <w:t xml:space="preserve"> 饮食业单位的油烟最高允许排放浓度和油烟净化设施最低去除效率</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64"/>
              <w:gridCol w:w="1761"/>
              <w:gridCol w:w="1761"/>
              <w:gridCol w:w="1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0"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规模</w:t>
                  </w:r>
                </w:p>
              </w:tc>
              <w:tc>
                <w:tcPr>
                  <w:tcW w:w="1006"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小型</w:t>
                  </w:r>
                </w:p>
              </w:tc>
              <w:tc>
                <w:tcPr>
                  <w:tcW w:w="1006"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中型</w:t>
                  </w:r>
                </w:p>
              </w:tc>
              <w:tc>
                <w:tcPr>
                  <w:tcW w:w="1006"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基准灶头数</w:t>
                  </w:r>
                </w:p>
              </w:tc>
              <w:tc>
                <w:tcPr>
                  <w:tcW w:w="1006"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≥1，＜3</w:t>
                  </w:r>
                </w:p>
              </w:tc>
              <w:tc>
                <w:tcPr>
                  <w:tcW w:w="1006" w:type="pct"/>
                </w:tcPr>
                <w:p>
                  <w:pPr>
                    <w:pStyle w:val="22"/>
                    <w:bidi w:val="0"/>
                    <w:rPr>
                      <w:rFonts w:hint="default" w:ascii="Times New Roman" w:hAnsi="Times New Roman" w:cs="Times New Roman"/>
                    </w:rPr>
                  </w:pPr>
                  <w:r>
                    <w:rPr>
                      <w:rFonts w:hint="default" w:ascii="Times New Roman" w:hAnsi="Times New Roman" w:cs="Times New Roman"/>
                      <w:lang w:val="en-US" w:eastAsia="zh-CN"/>
                    </w:rPr>
                    <w:t>≥3，＜6</w:t>
                  </w:r>
                </w:p>
              </w:tc>
              <w:tc>
                <w:tcPr>
                  <w:tcW w:w="1006" w:type="pct"/>
                </w:tcPr>
                <w:p>
                  <w:pPr>
                    <w:pStyle w:val="22"/>
                    <w:bidi w:val="0"/>
                    <w:rPr>
                      <w:rFonts w:hint="default" w:ascii="Times New Roman" w:hAnsi="Times New Roman" w:cs="Times New Roman"/>
                    </w:rPr>
                  </w:pPr>
                  <w:r>
                    <w:rPr>
                      <w:rFonts w:hint="default" w:ascii="Times New Roman" w:hAnsi="Times New Roman" w:cs="Times New Roman"/>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对应排气罩灶面总投影面积（m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w:t>
                  </w:r>
                </w:p>
              </w:tc>
              <w:tc>
                <w:tcPr>
                  <w:tcW w:w="1006" w:type="pct"/>
                </w:tcPr>
                <w:p>
                  <w:pPr>
                    <w:pStyle w:val="22"/>
                    <w:bidi w:val="0"/>
                    <w:rPr>
                      <w:rFonts w:hint="default" w:ascii="Times New Roman" w:hAnsi="Times New Roman" w:cs="Times New Roman"/>
                      <w:lang w:val="en-US"/>
                    </w:rPr>
                  </w:pPr>
                  <w:r>
                    <w:rPr>
                      <w:rFonts w:hint="default" w:ascii="Times New Roman" w:hAnsi="Times New Roman" w:cs="Times New Roman"/>
                      <w:lang w:val="en-US" w:eastAsia="zh-CN"/>
                    </w:rPr>
                    <w:t>≥1，＜3.3</w:t>
                  </w:r>
                </w:p>
              </w:tc>
              <w:tc>
                <w:tcPr>
                  <w:tcW w:w="1006" w:type="pct"/>
                </w:tcPr>
                <w:p>
                  <w:pPr>
                    <w:pStyle w:val="22"/>
                    <w:bidi w:val="0"/>
                    <w:rPr>
                      <w:rFonts w:hint="default" w:ascii="Times New Roman" w:hAnsi="Times New Roman" w:cs="Times New Roman"/>
                      <w:lang w:val="en-US"/>
                    </w:rPr>
                  </w:pPr>
                  <w:r>
                    <w:rPr>
                      <w:rFonts w:hint="default" w:ascii="Times New Roman" w:hAnsi="Times New Roman" w:cs="Times New Roman"/>
                      <w:lang w:val="en-US" w:eastAsia="zh-CN"/>
                    </w:rPr>
                    <w:t>≥3.3，＜6.6</w:t>
                  </w:r>
                </w:p>
              </w:tc>
              <w:tc>
                <w:tcPr>
                  <w:tcW w:w="1006" w:type="pct"/>
                </w:tcPr>
                <w:p>
                  <w:pPr>
                    <w:pStyle w:val="22"/>
                    <w:bidi w:val="0"/>
                    <w:rPr>
                      <w:rFonts w:hint="default" w:ascii="Times New Roman" w:hAnsi="Times New Roman" w:cs="Times New Roman"/>
                      <w:lang w:val="en-US"/>
                    </w:rPr>
                  </w:pPr>
                  <w:r>
                    <w:rPr>
                      <w:rFonts w:hint="default" w:ascii="Times New Roman" w:hAnsi="Times New Roman" w:cs="Times New Roman"/>
                      <w:lang w:val="en-US" w:eastAsia="zh-C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最高允许排放浓度（mg/m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tc>
              <w:tc>
                <w:tcPr>
                  <w:tcW w:w="3019" w:type="pct"/>
                  <w:gridSpan w:val="3"/>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pct"/>
                </w:tcPr>
                <w:p>
                  <w:pPr>
                    <w:pStyle w:val="22"/>
                    <w:bidi w:val="0"/>
                    <w:rPr>
                      <w:rFonts w:hint="default" w:ascii="Times New Roman" w:hAnsi="Times New Roman" w:cs="Times New Roman"/>
                      <w:lang w:val="en-US" w:eastAsia="zh-CN"/>
                    </w:rPr>
                  </w:pPr>
                  <w:r>
                    <w:rPr>
                      <w:rFonts w:hint="default" w:ascii="Times New Roman" w:hAnsi="Times New Roman" w:cs="Times New Roman"/>
                      <w:lang w:val="en-US" w:eastAsia="zh-CN"/>
                    </w:rPr>
                    <w:t>净化设施最低去除率（%）</w:t>
                  </w:r>
                </w:p>
              </w:tc>
              <w:tc>
                <w:tcPr>
                  <w:tcW w:w="1006"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60</w:t>
                  </w:r>
                </w:p>
              </w:tc>
              <w:tc>
                <w:tcPr>
                  <w:tcW w:w="1006"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75</w:t>
                  </w:r>
                </w:p>
              </w:tc>
              <w:tc>
                <w:tcPr>
                  <w:tcW w:w="1006" w:type="pct"/>
                </w:tcPr>
                <w:p>
                  <w:pPr>
                    <w:pStyle w:val="22"/>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85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rPr>
            </w:pPr>
            <w:r>
              <w:rPr>
                <w:rFonts w:hint="eastAsia"/>
                <w:color w:val="auto"/>
                <w:szCs w:val="21"/>
              </w:rPr>
              <w:t>项目生产废水</w:t>
            </w:r>
            <w:r>
              <w:rPr>
                <w:rFonts w:hint="eastAsia"/>
                <w:color w:val="auto"/>
                <w:szCs w:val="21"/>
                <w:lang w:val="en-US" w:eastAsia="zh-CN"/>
              </w:rPr>
              <w:t>经自建污水处理站处理后排入园区污水管网，生活污水经预处理池处理后排入园区污水管网；最终由园区污水处理厂处理后达标排放</w:t>
            </w:r>
            <w:r>
              <w:rPr>
                <w:color w:val="auto"/>
                <w:szCs w:val="21"/>
              </w:rPr>
              <w:t>。</w:t>
            </w:r>
            <w:r>
              <w:rPr>
                <w:rFonts w:hint="eastAsia"/>
              </w:rPr>
              <w:t xml:space="preserve">废水执行《污水综合排放标准》（GB8978-1996）中规定的三级标准。 </w:t>
            </w:r>
          </w:p>
          <w:p>
            <w:pPr>
              <w:pStyle w:val="26"/>
              <w:bidi w:val="0"/>
              <w:rPr>
                <w:rFonts w:hint="eastAsia"/>
                <w:lang w:val="en-US" w:eastAsia="zh-CN"/>
              </w:rPr>
            </w:pPr>
            <w:r>
              <w:rPr>
                <w:rFonts w:hint="eastAsia"/>
                <w:lang w:val="en-US" w:eastAsia="zh-CN"/>
              </w:rPr>
              <w:t xml:space="preserve">表3-8 污水综合排放标准三级标准 </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69"/>
              <w:gridCol w:w="869"/>
              <w:gridCol w:w="871"/>
              <w:gridCol w:w="871"/>
              <w:gridCol w:w="871"/>
              <w:gridCol w:w="892"/>
              <w:gridCol w:w="875"/>
              <w:gridCol w:w="876"/>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pPr>
                    <w:pStyle w:val="22"/>
                    <w:bidi w:val="0"/>
                    <w:rPr>
                      <w:rFonts w:hint="eastAsia"/>
                      <w:lang w:val="en-US" w:eastAsia="zh-CN"/>
                    </w:rPr>
                  </w:pPr>
                  <w:r>
                    <w:rPr>
                      <w:rFonts w:hint="eastAsia"/>
                      <w:lang w:val="en-US" w:eastAsia="zh-CN"/>
                    </w:rPr>
                    <w:t>污染物</w:t>
                  </w:r>
                </w:p>
              </w:tc>
              <w:tc>
                <w:tcPr>
                  <w:tcW w:w="497" w:type="pct"/>
                  <w:noWrap w:val="0"/>
                  <w:vAlign w:val="center"/>
                </w:tcPr>
                <w:p>
                  <w:pPr>
                    <w:pStyle w:val="22"/>
                    <w:bidi w:val="0"/>
                    <w:rPr>
                      <w:rFonts w:hint="default"/>
                      <w:lang w:val="en-US" w:eastAsia="zh-CN"/>
                    </w:rPr>
                  </w:pPr>
                  <w:r>
                    <w:rPr>
                      <w:rFonts w:hint="eastAsia"/>
                      <w:lang w:val="en-US" w:eastAsia="zh-CN"/>
                    </w:rPr>
                    <w:t>pH</w:t>
                  </w:r>
                </w:p>
              </w:tc>
              <w:tc>
                <w:tcPr>
                  <w:tcW w:w="497" w:type="pct"/>
                  <w:noWrap w:val="0"/>
                  <w:vAlign w:val="center"/>
                </w:tcPr>
                <w:p>
                  <w:pPr>
                    <w:pStyle w:val="22"/>
                    <w:bidi w:val="0"/>
                    <w:rPr>
                      <w:rFonts w:hint="default"/>
                      <w:lang w:val="en-US" w:eastAsia="zh-CN"/>
                    </w:rPr>
                  </w:pPr>
                  <w:r>
                    <w:rPr>
                      <w:rFonts w:hint="eastAsia"/>
                      <w:lang w:val="en-US" w:eastAsia="zh-CN"/>
                    </w:rPr>
                    <w:t>SS</w:t>
                  </w:r>
                </w:p>
              </w:tc>
              <w:tc>
                <w:tcPr>
                  <w:tcW w:w="498" w:type="pct"/>
                  <w:noWrap w:val="0"/>
                  <w:vAlign w:val="center"/>
                </w:tcPr>
                <w:p>
                  <w:pPr>
                    <w:pStyle w:val="22"/>
                    <w:bidi w:val="0"/>
                    <w:rPr>
                      <w:rFonts w:hint="default"/>
                      <w:lang w:val="en-US" w:eastAsia="zh-CN"/>
                    </w:rPr>
                  </w:pPr>
                  <w:r>
                    <w:rPr>
                      <w:rFonts w:hint="eastAsia"/>
                      <w:lang w:val="en-US" w:eastAsia="zh-CN"/>
                    </w:rPr>
                    <w:t>BOD</w:t>
                  </w:r>
                  <w:r>
                    <w:rPr>
                      <w:rFonts w:hint="eastAsia"/>
                      <w:vertAlign w:val="subscript"/>
                      <w:lang w:val="en-US" w:eastAsia="zh-CN"/>
                    </w:rPr>
                    <w:t>5</w:t>
                  </w:r>
                </w:p>
              </w:tc>
              <w:tc>
                <w:tcPr>
                  <w:tcW w:w="498" w:type="pct"/>
                  <w:noWrap w:val="0"/>
                  <w:vAlign w:val="center"/>
                </w:tcPr>
                <w:p>
                  <w:pPr>
                    <w:pStyle w:val="22"/>
                    <w:bidi w:val="0"/>
                    <w:rPr>
                      <w:rFonts w:hint="default"/>
                      <w:lang w:val="en-US" w:eastAsia="zh-CN"/>
                    </w:rPr>
                  </w:pPr>
                  <w:r>
                    <w:rPr>
                      <w:rFonts w:hint="eastAsia"/>
                      <w:lang w:val="en-US" w:eastAsia="zh-CN"/>
                    </w:rPr>
                    <w:t>COD</w:t>
                  </w:r>
                  <w:r>
                    <w:rPr>
                      <w:rFonts w:hint="eastAsia"/>
                      <w:vertAlign w:val="subscript"/>
                      <w:lang w:val="en-US" w:eastAsia="zh-CN"/>
                    </w:rPr>
                    <w:t>Cr</w:t>
                  </w:r>
                </w:p>
              </w:tc>
              <w:tc>
                <w:tcPr>
                  <w:tcW w:w="498" w:type="pct"/>
                  <w:noWrap w:val="0"/>
                  <w:vAlign w:val="center"/>
                </w:tcPr>
                <w:p>
                  <w:pPr>
                    <w:pStyle w:val="22"/>
                    <w:bidi w:val="0"/>
                    <w:rPr>
                      <w:rFonts w:hint="default"/>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510" w:type="pct"/>
                  <w:noWrap w:val="0"/>
                  <w:vAlign w:val="center"/>
                </w:tcPr>
                <w:p>
                  <w:pPr>
                    <w:pStyle w:val="22"/>
                    <w:bidi w:val="0"/>
                    <w:rPr>
                      <w:rFonts w:hint="eastAsia"/>
                      <w:lang w:val="en-US" w:eastAsia="zh-CN"/>
                    </w:rPr>
                  </w:pPr>
                  <w:r>
                    <w:rPr>
                      <w:rFonts w:hint="eastAsia"/>
                      <w:lang w:val="en-US" w:eastAsia="zh-CN"/>
                    </w:rPr>
                    <w:t>总磷</w:t>
                  </w:r>
                </w:p>
              </w:tc>
              <w:tc>
                <w:tcPr>
                  <w:tcW w:w="500" w:type="pct"/>
                  <w:noWrap w:val="0"/>
                  <w:vAlign w:val="center"/>
                </w:tcPr>
                <w:p>
                  <w:pPr>
                    <w:pStyle w:val="22"/>
                    <w:bidi w:val="0"/>
                    <w:rPr>
                      <w:rFonts w:hint="default"/>
                      <w:lang w:val="en-US" w:eastAsia="zh-CN"/>
                    </w:rPr>
                  </w:pPr>
                  <w:r>
                    <w:rPr>
                      <w:rFonts w:hint="eastAsia"/>
                      <w:lang w:val="en-US" w:eastAsia="zh-CN"/>
                    </w:rPr>
                    <w:t>总氮</w:t>
                  </w:r>
                </w:p>
              </w:tc>
              <w:tc>
                <w:tcPr>
                  <w:tcW w:w="500" w:type="pct"/>
                  <w:noWrap w:val="0"/>
                  <w:vAlign w:val="center"/>
                </w:tcPr>
                <w:p>
                  <w:pPr>
                    <w:pStyle w:val="22"/>
                    <w:bidi w:val="0"/>
                    <w:rPr>
                      <w:rFonts w:hint="default"/>
                      <w:lang w:val="en-US" w:eastAsia="zh-CN"/>
                    </w:rPr>
                  </w:pPr>
                  <w:r>
                    <w:rPr>
                      <w:rFonts w:hint="eastAsia"/>
                      <w:lang w:val="en-US" w:eastAsia="zh-CN"/>
                    </w:rPr>
                    <w:t>LAS</w:t>
                  </w:r>
                </w:p>
              </w:tc>
              <w:tc>
                <w:tcPr>
                  <w:tcW w:w="500" w:type="pct"/>
                  <w:noWrap w:val="0"/>
                  <w:vAlign w:val="center"/>
                </w:tcPr>
                <w:p>
                  <w:pPr>
                    <w:pStyle w:val="22"/>
                    <w:bidi w:val="0"/>
                    <w:rPr>
                      <w:rFonts w:hint="default"/>
                      <w:lang w:val="en-US" w:eastAsia="zh-CN"/>
                    </w:rPr>
                  </w:pPr>
                  <w:r>
                    <w:rPr>
                      <w:rFonts w:hint="eastAsia"/>
                      <w:lang w:val="en-US" w:eastAsia="zh-CN"/>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pPr>
                    <w:pStyle w:val="22"/>
                    <w:bidi w:val="0"/>
                    <w:rPr>
                      <w:rFonts w:hint="default"/>
                      <w:lang w:val="en-US" w:eastAsia="zh-CN"/>
                    </w:rPr>
                  </w:pPr>
                  <w:r>
                    <w:rPr>
                      <w:rFonts w:hint="eastAsia"/>
                      <w:lang w:val="en-US" w:eastAsia="zh-CN"/>
                    </w:rPr>
                    <w:t>标准限值</w:t>
                  </w:r>
                </w:p>
              </w:tc>
              <w:tc>
                <w:tcPr>
                  <w:tcW w:w="497" w:type="pct"/>
                  <w:noWrap w:val="0"/>
                  <w:vAlign w:val="center"/>
                </w:tcPr>
                <w:p>
                  <w:pPr>
                    <w:pStyle w:val="22"/>
                    <w:bidi w:val="0"/>
                    <w:rPr>
                      <w:rFonts w:hint="default"/>
                      <w:lang w:val="en-US" w:eastAsia="zh-CN"/>
                    </w:rPr>
                  </w:pPr>
                  <w:r>
                    <w:rPr>
                      <w:rFonts w:hint="eastAsia"/>
                      <w:lang w:val="en-US" w:eastAsia="zh-CN"/>
                    </w:rPr>
                    <w:t>6~9</w:t>
                  </w:r>
                </w:p>
              </w:tc>
              <w:tc>
                <w:tcPr>
                  <w:tcW w:w="497" w:type="pct"/>
                  <w:noWrap w:val="0"/>
                  <w:vAlign w:val="center"/>
                </w:tcPr>
                <w:p>
                  <w:pPr>
                    <w:pStyle w:val="22"/>
                    <w:bidi w:val="0"/>
                    <w:rPr>
                      <w:rFonts w:hint="default"/>
                      <w:lang w:val="en-US" w:eastAsia="zh-CN"/>
                    </w:rPr>
                  </w:pPr>
                  <w:r>
                    <w:rPr>
                      <w:rFonts w:hint="eastAsia"/>
                      <w:lang w:val="en-US" w:eastAsia="zh-CN"/>
                    </w:rPr>
                    <w:t>400</w:t>
                  </w:r>
                </w:p>
              </w:tc>
              <w:tc>
                <w:tcPr>
                  <w:tcW w:w="498" w:type="pct"/>
                  <w:noWrap w:val="0"/>
                  <w:vAlign w:val="center"/>
                </w:tcPr>
                <w:p>
                  <w:pPr>
                    <w:pStyle w:val="22"/>
                    <w:bidi w:val="0"/>
                    <w:rPr>
                      <w:rFonts w:hint="default"/>
                      <w:lang w:val="en-US" w:eastAsia="zh-CN"/>
                    </w:rPr>
                  </w:pPr>
                  <w:r>
                    <w:rPr>
                      <w:rFonts w:hint="eastAsia"/>
                      <w:lang w:val="en-US" w:eastAsia="zh-CN"/>
                    </w:rPr>
                    <w:t>300</w:t>
                  </w:r>
                </w:p>
              </w:tc>
              <w:tc>
                <w:tcPr>
                  <w:tcW w:w="498" w:type="pct"/>
                  <w:noWrap w:val="0"/>
                  <w:vAlign w:val="center"/>
                </w:tcPr>
                <w:p>
                  <w:pPr>
                    <w:pStyle w:val="22"/>
                    <w:bidi w:val="0"/>
                    <w:rPr>
                      <w:rFonts w:hint="default"/>
                      <w:lang w:val="en-US" w:eastAsia="zh-CN"/>
                    </w:rPr>
                  </w:pPr>
                  <w:r>
                    <w:rPr>
                      <w:rFonts w:hint="eastAsia"/>
                      <w:lang w:val="en-US" w:eastAsia="zh-CN"/>
                    </w:rPr>
                    <w:t>500</w:t>
                  </w:r>
                </w:p>
              </w:tc>
              <w:tc>
                <w:tcPr>
                  <w:tcW w:w="498" w:type="pct"/>
                  <w:noWrap w:val="0"/>
                  <w:vAlign w:val="center"/>
                </w:tcPr>
                <w:p>
                  <w:pPr>
                    <w:pStyle w:val="22"/>
                    <w:bidi w:val="0"/>
                    <w:rPr>
                      <w:rFonts w:hint="default"/>
                      <w:lang w:val="en-US" w:eastAsia="zh-CN"/>
                    </w:rPr>
                  </w:pPr>
                  <w:r>
                    <w:rPr>
                      <w:rFonts w:hint="eastAsia"/>
                      <w:lang w:val="en-US" w:eastAsia="zh-CN"/>
                    </w:rPr>
                    <w:t>45*</w:t>
                  </w:r>
                </w:p>
              </w:tc>
              <w:tc>
                <w:tcPr>
                  <w:tcW w:w="510" w:type="pct"/>
                  <w:noWrap w:val="0"/>
                  <w:vAlign w:val="center"/>
                </w:tcPr>
                <w:p>
                  <w:pPr>
                    <w:pStyle w:val="22"/>
                    <w:bidi w:val="0"/>
                    <w:rPr>
                      <w:rFonts w:hint="default"/>
                      <w:lang w:val="en-US" w:eastAsia="zh-CN"/>
                    </w:rPr>
                  </w:pPr>
                  <w:r>
                    <w:rPr>
                      <w:rFonts w:hint="eastAsia"/>
                      <w:lang w:val="en-US" w:eastAsia="zh-CN"/>
                    </w:rPr>
                    <w:t>8*</w:t>
                  </w:r>
                </w:p>
              </w:tc>
              <w:tc>
                <w:tcPr>
                  <w:tcW w:w="500" w:type="pct"/>
                  <w:noWrap w:val="0"/>
                  <w:vAlign w:val="center"/>
                </w:tcPr>
                <w:p>
                  <w:pPr>
                    <w:pStyle w:val="22"/>
                    <w:bidi w:val="0"/>
                    <w:rPr>
                      <w:rFonts w:hint="default"/>
                      <w:lang w:val="en-US" w:eastAsia="zh-CN"/>
                    </w:rPr>
                  </w:pPr>
                  <w:r>
                    <w:rPr>
                      <w:rFonts w:hint="eastAsia"/>
                      <w:lang w:val="en-US" w:eastAsia="zh-CN"/>
                    </w:rPr>
                    <w:t>70</w:t>
                  </w:r>
                </w:p>
              </w:tc>
              <w:tc>
                <w:tcPr>
                  <w:tcW w:w="500" w:type="pct"/>
                  <w:noWrap w:val="0"/>
                  <w:vAlign w:val="center"/>
                </w:tcPr>
                <w:p>
                  <w:pPr>
                    <w:pStyle w:val="22"/>
                    <w:bidi w:val="0"/>
                    <w:rPr>
                      <w:rFonts w:hint="default"/>
                      <w:lang w:val="en-US" w:eastAsia="zh-CN"/>
                    </w:rPr>
                  </w:pPr>
                  <w:r>
                    <w:rPr>
                      <w:rFonts w:hint="eastAsia"/>
                      <w:lang w:val="en-US" w:eastAsia="zh-CN"/>
                    </w:rPr>
                    <w:t>20</w:t>
                  </w:r>
                </w:p>
              </w:tc>
              <w:tc>
                <w:tcPr>
                  <w:tcW w:w="500" w:type="pct"/>
                  <w:noWrap w:val="0"/>
                  <w:vAlign w:val="center"/>
                </w:tcPr>
                <w:p>
                  <w:pPr>
                    <w:pStyle w:val="22"/>
                    <w:bidi w:val="0"/>
                    <w:rPr>
                      <w:rFonts w:hint="default"/>
                      <w:lang w:val="en-US" w:eastAsia="zh-CN"/>
                    </w:rPr>
                  </w:pPr>
                  <w:r>
                    <w:rPr>
                      <w:rFonts w:hint="eastAsia"/>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noWrap w:val="0"/>
                  <w:vAlign w:val="center"/>
                </w:tcPr>
                <w:p>
                  <w:pPr>
                    <w:pStyle w:val="22"/>
                    <w:bidi w:val="0"/>
                    <w:rPr>
                      <w:rFonts w:hint="eastAsia"/>
                      <w:lang w:val="en-US" w:eastAsia="zh-CN"/>
                    </w:rPr>
                  </w:pPr>
                  <w:r>
                    <w:rPr>
                      <w:rFonts w:hint="eastAsia"/>
                      <w:lang w:val="en-US" w:eastAsia="zh-CN"/>
                    </w:rPr>
                    <w:t>注：氨氮、总氮、总磷执行《污水排入城市下水道水质标准）（GB/T31962-2015）B级标准。</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3、固体废物</w:t>
            </w:r>
          </w:p>
          <w:p>
            <w:pPr>
              <w:bidi w:val="0"/>
              <w:rPr>
                <w:rFonts w:hint="default"/>
                <w:lang w:eastAsia="zh-CN"/>
              </w:rPr>
            </w:pPr>
            <w:r>
              <w:rPr>
                <w:rFonts w:hint="default"/>
                <w:lang w:eastAsia="zh-CN"/>
              </w:rPr>
              <w:t>一般工业固体废物贮存过程应满足相应防渗漏、防雨、防扬尘等环境保护要求；危险废物处置执行《危险废物贮存污染控制标准》（GB18597-20</w:t>
            </w:r>
            <w:r>
              <w:rPr>
                <w:rFonts w:hint="eastAsia"/>
                <w:lang w:val="en-US" w:eastAsia="zh-CN"/>
              </w:rPr>
              <w:t>23</w:t>
            </w:r>
            <w:r>
              <w:rPr>
                <w:rFonts w:hint="default"/>
                <w:lang w:eastAsia="zh-CN"/>
              </w:rPr>
              <w:t>）中要求。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4、噪声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kern w:val="0"/>
                <w:szCs w:val="21"/>
                <w:lang w:eastAsia="zh-CN"/>
              </w:rPr>
            </w:pPr>
            <w:r>
              <w:rPr>
                <w:rFonts w:hint="default" w:ascii="Times New Roman" w:hAnsi="Times New Roman" w:cs="Times New Roman"/>
                <w:kern w:val="0"/>
                <w:szCs w:val="21"/>
                <w:lang w:eastAsia="zh-CN"/>
              </w:rPr>
              <w:t>项目施工期场界噪声限值执行《建筑施工场界环境噪声排放标准》（GB12523–2011）规定的噪声限值；项目营运期场界噪声执行《工业企业厂界环境噪声排放标准》（GB12348–2008）中3类标准，具体指标见下表。</w:t>
            </w:r>
          </w:p>
          <w:p>
            <w:pPr>
              <w:pStyle w:val="26"/>
              <w:bidi w:val="0"/>
              <w:rPr>
                <w:rFonts w:hint="default"/>
                <w:lang w:eastAsia="zh-CN"/>
              </w:rPr>
            </w:pPr>
            <w:r>
              <w:rPr>
                <w:rFonts w:hint="default"/>
              </w:rPr>
              <w:t>表</w:t>
            </w:r>
            <w:r>
              <w:rPr>
                <w:rFonts w:hint="default"/>
                <w:lang w:val="en-US" w:eastAsia="zh-CN"/>
              </w:rPr>
              <w:t>3-</w:t>
            </w:r>
            <w:r>
              <w:rPr>
                <w:rFonts w:hint="eastAsia"/>
                <w:lang w:val="en-US" w:eastAsia="zh-CN"/>
              </w:rPr>
              <w:t>9</w:t>
            </w:r>
            <w:r>
              <w:rPr>
                <w:rFonts w:hint="default"/>
                <w:lang w:val="en-US" w:eastAsia="zh-CN"/>
              </w:rPr>
              <w:t xml:space="preserve"> 建筑施工场界环境噪声排放限值    单位dB(A)</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6"/>
              <w:gridCol w:w="4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pPr>
                    <w:pStyle w:val="22"/>
                    <w:bidi w:val="0"/>
                    <w:rPr>
                      <w:rFonts w:hint="default"/>
                      <w:lang w:eastAsia="zh-CN"/>
                    </w:rPr>
                  </w:pPr>
                  <w:r>
                    <w:rPr>
                      <w:rFonts w:hint="default"/>
                      <w:lang w:eastAsia="zh-CN"/>
                    </w:rPr>
                    <w:t>昼间</w:t>
                  </w:r>
                </w:p>
              </w:tc>
              <w:tc>
                <w:tcPr>
                  <w:tcW w:w="2500" w:type="pct"/>
                  <w:noWrap w:val="0"/>
                  <w:vAlign w:val="center"/>
                </w:tcPr>
                <w:p>
                  <w:pPr>
                    <w:pStyle w:val="22"/>
                    <w:bidi w:val="0"/>
                    <w:rPr>
                      <w:rFonts w:hint="default"/>
                      <w:lang w:eastAsia="zh-CN"/>
                    </w:rPr>
                  </w:pPr>
                  <w:r>
                    <w:rPr>
                      <w:rFonts w:hint="default"/>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noWrap w:val="0"/>
                  <w:vAlign w:val="center"/>
                </w:tcPr>
                <w:p>
                  <w:pPr>
                    <w:pStyle w:val="22"/>
                    <w:bidi w:val="0"/>
                    <w:rPr>
                      <w:rFonts w:hint="default"/>
                      <w:lang w:val="en-US" w:eastAsia="zh-CN"/>
                    </w:rPr>
                  </w:pPr>
                  <w:r>
                    <w:rPr>
                      <w:rFonts w:hint="default"/>
                      <w:lang w:val="en-US" w:eastAsia="zh-CN"/>
                    </w:rPr>
                    <w:t>70</w:t>
                  </w:r>
                </w:p>
              </w:tc>
              <w:tc>
                <w:tcPr>
                  <w:tcW w:w="2500" w:type="pct"/>
                  <w:noWrap w:val="0"/>
                  <w:vAlign w:val="center"/>
                </w:tcPr>
                <w:p>
                  <w:pPr>
                    <w:pStyle w:val="22"/>
                    <w:bidi w:val="0"/>
                    <w:rPr>
                      <w:rFonts w:hint="default"/>
                      <w:lang w:val="en-US" w:eastAsia="zh-CN"/>
                    </w:rPr>
                  </w:pPr>
                  <w:r>
                    <w:rPr>
                      <w:rFonts w:hint="default"/>
                      <w:lang w:val="en-US" w:eastAsia="zh-CN"/>
                    </w:rPr>
                    <w:t>55</w:t>
                  </w:r>
                </w:p>
              </w:tc>
            </w:tr>
          </w:tbl>
          <w:p>
            <w:pPr>
              <w:pStyle w:val="26"/>
              <w:bidi w:val="0"/>
              <w:rPr>
                <w:rFonts w:hint="default"/>
                <w:lang w:eastAsia="zh-CN"/>
              </w:rPr>
            </w:pPr>
            <w:r>
              <w:rPr>
                <w:rFonts w:hint="default"/>
              </w:rPr>
              <w:t>表</w:t>
            </w:r>
            <w:r>
              <w:rPr>
                <w:rFonts w:hint="default"/>
                <w:lang w:val="en-US" w:eastAsia="zh-CN"/>
              </w:rPr>
              <w:t>3-</w:t>
            </w:r>
            <w:r>
              <w:rPr>
                <w:rFonts w:hint="eastAsia"/>
                <w:lang w:val="en-US" w:eastAsia="zh-CN"/>
              </w:rPr>
              <w:t>10</w:t>
            </w:r>
            <w:r>
              <w:rPr>
                <w:rFonts w:hint="default"/>
                <w:lang w:val="en-US" w:eastAsia="zh-CN"/>
              </w:rPr>
              <w:t xml:space="preserve"> 工业企业厂界噪声排放标准    单位dB(A)</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6"/>
              <w:gridCol w:w="2916"/>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restart"/>
                  <w:noWrap w:val="0"/>
                  <w:vAlign w:val="center"/>
                </w:tcPr>
                <w:p>
                  <w:pPr>
                    <w:pStyle w:val="22"/>
                    <w:bidi w:val="0"/>
                    <w:rPr>
                      <w:rFonts w:hint="default"/>
                      <w:lang w:eastAsia="zh-CN"/>
                    </w:rPr>
                  </w:pPr>
                  <w:r>
                    <w:rPr>
                      <w:rFonts w:hint="default"/>
                      <w:lang w:eastAsia="zh-CN"/>
                    </w:rPr>
                    <w:t>厂界声环境功能区类别</w:t>
                  </w:r>
                </w:p>
              </w:tc>
              <w:tc>
                <w:tcPr>
                  <w:tcW w:w="3333" w:type="pct"/>
                  <w:gridSpan w:val="2"/>
                  <w:noWrap w:val="0"/>
                  <w:vAlign w:val="center"/>
                </w:tcPr>
                <w:p>
                  <w:pPr>
                    <w:pStyle w:val="22"/>
                    <w:bidi w:val="0"/>
                    <w:rPr>
                      <w:rFonts w:hint="default"/>
                      <w:lang w:eastAsia="zh-CN"/>
                    </w:rPr>
                  </w:pPr>
                  <w:r>
                    <w:rPr>
                      <w:rFonts w:hint="default"/>
                      <w:lang w:eastAsia="zh-CN"/>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vMerge w:val="continue"/>
                  <w:noWrap w:val="0"/>
                  <w:vAlign w:val="center"/>
                </w:tcPr>
                <w:p>
                  <w:pPr>
                    <w:pStyle w:val="22"/>
                    <w:bidi w:val="0"/>
                    <w:rPr>
                      <w:rFonts w:hint="default"/>
                      <w:lang w:eastAsia="zh-CN"/>
                    </w:rPr>
                  </w:pPr>
                </w:p>
              </w:tc>
              <w:tc>
                <w:tcPr>
                  <w:tcW w:w="1666" w:type="pct"/>
                  <w:noWrap w:val="0"/>
                  <w:vAlign w:val="center"/>
                </w:tcPr>
                <w:p>
                  <w:pPr>
                    <w:pStyle w:val="22"/>
                    <w:bidi w:val="0"/>
                    <w:rPr>
                      <w:rFonts w:hint="default"/>
                      <w:lang w:eastAsia="zh-CN"/>
                    </w:rPr>
                  </w:pPr>
                  <w:r>
                    <w:rPr>
                      <w:rFonts w:hint="default"/>
                      <w:lang w:eastAsia="zh-CN"/>
                    </w:rPr>
                    <w:t>昼间</w:t>
                  </w:r>
                </w:p>
              </w:tc>
              <w:tc>
                <w:tcPr>
                  <w:tcW w:w="1667" w:type="pct"/>
                  <w:noWrap w:val="0"/>
                  <w:vAlign w:val="center"/>
                </w:tcPr>
                <w:p>
                  <w:pPr>
                    <w:pStyle w:val="22"/>
                    <w:bidi w:val="0"/>
                    <w:rPr>
                      <w:rFonts w:hint="default"/>
                      <w:lang w:eastAsia="zh-CN"/>
                    </w:rPr>
                  </w:pPr>
                  <w:r>
                    <w:rPr>
                      <w:rFonts w:hint="default"/>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noWrap w:val="0"/>
                  <w:vAlign w:val="center"/>
                </w:tcPr>
                <w:p>
                  <w:pPr>
                    <w:pStyle w:val="22"/>
                    <w:bidi w:val="0"/>
                    <w:rPr>
                      <w:rFonts w:hint="default"/>
                      <w:lang w:val="en-US" w:eastAsia="zh-CN"/>
                    </w:rPr>
                  </w:pPr>
                  <w:r>
                    <w:rPr>
                      <w:rFonts w:hint="default"/>
                      <w:lang w:val="en-US" w:eastAsia="zh-CN"/>
                    </w:rPr>
                    <w:t>3类</w:t>
                  </w:r>
                </w:p>
              </w:tc>
              <w:tc>
                <w:tcPr>
                  <w:tcW w:w="1666" w:type="pct"/>
                  <w:noWrap w:val="0"/>
                  <w:vAlign w:val="center"/>
                </w:tcPr>
                <w:p>
                  <w:pPr>
                    <w:pStyle w:val="22"/>
                    <w:bidi w:val="0"/>
                    <w:rPr>
                      <w:rFonts w:hint="default"/>
                      <w:lang w:val="en-US" w:eastAsia="zh-CN"/>
                    </w:rPr>
                  </w:pPr>
                  <w:r>
                    <w:rPr>
                      <w:rFonts w:hint="default"/>
                      <w:lang w:val="en-US" w:eastAsia="zh-CN"/>
                    </w:rPr>
                    <w:t>65</w:t>
                  </w:r>
                </w:p>
              </w:tc>
              <w:tc>
                <w:tcPr>
                  <w:tcW w:w="1667" w:type="pct"/>
                  <w:noWrap w:val="0"/>
                  <w:vAlign w:val="center"/>
                </w:tcPr>
                <w:p>
                  <w:pPr>
                    <w:pStyle w:val="22"/>
                    <w:bidi w:val="0"/>
                    <w:rPr>
                      <w:rFonts w:hint="default"/>
                      <w:lang w:val="en-US" w:eastAsia="zh-CN"/>
                    </w:rPr>
                  </w:pPr>
                  <w:r>
                    <w:rPr>
                      <w:rFonts w:hint="default"/>
                      <w:lang w:val="en-US" w:eastAsia="zh-CN"/>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444" w:type="pct"/>
            <w:noWrap w:val="0"/>
            <w:vAlign w:val="center"/>
          </w:tcPr>
          <w:p>
            <w:pPr>
              <w:pStyle w:val="30"/>
              <w:bidi w:val="0"/>
            </w:pPr>
            <w:r>
              <w:rPr>
                <w:rFonts w:hint="eastAsia"/>
              </w:rPr>
              <w:t>总量控制指标</w:t>
            </w:r>
          </w:p>
        </w:tc>
        <w:tc>
          <w:tcPr>
            <w:tcW w:w="4555"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3.6总量控制指标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(1)废水</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rPr>
            </w:pPr>
            <w:r>
              <w:rPr>
                <w:rFonts w:hint="eastAsia"/>
              </w:rPr>
              <w:t>本项目营运期废水</w:t>
            </w:r>
            <w:r>
              <w:rPr>
                <w:rFonts w:hint="default" w:ascii="Times New Roman" w:hAnsi="Times New Roman" w:cs="Times New Roman"/>
                <w:sz w:val="24"/>
                <w:szCs w:val="24"/>
              </w:rPr>
              <w:t>经</w:t>
            </w:r>
            <w:r>
              <w:rPr>
                <w:rFonts w:hint="eastAsia" w:ascii="Times New Roman" w:hAnsi="Times New Roman" w:cs="Times New Roman"/>
                <w:sz w:val="24"/>
                <w:szCs w:val="24"/>
                <w:lang w:val="en-US" w:eastAsia="zh-CN"/>
              </w:rPr>
              <w:t>自建污水处理站（</w:t>
            </w:r>
            <w:r>
              <w:rPr>
                <w:rFonts w:hint="default" w:ascii="Times New Roman" w:hAnsi="Times New Roman" w:cs="Times New Roman"/>
                <w:lang w:val="en-US" w:eastAsia="zh-CN"/>
              </w:rPr>
              <w:t>处理工艺:</w:t>
            </w:r>
            <w:r>
              <w:rPr>
                <w:rFonts w:hint="eastAsia"/>
                <w:lang w:val="en-US" w:eastAsia="zh-CN"/>
              </w:rPr>
              <w:t>格栅-气浮-厌氧池-缺氧池-好氧池-MBR膜</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处理后的主要指标</w:t>
            </w:r>
            <w:r>
              <w:rPr>
                <w:rFonts w:hint="default" w:ascii="Times New Roman" w:hAnsi="Times New Roman" w:cs="Times New Roman"/>
                <w:lang w:val="en-US" w:eastAsia="zh-CN"/>
              </w:rPr>
              <w:t>达到《污水综合排放标准》三级标准</w:t>
            </w:r>
            <w:r>
              <w:rPr>
                <w:rFonts w:hint="eastAsia" w:cs="Times New Roman"/>
                <w:lang w:val="en-US" w:eastAsia="zh-CN"/>
              </w:rPr>
              <w:t>后排入园区管网。进入园区污水处理厂处理达《城镇污水处理厂污染物排放标准》（GB18918-2002）一级A标后排入后河。</w:t>
            </w:r>
            <w:r>
              <w:rPr>
                <w:rFonts w:hint="eastAsia"/>
              </w:rPr>
              <w:t>因此，本项目水污染物总量控制指标由园区污水处理厂调配，不单独设置总量控制指标。</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项目主要水污染物排放统计如下：</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w:t>
            </w:r>
            <w:r>
              <w:rPr>
                <w:rFonts w:hint="eastAsia" w:ascii="Times New Roman" w:hAnsi="Times New Roman" w:cs="Times New Roman"/>
                <w:sz w:val="24"/>
                <w:szCs w:val="24"/>
                <w:lang w:val="en-US" w:eastAsia="zh-CN"/>
              </w:rPr>
              <w:t>自建污水处理站</w:t>
            </w:r>
            <w:r>
              <w:rPr>
                <w:rFonts w:hint="default" w:ascii="Times New Roman" w:hAnsi="Times New Roman" w:cs="Times New Roman"/>
                <w:sz w:val="24"/>
                <w:szCs w:val="24"/>
              </w:rPr>
              <w:t>处理后排入</w:t>
            </w:r>
            <w:r>
              <w:rPr>
                <w:rFonts w:hint="eastAsia" w:ascii="Times New Roman" w:hAnsi="Times New Roman" w:cs="Times New Roman"/>
                <w:sz w:val="24"/>
                <w:szCs w:val="24"/>
                <w:lang w:val="en-US" w:eastAsia="zh-CN"/>
              </w:rPr>
              <w:t>园区管网</w:t>
            </w:r>
            <w:r>
              <w:rPr>
                <w:rFonts w:hint="default" w:ascii="Times New Roman" w:hAnsi="Times New Roman" w:cs="Times New Roman"/>
                <w:sz w:val="24"/>
                <w:szCs w:val="24"/>
              </w:rPr>
              <w:t>的污染物排放量：</w:t>
            </w:r>
          </w:p>
          <w:p>
            <w:pPr>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消防站污水量1949.4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COD：</w:t>
            </w:r>
            <w:r>
              <w:rPr>
                <w:rFonts w:hint="eastAsia" w:ascii="Times New Roman" w:hAnsi="Times New Roman" w:cs="Times New Roman"/>
                <w:sz w:val="24"/>
                <w:szCs w:val="24"/>
                <w:lang w:val="en-US" w:eastAsia="zh-CN"/>
              </w:rPr>
              <w:t>1949.4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ascii="Times New Roman" w:hAnsi="Times New Roman" w:cs="Times New Roman"/>
                <w:sz w:val="24"/>
                <w:szCs w:val="24"/>
                <w:lang w:val="en-US" w:eastAsia="zh-CN"/>
              </w:rPr>
              <w:t>260</w:t>
            </w:r>
            <w:r>
              <w:rPr>
                <w:rFonts w:hint="default" w:ascii="Times New Roman" w:hAnsi="Times New Roman" w:cs="Times New Roman"/>
                <w:sz w:val="24"/>
                <w:szCs w:val="24"/>
              </w:rPr>
              <w:t>mg/L×10</w:t>
            </w:r>
            <w:r>
              <w:rPr>
                <w:rFonts w:hint="default" w:ascii="Times New Roman" w:hAnsi="Times New Roman" w:cs="Times New Roman"/>
                <w:sz w:val="24"/>
                <w:szCs w:val="24"/>
                <w:vertAlign w:val="superscript"/>
              </w:rPr>
              <w:t>-6</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0.507</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eastAsia" w:ascii="Times New Roman" w:hAnsi="Times New Roman" w:cs="Times New Roman"/>
                <w:sz w:val="24"/>
                <w:szCs w:val="24"/>
                <w:lang w:val="en-US" w:eastAsia="zh-CN"/>
              </w:rPr>
              <w:t>1949.4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ascii="Times New Roman" w:hAnsi="Times New Roman" w:cs="Times New Roman"/>
                <w:sz w:val="24"/>
                <w:szCs w:val="24"/>
                <w:lang w:val="en-US" w:eastAsia="zh-CN"/>
              </w:rPr>
              <w:t>29.78</w:t>
            </w:r>
            <w:r>
              <w:rPr>
                <w:rFonts w:hint="default" w:ascii="Times New Roman" w:hAnsi="Times New Roman" w:cs="Times New Roman"/>
                <w:sz w:val="24"/>
                <w:szCs w:val="24"/>
              </w:rPr>
              <w:t>mg/L×10</w:t>
            </w:r>
            <w:r>
              <w:rPr>
                <w:rFonts w:hint="default" w:ascii="Times New Roman" w:hAnsi="Times New Roman" w:cs="Times New Roman"/>
                <w:sz w:val="24"/>
                <w:szCs w:val="24"/>
                <w:vertAlign w:val="superscript"/>
              </w:rPr>
              <w:t>-6</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0.058</w:t>
            </w:r>
            <w:r>
              <w:rPr>
                <w:rFonts w:hint="default" w:ascii="Times New Roman" w:hAnsi="Times New Roman" w:cs="Times New Roman"/>
                <w:sz w:val="24"/>
                <w:szCs w:val="24"/>
              </w:rPr>
              <w:t>t/a</w:t>
            </w:r>
          </w:p>
          <w:p>
            <w:pPr>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停车场污水量</w:t>
            </w:r>
            <w:r>
              <w:rPr>
                <w:rFonts w:hint="eastAsia" w:cs="Times New Roman"/>
                <w:sz w:val="24"/>
                <w:szCs w:val="24"/>
                <w:lang w:val="en-US" w:eastAsia="zh-CN"/>
              </w:rPr>
              <w:t>4932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COD：</w:t>
            </w:r>
            <w:r>
              <w:rPr>
                <w:rFonts w:hint="eastAsia" w:cs="Times New Roman"/>
                <w:sz w:val="24"/>
                <w:szCs w:val="24"/>
                <w:lang w:val="en-US" w:eastAsia="zh-CN"/>
              </w:rPr>
              <w:t>3564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cs="Times New Roman"/>
                <w:sz w:val="24"/>
                <w:szCs w:val="24"/>
                <w:lang w:val="en-US" w:eastAsia="zh-CN"/>
              </w:rPr>
              <w:t>62.47</w:t>
            </w:r>
            <w:r>
              <w:rPr>
                <w:rFonts w:hint="default" w:ascii="Times New Roman" w:hAnsi="Times New Roman" w:cs="Times New Roman"/>
                <w:sz w:val="24"/>
                <w:szCs w:val="24"/>
              </w:rPr>
              <w:t>mg/L×10</w:t>
            </w:r>
            <w:r>
              <w:rPr>
                <w:rFonts w:hint="default" w:ascii="Times New Roman" w:hAnsi="Times New Roman" w:cs="Times New Roman"/>
                <w:sz w:val="24"/>
                <w:szCs w:val="24"/>
                <w:vertAlign w:val="superscript"/>
              </w:rPr>
              <w:t>-6</w:t>
            </w:r>
            <w:r>
              <w:rPr>
                <w:rFonts w:hint="default" w:ascii="Times New Roman" w:hAnsi="Times New Roman" w:cs="Times New Roman"/>
                <w:sz w:val="24"/>
                <w:szCs w:val="24"/>
              </w:rPr>
              <w:t>=</w:t>
            </w:r>
            <w:r>
              <w:rPr>
                <w:rFonts w:hint="eastAsia" w:cs="Times New Roman"/>
                <w:sz w:val="24"/>
                <w:szCs w:val="24"/>
                <w:lang w:val="en-US" w:eastAsia="zh-CN"/>
              </w:rPr>
              <w:t>0.53</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eastAsia" w:cs="Times New Roman"/>
                <w:sz w:val="24"/>
                <w:szCs w:val="24"/>
                <w:lang w:val="en-US" w:eastAsia="zh-CN"/>
              </w:rPr>
              <w:t>3564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cs="Times New Roman"/>
                <w:sz w:val="24"/>
                <w:szCs w:val="24"/>
                <w:lang w:val="en-US" w:eastAsia="zh-CN"/>
              </w:rPr>
              <w:t>19.343</w:t>
            </w:r>
            <w:r>
              <w:rPr>
                <w:rFonts w:hint="default" w:ascii="Times New Roman" w:hAnsi="Times New Roman" w:cs="Times New Roman"/>
                <w:sz w:val="24"/>
                <w:szCs w:val="24"/>
              </w:rPr>
              <w:t>mg/L×10</w:t>
            </w:r>
            <w:r>
              <w:rPr>
                <w:rFonts w:hint="default" w:ascii="Times New Roman" w:hAnsi="Times New Roman" w:cs="Times New Roman"/>
                <w:sz w:val="24"/>
                <w:szCs w:val="24"/>
                <w:vertAlign w:val="superscript"/>
              </w:rPr>
              <w:t>-6</w:t>
            </w:r>
            <w:r>
              <w:rPr>
                <w:rFonts w:hint="default" w:ascii="Times New Roman" w:hAnsi="Times New Roman" w:cs="Times New Roman"/>
                <w:sz w:val="24"/>
                <w:szCs w:val="24"/>
              </w:rPr>
              <w:t>=</w:t>
            </w:r>
            <w:r>
              <w:rPr>
                <w:rFonts w:hint="eastAsia" w:cs="Times New Roman"/>
                <w:sz w:val="24"/>
                <w:szCs w:val="24"/>
                <w:lang w:val="en-US" w:eastAsia="zh-CN"/>
              </w:rPr>
              <w:t>0.09</w:t>
            </w:r>
            <w:r>
              <w:rPr>
                <w:rFonts w:hint="default" w:ascii="Times New Roman" w:hAnsi="Times New Roman" w:cs="Times New Roman"/>
                <w:sz w:val="24"/>
                <w:szCs w:val="24"/>
              </w:rPr>
              <w:t>t/a</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经</w:t>
            </w:r>
            <w:r>
              <w:rPr>
                <w:rFonts w:hint="eastAsia" w:cs="Times New Roman"/>
                <w:sz w:val="24"/>
                <w:szCs w:val="24"/>
                <w:lang w:val="en-US" w:eastAsia="zh-CN"/>
              </w:rPr>
              <w:t>普光功能区污水处理厂</w:t>
            </w:r>
            <w:r>
              <w:rPr>
                <w:rFonts w:hint="default" w:ascii="Times New Roman" w:hAnsi="Times New Roman" w:cs="Times New Roman"/>
                <w:sz w:val="24"/>
                <w:szCs w:val="24"/>
              </w:rPr>
              <w:t>处理后排入</w:t>
            </w:r>
            <w:r>
              <w:rPr>
                <w:rFonts w:hint="eastAsia" w:cs="Times New Roman"/>
                <w:sz w:val="24"/>
                <w:szCs w:val="24"/>
                <w:lang w:val="en-US" w:eastAsia="zh-CN"/>
              </w:rPr>
              <w:t>后河</w:t>
            </w:r>
            <w:r>
              <w:rPr>
                <w:rFonts w:hint="default" w:ascii="Times New Roman" w:hAnsi="Times New Roman" w:cs="Times New Roman"/>
                <w:sz w:val="24"/>
                <w:szCs w:val="24"/>
              </w:rPr>
              <w:t>的污染物排放量：</w:t>
            </w:r>
          </w:p>
          <w:p>
            <w:pPr>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消防站污水量1949.4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COD：</w:t>
            </w:r>
            <w:r>
              <w:rPr>
                <w:rFonts w:hint="eastAsia" w:ascii="Times New Roman" w:hAnsi="Times New Roman" w:cs="Times New Roman"/>
                <w:sz w:val="24"/>
                <w:szCs w:val="24"/>
                <w:lang w:val="en-US" w:eastAsia="zh-CN"/>
              </w:rPr>
              <w:t>1949.4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cs="Times New Roman"/>
                <w:sz w:val="24"/>
                <w:szCs w:val="24"/>
                <w:lang w:val="en-US" w:eastAsia="zh-CN"/>
              </w:rPr>
              <w:t>50</w:t>
            </w:r>
            <w:r>
              <w:rPr>
                <w:rFonts w:hint="default" w:ascii="Times New Roman" w:hAnsi="Times New Roman" w:cs="Times New Roman"/>
                <w:sz w:val="24"/>
                <w:szCs w:val="24"/>
              </w:rPr>
              <w:t>mg/L×10</w:t>
            </w:r>
            <w:r>
              <w:rPr>
                <w:rFonts w:hint="default" w:ascii="Times New Roman" w:hAnsi="Times New Roman" w:cs="Times New Roman"/>
                <w:sz w:val="24"/>
                <w:szCs w:val="24"/>
                <w:vertAlign w:val="superscript"/>
              </w:rPr>
              <w:t>-6</w:t>
            </w:r>
            <w:r>
              <w:rPr>
                <w:rFonts w:hint="default" w:ascii="Times New Roman" w:hAnsi="Times New Roman" w:cs="Times New Roman"/>
                <w:sz w:val="24"/>
                <w:szCs w:val="24"/>
              </w:rPr>
              <w:t>=</w:t>
            </w:r>
            <w:r>
              <w:rPr>
                <w:rFonts w:hint="eastAsia" w:cs="Times New Roman"/>
                <w:sz w:val="24"/>
                <w:szCs w:val="24"/>
                <w:lang w:val="en-US" w:eastAsia="zh-CN"/>
              </w:rPr>
              <w:t>0.09747</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eastAsia" w:ascii="Times New Roman" w:hAnsi="Times New Roman" w:cs="Times New Roman"/>
                <w:sz w:val="24"/>
                <w:szCs w:val="24"/>
                <w:lang w:val="en-US" w:eastAsia="zh-CN"/>
              </w:rPr>
              <w:t>1949.4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cs="Times New Roman"/>
                <w:sz w:val="24"/>
                <w:szCs w:val="24"/>
                <w:lang w:val="en-US" w:eastAsia="zh-CN"/>
              </w:rPr>
              <w:t>5</w:t>
            </w:r>
            <w:r>
              <w:rPr>
                <w:rFonts w:hint="default" w:ascii="Times New Roman" w:hAnsi="Times New Roman" w:cs="Times New Roman"/>
                <w:sz w:val="24"/>
                <w:szCs w:val="24"/>
              </w:rPr>
              <w:t>mg/L×10</w:t>
            </w:r>
            <w:r>
              <w:rPr>
                <w:rFonts w:hint="default" w:ascii="Times New Roman" w:hAnsi="Times New Roman" w:cs="Times New Roman"/>
                <w:sz w:val="24"/>
                <w:szCs w:val="24"/>
                <w:vertAlign w:val="superscript"/>
              </w:rPr>
              <w:t>-6</w:t>
            </w:r>
            <w:r>
              <w:rPr>
                <w:rFonts w:hint="default" w:ascii="Times New Roman" w:hAnsi="Times New Roman" w:cs="Times New Roman"/>
                <w:sz w:val="24"/>
                <w:szCs w:val="24"/>
              </w:rPr>
              <w:t>=</w:t>
            </w:r>
            <w:r>
              <w:rPr>
                <w:rFonts w:hint="eastAsia" w:cs="Times New Roman"/>
                <w:sz w:val="24"/>
                <w:szCs w:val="24"/>
                <w:lang w:val="en-US" w:eastAsia="zh-CN"/>
              </w:rPr>
              <w:t>0.009747</w:t>
            </w:r>
            <w:r>
              <w:rPr>
                <w:rFonts w:hint="default" w:ascii="Times New Roman" w:hAnsi="Times New Roman" w:cs="Times New Roman"/>
                <w:sz w:val="24"/>
                <w:szCs w:val="24"/>
              </w:rPr>
              <w:t>t/a</w:t>
            </w:r>
          </w:p>
          <w:p>
            <w:pPr>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停车场污水量</w:t>
            </w:r>
            <w:r>
              <w:rPr>
                <w:rFonts w:hint="eastAsia" w:cs="Times New Roman"/>
                <w:sz w:val="24"/>
                <w:szCs w:val="24"/>
                <w:lang w:val="en-US" w:eastAsia="zh-CN"/>
              </w:rPr>
              <w:t>4932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COD：</w:t>
            </w:r>
            <w:r>
              <w:rPr>
                <w:rFonts w:hint="eastAsia" w:cs="Times New Roman"/>
                <w:sz w:val="24"/>
                <w:szCs w:val="24"/>
                <w:lang w:val="en-US" w:eastAsia="zh-CN"/>
              </w:rPr>
              <w:t>4932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cs="Times New Roman"/>
                <w:sz w:val="24"/>
                <w:szCs w:val="24"/>
                <w:lang w:val="en-US" w:eastAsia="zh-CN"/>
              </w:rPr>
              <w:t>50</w:t>
            </w:r>
            <w:r>
              <w:rPr>
                <w:rFonts w:hint="default" w:ascii="Times New Roman" w:hAnsi="Times New Roman" w:cs="Times New Roman"/>
                <w:sz w:val="24"/>
                <w:szCs w:val="24"/>
              </w:rPr>
              <w:t>mg/L×10</w:t>
            </w:r>
            <w:r>
              <w:rPr>
                <w:rFonts w:hint="default" w:ascii="Times New Roman" w:hAnsi="Times New Roman" w:cs="Times New Roman"/>
                <w:sz w:val="24"/>
                <w:szCs w:val="24"/>
                <w:vertAlign w:val="superscript"/>
              </w:rPr>
              <w:t>-6</w:t>
            </w:r>
            <w:r>
              <w:rPr>
                <w:rFonts w:hint="default" w:ascii="Times New Roman" w:hAnsi="Times New Roman" w:cs="Times New Roman"/>
                <w:sz w:val="24"/>
                <w:szCs w:val="24"/>
              </w:rPr>
              <w:t>=</w:t>
            </w:r>
            <w:r>
              <w:rPr>
                <w:rFonts w:hint="eastAsia" w:cs="Times New Roman"/>
                <w:sz w:val="24"/>
                <w:szCs w:val="24"/>
                <w:lang w:val="en-US" w:eastAsia="zh-CN"/>
              </w:rPr>
              <w:t>0.2466</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NH</w:t>
            </w:r>
            <w:r>
              <w:rPr>
                <w:rFonts w:hint="default" w:ascii="Times New Roman" w:hAnsi="Times New Roman" w:cs="Times New Roman"/>
                <w:sz w:val="24"/>
                <w:szCs w:val="24"/>
                <w:vertAlign w:val="subscript"/>
              </w:rPr>
              <w:t>3</w:t>
            </w:r>
            <w:r>
              <w:rPr>
                <w:rFonts w:hint="default" w:ascii="Times New Roman" w:hAnsi="Times New Roman" w:cs="Times New Roman"/>
                <w:sz w:val="24"/>
                <w:szCs w:val="24"/>
              </w:rPr>
              <w:t>-N：</w:t>
            </w:r>
            <w:r>
              <w:rPr>
                <w:rFonts w:hint="eastAsia" w:cs="Times New Roman"/>
                <w:sz w:val="24"/>
                <w:szCs w:val="24"/>
                <w:lang w:val="en-US" w:eastAsia="zh-CN"/>
              </w:rPr>
              <w:t>4932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cs="Times New Roman"/>
                <w:sz w:val="24"/>
                <w:szCs w:val="24"/>
                <w:lang w:val="en-US" w:eastAsia="zh-CN"/>
              </w:rPr>
              <w:t>5</w:t>
            </w:r>
            <w:r>
              <w:rPr>
                <w:rFonts w:hint="default" w:ascii="Times New Roman" w:hAnsi="Times New Roman" w:cs="Times New Roman"/>
                <w:sz w:val="24"/>
                <w:szCs w:val="24"/>
              </w:rPr>
              <w:t>mg/L×10</w:t>
            </w:r>
            <w:r>
              <w:rPr>
                <w:rFonts w:hint="default" w:ascii="Times New Roman" w:hAnsi="Times New Roman" w:cs="Times New Roman"/>
                <w:sz w:val="24"/>
                <w:szCs w:val="24"/>
                <w:vertAlign w:val="superscript"/>
              </w:rPr>
              <w:t>-6</w:t>
            </w:r>
            <w:r>
              <w:rPr>
                <w:rFonts w:hint="default" w:ascii="Times New Roman" w:hAnsi="Times New Roman" w:cs="Times New Roman"/>
                <w:sz w:val="24"/>
                <w:szCs w:val="24"/>
              </w:rPr>
              <w:t>=</w:t>
            </w:r>
            <w:r>
              <w:rPr>
                <w:rFonts w:hint="eastAsia" w:cs="Times New Roman"/>
                <w:sz w:val="24"/>
                <w:szCs w:val="24"/>
                <w:lang w:val="en-US" w:eastAsia="zh-CN"/>
              </w:rPr>
              <w:t>0.02466</w:t>
            </w:r>
            <w:r>
              <w:rPr>
                <w:rFonts w:hint="default" w:ascii="Times New Roman" w:hAnsi="Times New Roman" w:cs="Times New Roman"/>
                <w:sz w:val="24"/>
                <w:szCs w:val="24"/>
              </w:rPr>
              <w:t>t/a</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textAlignment w:val="auto"/>
              <w:rPr>
                <w:rFonts w:hint="eastAsia" w:ascii="Times New Roman" w:hAnsi="Times New Roman" w:eastAsia="宋体" w:cs="Times New Roman"/>
                <w:b/>
                <w:bCs/>
                <w:kern w:val="0"/>
                <w:sz w:val="24"/>
                <w:szCs w:val="24"/>
                <w:lang w:val="en-US" w:eastAsia="zh-CN" w:bidi="ar-SA"/>
              </w:rPr>
            </w:pPr>
            <w:r>
              <w:rPr>
                <w:rFonts w:hint="eastAsia" w:ascii="Times New Roman" w:hAnsi="Times New Roman" w:eastAsia="宋体" w:cs="Times New Roman"/>
                <w:b/>
                <w:bCs/>
                <w:kern w:val="0"/>
                <w:sz w:val="24"/>
                <w:szCs w:val="24"/>
                <w:lang w:val="en-US" w:eastAsia="zh-CN" w:bidi="ar-SA"/>
              </w:rPr>
              <w:t>(2)废气</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rPr>
            </w:pPr>
            <w:r>
              <w:rPr>
                <w:rFonts w:hint="eastAsia"/>
              </w:rPr>
              <w:t>项目主要排放污染物为非甲烷总烃。</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cs="宋体"/>
                <w:kern w:val="0"/>
                <w:szCs w:val="21"/>
              </w:rPr>
            </w:pPr>
            <w:r>
              <w:rPr>
                <w:rFonts w:hint="eastAsia"/>
              </w:rPr>
              <w:t>项目为新建项目，本项目VOCs 排放量为</w:t>
            </w:r>
            <w:r>
              <w:rPr>
                <w:rFonts w:hint="eastAsia"/>
                <w:lang w:val="en-US" w:eastAsia="zh-CN"/>
              </w:rPr>
              <w:t>0.027338</w:t>
            </w:r>
            <w:r>
              <w:rPr>
                <w:rFonts w:hint="eastAsia"/>
              </w:rPr>
              <w:t>t</w:t>
            </w:r>
            <w:r>
              <w:rPr>
                <w:rFonts w:hint="eastAsia"/>
                <w:lang w:val="en-US" w:eastAsia="zh-CN"/>
              </w:rPr>
              <w:t>/</w:t>
            </w:r>
            <w:r>
              <w:rPr>
                <w:rFonts w:hint="eastAsia"/>
              </w:rPr>
              <w:t>a</w:t>
            </w:r>
            <w:r>
              <w:rPr>
                <w:rFonts w:hint="eastAsia"/>
                <w:lang w:eastAsia="zh-CN"/>
              </w:rPr>
              <w:t>（</w:t>
            </w:r>
            <w:r>
              <w:rPr>
                <w:rFonts w:hint="eastAsia"/>
                <w:lang w:val="en-US" w:eastAsia="zh-CN"/>
              </w:rPr>
              <w:t>有组织：0.017079t/a，无组织0.010259t/a</w:t>
            </w:r>
            <w:r>
              <w:rPr>
                <w:rFonts w:hint="eastAsia"/>
                <w:lang w:eastAsia="zh-CN"/>
              </w:rPr>
              <w:t>）</w:t>
            </w:r>
            <w:r>
              <w:rPr>
                <w:rFonts w:hint="eastAsia"/>
              </w:rPr>
              <w:t>。</w:t>
            </w:r>
          </w:p>
        </w:tc>
      </w:tr>
    </w:tbl>
    <w:p>
      <w:pPr>
        <w:pStyle w:val="14"/>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黑体" w:hAnsi="黑体" w:eastAsia="黑体"/>
          <w:snapToGrid w:val="0"/>
          <w:sz w:val="30"/>
          <w:szCs w:val="30"/>
        </w:rPr>
      </w:pPr>
      <w:r>
        <w:rPr>
          <w:rFonts w:ascii="黑体" w:hAnsi="黑体" w:eastAsia="黑体"/>
          <w:snapToGrid w:val="0"/>
          <w:sz w:val="36"/>
          <w:szCs w:val="36"/>
        </w:rPr>
        <w:br w:type="page"/>
      </w:r>
      <w:bookmarkStart w:id="6" w:name="_Toc9661"/>
      <w:r>
        <w:rPr>
          <w:rStyle w:val="34"/>
          <w:rFonts w:hint="eastAsia"/>
        </w:rPr>
        <w:t>四、主要环境影响和保护措施</w:t>
      </w:r>
      <w:bookmarkEnd w:id="6"/>
    </w:p>
    <w:tbl>
      <w:tblPr>
        <w:tblStyle w:val="1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89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418" w:type="pct"/>
            <w:noWrap w:val="0"/>
            <w:tcMar>
              <w:left w:w="28" w:type="dxa"/>
              <w:right w:w="28" w:type="dxa"/>
            </w:tcMar>
            <w:vAlign w:val="center"/>
          </w:tcPr>
          <w:p>
            <w:pPr>
              <w:pStyle w:val="30"/>
              <w:bidi w:val="0"/>
              <w:rPr>
                <w:rFonts w:hint="eastAsia"/>
              </w:rPr>
            </w:pPr>
            <w:r>
              <w:rPr>
                <w:rFonts w:hint="eastAsia"/>
              </w:rPr>
              <w:t>施工期环境保护措施</w:t>
            </w:r>
          </w:p>
        </w:tc>
        <w:tc>
          <w:tcPr>
            <w:tcW w:w="4581" w:type="pct"/>
            <w:noWrap w:val="0"/>
            <w:vAlign w:val="center"/>
          </w:tcPr>
          <w:p>
            <w:pPr>
              <w:spacing w:beforeLines="0" w:afterLines="0"/>
              <w:jc w:val="left"/>
              <w:rPr>
                <w:rFonts w:hint="default" w:ascii="Times New Roman" w:hAnsi="Times New Roman" w:eastAsia="宋体" w:cs="Times New Roman"/>
                <w:b/>
                <w:bCs w:val="0"/>
                <w:spacing w:val="-10"/>
                <w:szCs w:val="21"/>
                <w:lang w:eastAsia="zh-CN"/>
              </w:rPr>
            </w:pPr>
            <w:r>
              <w:rPr>
                <w:rFonts w:hint="default" w:ascii="Times New Roman" w:hAnsi="Times New Roman" w:eastAsia="宋体" w:cs="Times New Roman"/>
                <w:b/>
                <w:bCs w:val="0"/>
                <w:spacing w:val="-10"/>
                <w:szCs w:val="21"/>
                <w:lang w:eastAsia="zh-CN"/>
              </w:rPr>
              <w:t>4.1施工期</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本项目为</w:t>
            </w:r>
            <w:r>
              <w:rPr>
                <w:rFonts w:hint="eastAsia" w:cs="Times New Roman"/>
                <w:bCs/>
                <w:spacing w:val="-10"/>
                <w:szCs w:val="21"/>
                <w:lang w:val="en-US" w:eastAsia="zh-CN"/>
              </w:rPr>
              <w:t>新建项目</w:t>
            </w:r>
            <w:r>
              <w:rPr>
                <w:rFonts w:hint="default" w:ascii="Times New Roman" w:hAnsi="Times New Roman" w:eastAsia="宋体" w:cs="Times New Roman"/>
                <w:bCs/>
                <w:spacing w:val="-10"/>
                <w:szCs w:val="21"/>
                <w:lang w:eastAsia="zh-CN"/>
              </w:rPr>
              <w:t>，施工期产生污染主要有施工人员产生的生活污水、施工扬尘、噪声以及固废。</w:t>
            </w:r>
          </w:p>
          <w:p>
            <w:pPr>
              <w:spacing w:beforeLines="0" w:afterLines="0"/>
              <w:jc w:val="left"/>
              <w:rPr>
                <w:rFonts w:hint="default" w:ascii="Times New Roman" w:hAnsi="Times New Roman" w:eastAsia="宋体" w:cs="Times New Roman"/>
                <w:b/>
                <w:bCs w:val="0"/>
                <w:spacing w:val="-10"/>
                <w:szCs w:val="21"/>
                <w:lang w:eastAsia="zh-CN"/>
              </w:rPr>
            </w:pPr>
            <w:r>
              <w:rPr>
                <w:rFonts w:hint="default" w:ascii="Times New Roman" w:hAnsi="Times New Roman" w:eastAsia="宋体" w:cs="Times New Roman"/>
                <w:b/>
                <w:bCs w:val="0"/>
                <w:spacing w:val="-10"/>
                <w:szCs w:val="21"/>
                <w:lang w:eastAsia="zh-CN"/>
              </w:rPr>
              <w:t>4.1.1 废气</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(1)施工扬尘</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在施工阶段，产生扬尘的作业主要有基础开挖、回填、建材运输、装卸等过程，施工场地是典型的无组织扬尘排放源，具有很高的排放潜势，可以在短时内严重影响当地的空气质量。除了排放潜势高以外，施工扬尘的最大特点是多变性，几乎突出体现了无组织排放的所有特点，是最难以把控的无组织扬尘，污染呈现时空多变、形式多元等复杂特征，监测、评价和管理都比较困难。经类比分析，施工场地扬尘浓度一般约为3.5mg/m</w:t>
            </w:r>
            <w:r>
              <w:rPr>
                <w:rFonts w:hint="eastAsia" w:ascii="Times New Roman" w:hAnsi="Times New Roman" w:eastAsia="宋体" w:cs="Times New Roman"/>
                <w:bCs/>
                <w:spacing w:val="-10"/>
                <w:szCs w:val="21"/>
                <w:vertAlign w:val="superscript"/>
                <w:lang w:val="en-US" w:eastAsia="zh-CN"/>
              </w:rPr>
              <w:t>3</w:t>
            </w:r>
            <w:r>
              <w:rPr>
                <w:rFonts w:hint="default" w:ascii="Times New Roman" w:hAnsi="Times New Roman" w:eastAsia="宋体" w:cs="Times New Roman"/>
                <w:bCs/>
                <w:spacing w:val="-10"/>
                <w:szCs w:val="21"/>
                <w:lang w:eastAsia="zh-CN"/>
              </w:rPr>
              <w:t>，会对周围环境产生一定影响。</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为减轻施工期扬尘对大气环境的影响，根据《住房和城乡建设部办公厅关于进一步加强施工工地和道路扬尘管控工作的通知》(建办质(2019)23号)、《四川省建筑工程扬尘污染防治技术导则(试行)》(川建发(2019)16号)</w:t>
            </w:r>
            <w:r>
              <w:rPr>
                <w:rFonts w:hint="eastAsia" w:ascii="Times New Roman" w:hAnsi="Times New Roman" w:eastAsia="宋体" w:cs="Times New Roman"/>
                <w:bCs/>
                <w:spacing w:val="-10"/>
                <w:szCs w:val="21"/>
                <w:lang w:val="en-US" w:eastAsia="zh-CN"/>
              </w:rPr>
              <w:t>等</w:t>
            </w:r>
            <w:r>
              <w:rPr>
                <w:rFonts w:hint="default" w:ascii="Times New Roman" w:hAnsi="Times New Roman" w:eastAsia="宋体" w:cs="Times New Roman"/>
                <w:bCs/>
                <w:spacing w:val="-10"/>
                <w:szCs w:val="21"/>
                <w:lang w:eastAsia="zh-CN"/>
              </w:rPr>
              <w:t>有关要求，施工现场应采取以下扬尘污染防治措施:</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①施工现场应沿四周连续设置不低于2.5m高的封闭围挡，围挡采用硬质一次成型板材现场模块化整体式拼装成型;围档顶端设置雾状喷淋，喷头水平间距&lt;3m，应安装在低于围挡顶部200mm处的围挡内侧，喷头朝内向上，并配备符合喷雾需求的变频高压水泵。</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②)施工现场出入口、主要道路以及与社会通行道路交叉通道必须采用(沥青)混凝土硬化,大门内侧应设置挡水带、排水沟(沟宽</w:t>
            </w:r>
            <w:r>
              <w:rPr>
                <w:rFonts w:hint="default" w:ascii="Arial" w:hAnsi="Arial" w:eastAsia="宋体" w:cs="Arial"/>
                <w:bCs/>
                <w:spacing w:val="-10"/>
                <w:szCs w:val="21"/>
                <w:lang w:eastAsia="zh-CN"/>
              </w:rPr>
              <w:t>×</w:t>
            </w:r>
            <w:r>
              <w:rPr>
                <w:rFonts w:hint="default" w:ascii="Times New Roman" w:hAnsi="Times New Roman" w:eastAsia="宋体" w:cs="Times New Roman"/>
                <w:bCs/>
                <w:spacing w:val="-10"/>
                <w:szCs w:val="21"/>
                <w:lang w:eastAsia="zh-CN"/>
              </w:rPr>
              <w:t>深&gt;300mm</w:t>
            </w:r>
            <w:r>
              <w:rPr>
                <w:rFonts w:hint="default" w:ascii="Arial" w:hAnsi="Arial" w:eastAsia="宋体" w:cs="Arial"/>
                <w:bCs/>
                <w:spacing w:val="-10"/>
                <w:szCs w:val="21"/>
                <w:lang w:eastAsia="zh-CN"/>
              </w:rPr>
              <w:t>×</w:t>
            </w:r>
            <w:r>
              <w:rPr>
                <w:rFonts w:hint="default" w:ascii="Times New Roman" w:hAnsi="Times New Roman" w:eastAsia="宋体" w:cs="Times New Roman"/>
                <w:bCs/>
                <w:spacing w:val="-10"/>
                <w:szCs w:val="21"/>
                <w:lang w:eastAsia="zh-CN"/>
              </w:rPr>
              <w:t>300mm)、三级沉淀池(池体容积&gt;</w:t>
            </w:r>
            <w:r>
              <w:rPr>
                <w:rFonts w:hint="eastAsia" w:ascii="Times New Roman" w:hAnsi="Times New Roman" w:eastAsia="宋体" w:cs="Times New Roman"/>
                <w:bCs/>
                <w:spacing w:val="-10"/>
                <w:szCs w:val="21"/>
                <w:lang w:val="en-US" w:eastAsia="zh-CN"/>
              </w:rPr>
              <w:t>2</w:t>
            </w:r>
            <w:r>
              <w:rPr>
                <w:rFonts w:hint="default" w:ascii="Times New Roman" w:hAnsi="Times New Roman" w:eastAsia="宋体" w:cs="Times New Roman"/>
                <w:bCs/>
                <w:spacing w:val="-10"/>
                <w:szCs w:val="21"/>
                <w:lang w:eastAsia="zh-CN"/>
              </w:rPr>
              <w:t>m</w:t>
            </w:r>
            <w:r>
              <w:rPr>
                <w:rFonts w:hint="eastAsia" w:ascii="Times New Roman" w:hAnsi="Times New Roman" w:eastAsia="宋体" w:cs="Times New Roman"/>
                <w:bCs/>
                <w:spacing w:val="-10"/>
                <w:szCs w:val="21"/>
                <w:vertAlign w:val="superscript"/>
                <w:lang w:val="en-US" w:eastAsia="zh-CN"/>
              </w:rPr>
              <w:t>3</w:t>
            </w:r>
            <w:r>
              <w:rPr>
                <w:rFonts w:hint="default" w:ascii="Times New Roman" w:hAnsi="Times New Roman" w:eastAsia="宋体" w:cs="Times New Roman"/>
                <w:bCs/>
                <w:spacing w:val="-10"/>
                <w:szCs w:val="21"/>
                <w:lang w:eastAsia="zh-CN"/>
              </w:rPr>
              <w:t>)门口应设高压冲洗设施，冲洗区外侧应铺设串联成片的麻袋、地毯等吸水材料，确保车辆不带泥上路。</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③施工现场裸土及施工期易起尘物料均应使用防尘网进行覆盖，覆盖要封闭严密、连接牢固</w:t>
            </w:r>
            <w:r>
              <w:rPr>
                <w:rFonts w:hint="eastAsia" w:ascii="Times New Roman" w:hAnsi="Times New Roman" w:eastAsia="宋体" w:cs="Times New Roman"/>
                <w:bCs/>
                <w:spacing w:val="-10"/>
                <w:szCs w:val="21"/>
                <w:lang w:eastAsia="zh-CN"/>
              </w:rPr>
              <w:t>；</w:t>
            </w:r>
            <w:r>
              <w:rPr>
                <w:rFonts w:hint="default" w:ascii="Times New Roman" w:hAnsi="Times New Roman" w:eastAsia="宋体" w:cs="Times New Roman"/>
                <w:bCs/>
                <w:spacing w:val="-10"/>
                <w:szCs w:val="21"/>
                <w:lang w:eastAsia="zh-CN"/>
              </w:rPr>
              <w:t>必须使用商品混凝土，施工现场禁止设置搅拌站。</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④施工期易产生扬尘的钻孔、拆除作业，建渣清运等易产生扬尘的施工作业时，应采取喷淋、喷雾等湿法降尘措施，对于固定喷淋装置无法覆盖的区域和应设置移动式雾炮进行降</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⑤施工单位应当建立运输扬尘污染防治管理制度和相关措施，加强对渣土运输车辆、人员管理:运输车辆必须采取覆盖措施，采用密闭式运输车辆，装载不得冒出车辆栏板，防止道路遗撒。</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⑥风速大于4m/s 时应停止施工</w:t>
            </w:r>
            <w:r>
              <w:rPr>
                <w:rFonts w:hint="eastAsia" w:ascii="Times New Roman" w:hAnsi="Times New Roman" w:eastAsia="宋体" w:cs="Times New Roman"/>
                <w:bCs/>
                <w:spacing w:val="-10"/>
                <w:szCs w:val="21"/>
                <w:lang w:eastAsia="zh-CN"/>
              </w:rPr>
              <w:t>；</w:t>
            </w:r>
            <w:r>
              <w:rPr>
                <w:rFonts w:hint="default" w:ascii="Times New Roman" w:hAnsi="Times New Roman" w:eastAsia="宋体" w:cs="Times New Roman"/>
                <w:bCs/>
                <w:spacing w:val="-10"/>
                <w:szCs w:val="21"/>
                <w:lang w:eastAsia="zh-CN"/>
              </w:rPr>
              <w:t>遇重污染天气，建设单位和施工单位应落实各级预警下施工现场应当采取的应急措施。</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
                <w:bCs w:val="0"/>
                <w:spacing w:val="-10"/>
                <w:szCs w:val="21"/>
                <w:lang w:eastAsia="zh-CN"/>
              </w:rPr>
              <w:t>同时，施工单位必需全面督查建筑工地现场管理“十必须”、“十不准”的执行情况即</w:t>
            </w:r>
            <w:r>
              <w:rPr>
                <w:rFonts w:hint="eastAsia" w:ascii="Times New Roman" w:hAnsi="Times New Roman" w:eastAsia="宋体" w:cs="Times New Roman"/>
                <w:b/>
                <w:bCs w:val="0"/>
                <w:spacing w:val="-10"/>
                <w:szCs w:val="21"/>
                <w:lang w:eastAsia="zh-CN"/>
              </w:rPr>
              <w:t>：</w:t>
            </w:r>
            <w:r>
              <w:rPr>
                <w:rFonts w:hint="default" w:ascii="Times New Roman" w:hAnsi="Times New Roman" w:eastAsia="宋体" w:cs="Times New Roman"/>
                <w:b/>
                <w:bCs w:val="0"/>
                <w:spacing w:val="-10"/>
                <w:szCs w:val="21"/>
                <w:lang w:eastAsia="zh-CN"/>
              </w:rPr>
              <w:t>必须规范打围、保持干净整洁，必须设置出场车辆高压冲洗设施，必须硬化主要施工道路、出入口，必须湿法作业，必须及时清运建筑垃圾，必须使用800目密目网覆盖裸土、建渣，必须分类有序堆码施工材料，必须规范张贴非道路移动机械环保标识，必须安装扬尘在线监测设备，必须安装高清视频监控设备;不准车辆带泥出门，不准运渣车辆冒顶装载，不准使用名录外运渣车，不准现场搅拌混凝土、砂浆，不准露天切割，不准高处抛洒建筑垃圾不准场地积水、积泥、积尘，不准焚烧废弃物，不准干扰扬尘监测设备运行，不准干扰视频监控设备。同时，施工单位必须严格按照《四川省建筑工程扬尘污染防治技术导则(试行)》(川建发(2019)16号)中要求，严格落实“六个百分百”要求，包括:工地周边围挡、物料堆放覆盖、出入车辆冲洗、施工现场道路及材料堆场硬化、工地湿法作业及渣土车辆密闭运输，确保施工场地扬尘达到《四川省施工场地扬尘排放标准》(DB51/2682-2020)中相关限值要求</w:t>
            </w:r>
            <w:r>
              <w:rPr>
                <w:rFonts w:hint="eastAsia" w:ascii="Times New Roman" w:hAnsi="Times New Roman" w:eastAsia="宋体" w:cs="Times New Roman"/>
                <w:b/>
                <w:bCs w:val="0"/>
                <w:spacing w:val="-10"/>
                <w:szCs w:val="21"/>
                <w:lang w:eastAsia="zh-CN"/>
              </w:rPr>
              <w:t>。</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因此，施工期只要落实以上扬尘防治措施，加强施工管理，将有效抑制扬尘产生，扬尘排放浓度能满足《四川省施工场地扬尘排放标准》(DB51/2682-2020)中各施工阶段排放限值，防止施工扬尘对区域大气环境的影响。</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(2)机械和运输车辆排放废气</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施工期间，使用机动车运送原材料、设备和建筑机械设备的运转，均会排放一定量的CO、NOx以及未完全燃烧的THC等，其特点是排放量小，且属间断性无组织排放。环评要求采取以下措施减轻对大气的污染:</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①选用先进的施工机械，减少油耗和燃油废气污染;尽量使用电气化设备，少使用燃油设备;使用节能低耗的运输车辆，减少汽车尾气的产生量。</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②做好设备的维修和养护工作，使机械设备处于良好的工作状态，减少油耗，同时降低污染。</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③尽量将燃油设备工作场所移至当地常年主导风下风向和场地开阔的地方，以利于污染物的扩散。</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④合理安排材料运输时段，减少交通拥挤和堵塞几率，降低汽车尾气对环境产生的污染</w:t>
            </w:r>
            <w:r>
              <w:rPr>
                <w:rFonts w:hint="eastAsia" w:ascii="Times New Roman" w:hAnsi="Times New Roman" w:eastAsia="宋体" w:cs="Times New Roman"/>
                <w:bCs/>
                <w:spacing w:val="-10"/>
                <w:szCs w:val="21"/>
                <w:lang w:eastAsia="zh-CN"/>
              </w:rPr>
              <w:t>。</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综上所述，采取以上措施后，项目施工产生的废气对周边环境影响较小。</w:t>
            </w:r>
          </w:p>
          <w:p>
            <w:pPr>
              <w:spacing w:beforeLines="0" w:afterLines="0"/>
              <w:jc w:val="left"/>
              <w:rPr>
                <w:rFonts w:hint="default" w:ascii="Times New Roman" w:hAnsi="Times New Roman" w:eastAsia="宋体" w:cs="Times New Roman"/>
                <w:bCs/>
                <w:spacing w:val="-10"/>
                <w:szCs w:val="21"/>
                <w:lang w:eastAsia="zh-CN"/>
              </w:rPr>
            </w:pPr>
            <w:r>
              <w:rPr>
                <w:rFonts w:hint="eastAsia" w:ascii="Times New Roman" w:hAnsi="Times New Roman" w:eastAsia="宋体" w:cs="Times New Roman"/>
                <w:bCs/>
                <w:spacing w:val="-10"/>
                <w:szCs w:val="21"/>
                <w:lang w:eastAsia="zh-CN"/>
              </w:rPr>
              <w:t>（</w:t>
            </w:r>
            <w:r>
              <w:rPr>
                <w:rFonts w:hint="eastAsia" w:ascii="Times New Roman" w:hAnsi="Times New Roman" w:eastAsia="宋体" w:cs="Times New Roman"/>
                <w:bCs/>
                <w:spacing w:val="-10"/>
                <w:szCs w:val="21"/>
                <w:lang w:val="en-US" w:eastAsia="zh-CN"/>
              </w:rPr>
              <w:t>3</w:t>
            </w:r>
            <w:r>
              <w:rPr>
                <w:rFonts w:hint="eastAsia" w:ascii="Times New Roman" w:hAnsi="Times New Roman" w:eastAsia="宋体" w:cs="Times New Roman"/>
                <w:bCs/>
                <w:spacing w:val="-10"/>
                <w:szCs w:val="21"/>
                <w:lang w:eastAsia="zh-CN"/>
              </w:rPr>
              <w:t>）</w:t>
            </w:r>
            <w:r>
              <w:rPr>
                <w:rFonts w:hint="default" w:ascii="Times New Roman" w:hAnsi="Times New Roman" w:eastAsia="宋体" w:cs="Times New Roman"/>
                <w:bCs/>
                <w:spacing w:val="-10"/>
                <w:szCs w:val="21"/>
                <w:lang w:eastAsia="zh-CN"/>
              </w:rPr>
              <w:t>装修废气</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装修过程中主要污染因子是涂料挥发废气，该废气的排放属无组织排放，由于装修阶段的装修废气排放周期短，且装修面积较少、作业点分散，故装修期间应加强通风换气，环评要求:施工期采用优质环保的装修材料，减少废气中有害物质的排放。其对周围环境的影响很小。</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在进行以上防治措施后，加上项目所在场地扩散条件好，项目施工阶段产生的废气对周围环境产生的影响较小。</w:t>
            </w:r>
          </w:p>
          <w:p>
            <w:pPr>
              <w:spacing w:beforeLines="0" w:afterLines="0"/>
              <w:jc w:val="left"/>
              <w:rPr>
                <w:rFonts w:hint="default" w:ascii="Times New Roman" w:hAnsi="Times New Roman" w:eastAsia="宋体" w:cs="Times New Roman"/>
                <w:b/>
                <w:bCs w:val="0"/>
                <w:spacing w:val="-10"/>
                <w:szCs w:val="21"/>
                <w:lang w:eastAsia="zh-CN"/>
              </w:rPr>
            </w:pPr>
            <w:r>
              <w:rPr>
                <w:rFonts w:hint="default" w:ascii="Times New Roman" w:hAnsi="Times New Roman" w:eastAsia="宋体" w:cs="Times New Roman"/>
                <w:b/>
                <w:bCs w:val="0"/>
                <w:spacing w:val="-10"/>
                <w:szCs w:val="21"/>
                <w:lang w:eastAsia="zh-CN"/>
              </w:rPr>
              <w:t>4.1.2 废水</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本项目施工期废水主要为施工人员生活污水和建筑施工产生的生产废水。</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(1)施工期生活污水</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项目施工人员预计可达</w:t>
            </w:r>
            <w:r>
              <w:rPr>
                <w:rFonts w:hint="eastAsia" w:cs="Times New Roman"/>
                <w:bCs/>
                <w:spacing w:val="-10"/>
                <w:szCs w:val="21"/>
                <w:lang w:val="en-US" w:eastAsia="zh-CN"/>
              </w:rPr>
              <w:t>5</w:t>
            </w:r>
            <w:r>
              <w:rPr>
                <w:rFonts w:hint="default" w:ascii="Times New Roman" w:hAnsi="Times New Roman" w:eastAsia="宋体" w:cs="Times New Roman"/>
                <w:bCs/>
                <w:spacing w:val="-10"/>
                <w:szCs w:val="21"/>
                <w:lang w:eastAsia="zh-CN"/>
              </w:rPr>
              <w:t>0人，参考《四川省用水定额》(川府函(2021)8号)，施工人员生活用水量按160L</w:t>
            </w:r>
            <w:r>
              <w:rPr>
                <w:rFonts w:hint="eastAsia" w:ascii="Times New Roman" w:hAnsi="Times New Roman" w:eastAsia="宋体" w:cs="Times New Roman"/>
                <w:bCs/>
                <w:spacing w:val="-10"/>
                <w:szCs w:val="21"/>
                <w:lang w:val="en-US" w:eastAsia="zh-CN"/>
              </w:rPr>
              <w:t>/</w:t>
            </w:r>
            <w:r>
              <w:rPr>
                <w:rFonts w:hint="default" w:ascii="Times New Roman" w:hAnsi="Times New Roman" w:eastAsia="宋体" w:cs="Times New Roman"/>
                <w:bCs/>
                <w:spacing w:val="-10"/>
                <w:szCs w:val="21"/>
                <w:lang w:eastAsia="zh-CN"/>
              </w:rPr>
              <w:t>人·d计，生活污水产生系数取0.9，则生活污水产生量为</w:t>
            </w:r>
            <w:r>
              <w:rPr>
                <w:rFonts w:hint="eastAsia" w:cs="Times New Roman"/>
                <w:bCs/>
                <w:spacing w:val="-10"/>
                <w:szCs w:val="21"/>
                <w:lang w:val="en-US" w:eastAsia="zh-CN"/>
              </w:rPr>
              <w:t>7.2</w:t>
            </w:r>
            <w:r>
              <w:rPr>
                <w:rFonts w:hint="default" w:ascii="Times New Roman" w:hAnsi="Times New Roman" w:eastAsia="宋体" w:cs="Times New Roman"/>
                <w:bCs/>
                <w:spacing w:val="-10"/>
                <w:szCs w:val="21"/>
                <w:lang w:eastAsia="zh-CN"/>
              </w:rPr>
              <w:t>m</w:t>
            </w:r>
            <w:r>
              <w:rPr>
                <w:rFonts w:hint="eastAsia" w:ascii="Times New Roman" w:hAnsi="Times New Roman" w:eastAsia="宋体" w:cs="Times New Roman"/>
                <w:bCs/>
                <w:spacing w:val="-10"/>
                <w:szCs w:val="21"/>
                <w:vertAlign w:val="superscript"/>
                <w:lang w:val="en-US" w:eastAsia="zh-CN"/>
              </w:rPr>
              <w:t>3</w:t>
            </w:r>
            <w:r>
              <w:rPr>
                <w:rFonts w:hint="default" w:ascii="Times New Roman" w:hAnsi="Times New Roman" w:eastAsia="宋体" w:cs="Times New Roman"/>
                <w:bCs/>
                <w:spacing w:val="-10"/>
                <w:szCs w:val="21"/>
                <w:lang w:eastAsia="zh-CN"/>
              </w:rPr>
              <w:t>/d。生活污水</w:t>
            </w:r>
            <w:r>
              <w:rPr>
                <w:rFonts w:hint="eastAsia" w:cs="Times New Roman"/>
                <w:bCs/>
                <w:spacing w:val="-10"/>
                <w:szCs w:val="21"/>
                <w:lang w:val="en-US" w:eastAsia="zh-CN"/>
              </w:rPr>
              <w:t>经临时化粪池预处理后</w:t>
            </w:r>
            <w:r>
              <w:rPr>
                <w:rFonts w:hint="eastAsia" w:ascii="Times New Roman" w:hAnsi="Times New Roman" w:eastAsia="宋体" w:cs="Times New Roman"/>
                <w:bCs/>
                <w:spacing w:val="-10"/>
                <w:szCs w:val="21"/>
                <w:lang w:val="en-US" w:eastAsia="zh-CN"/>
              </w:rPr>
              <w:t>排入市政管网，后经</w:t>
            </w:r>
            <w:r>
              <w:rPr>
                <w:rFonts w:hint="eastAsia" w:cs="Times New Roman"/>
                <w:bCs/>
                <w:spacing w:val="-10"/>
                <w:szCs w:val="21"/>
                <w:lang w:val="en-US" w:eastAsia="zh-CN"/>
              </w:rPr>
              <w:t>普光园区</w:t>
            </w:r>
            <w:r>
              <w:rPr>
                <w:rFonts w:hint="eastAsia" w:ascii="Times New Roman" w:hAnsi="Times New Roman" w:eastAsia="宋体" w:cs="Times New Roman"/>
                <w:bCs/>
                <w:spacing w:val="-10"/>
                <w:szCs w:val="21"/>
                <w:lang w:val="en-US" w:eastAsia="zh-CN"/>
              </w:rPr>
              <w:t>污水处理厂处理达标后排入</w:t>
            </w:r>
            <w:r>
              <w:rPr>
                <w:rFonts w:hint="eastAsia" w:cs="Times New Roman"/>
                <w:bCs/>
                <w:spacing w:val="-10"/>
                <w:szCs w:val="21"/>
                <w:lang w:val="en-US" w:eastAsia="zh-CN"/>
              </w:rPr>
              <w:t>后河</w:t>
            </w:r>
            <w:r>
              <w:rPr>
                <w:rFonts w:hint="default" w:ascii="Times New Roman" w:hAnsi="Times New Roman" w:eastAsia="宋体" w:cs="Times New Roman"/>
                <w:bCs/>
                <w:spacing w:val="-10"/>
                <w:szCs w:val="21"/>
                <w:lang w:eastAsia="zh-CN"/>
              </w:rPr>
              <w:t>。</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(2)施工期施工废水</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施工废水中的主要污染物为pH(一般大于7)、SS、COD、石油类，污水中COD 浓度值最高约500mgL、BOD</w:t>
            </w:r>
            <w:r>
              <w:rPr>
                <w:rFonts w:hint="eastAsia" w:ascii="Times New Roman" w:hAnsi="Times New Roman" w:eastAsia="宋体" w:cs="Times New Roman"/>
                <w:bCs/>
                <w:spacing w:val="-10"/>
                <w:szCs w:val="21"/>
                <w:vertAlign w:val="subscript"/>
                <w:lang w:val="en-US" w:eastAsia="zh-CN"/>
              </w:rPr>
              <w:t>5</w:t>
            </w:r>
            <w:r>
              <w:rPr>
                <w:rFonts w:hint="default" w:ascii="Times New Roman" w:hAnsi="Times New Roman" w:eastAsia="宋体" w:cs="Times New Roman"/>
                <w:bCs/>
                <w:spacing w:val="-10"/>
                <w:szCs w:val="21"/>
                <w:lang w:eastAsia="zh-CN"/>
              </w:rPr>
              <w:t>约400mg</w:t>
            </w:r>
            <w:r>
              <w:rPr>
                <w:rFonts w:hint="eastAsia" w:ascii="Times New Roman" w:hAnsi="Times New Roman" w:eastAsia="宋体" w:cs="Times New Roman"/>
                <w:bCs/>
                <w:spacing w:val="-10"/>
                <w:szCs w:val="21"/>
                <w:lang w:val="en-US" w:eastAsia="zh-CN"/>
              </w:rPr>
              <w:t>/L</w:t>
            </w:r>
            <w:r>
              <w:rPr>
                <w:rFonts w:hint="default" w:ascii="Times New Roman" w:hAnsi="Times New Roman" w:eastAsia="宋体" w:cs="Times New Roman"/>
                <w:bCs/>
                <w:spacing w:val="-10"/>
                <w:szCs w:val="21"/>
                <w:lang w:eastAsia="zh-CN"/>
              </w:rPr>
              <w:t>、SS约1000mg</w:t>
            </w:r>
            <w:r>
              <w:rPr>
                <w:rFonts w:hint="eastAsia" w:ascii="Times New Roman" w:hAnsi="Times New Roman" w:eastAsia="宋体" w:cs="Times New Roman"/>
                <w:bCs/>
                <w:spacing w:val="-10"/>
                <w:szCs w:val="21"/>
                <w:lang w:val="en-US" w:eastAsia="zh-CN"/>
              </w:rPr>
              <w:t>/L</w:t>
            </w:r>
            <w:r>
              <w:rPr>
                <w:rFonts w:hint="default" w:ascii="Times New Roman" w:hAnsi="Times New Roman" w:eastAsia="宋体" w:cs="Times New Roman"/>
                <w:bCs/>
                <w:spacing w:val="-10"/>
                <w:szCs w:val="21"/>
                <w:lang w:eastAsia="zh-CN"/>
              </w:rPr>
              <w:t>。经类比分析，项目施工期施工废水预计排放量为50m</w:t>
            </w:r>
            <w:r>
              <w:rPr>
                <w:rFonts w:hint="eastAsia" w:ascii="Times New Roman" w:hAnsi="Times New Roman" w:eastAsia="宋体" w:cs="Times New Roman"/>
                <w:bCs/>
                <w:spacing w:val="-10"/>
                <w:szCs w:val="21"/>
                <w:vertAlign w:val="superscript"/>
                <w:lang w:val="en-US" w:eastAsia="zh-CN"/>
              </w:rPr>
              <w:t>3</w:t>
            </w:r>
            <w:r>
              <w:rPr>
                <w:rFonts w:hint="default" w:ascii="Times New Roman" w:hAnsi="Times New Roman" w:eastAsia="宋体" w:cs="Times New Roman"/>
                <w:bCs/>
                <w:spacing w:val="-10"/>
                <w:szCs w:val="21"/>
                <w:lang w:eastAsia="zh-CN"/>
              </w:rPr>
              <w:t>/d，为防止施工废水对区域地表水环境造成影响，环评要求建设单位应采取以下污染防治措施</w:t>
            </w:r>
            <w:r>
              <w:rPr>
                <w:rFonts w:hint="eastAsia" w:ascii="Times New Roman" w:hAnsi="Times New Roman" w:eastAsia="宋体" w:cs="Times New Roman"/>
                <w:bCs/>
                <w:spacing w:val="-10"/>
                <w:szCs w:val="21"/>
                <w:lang w:eastAsia="zh-CN"/>
              </w:rPr>
              <w:t>：</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(1)施工场地或沿线设置排水沟(沟宽</w:t>
            </w:r>
            <w:r>
              <w:rPr>
                <w:rFonts w:hint="default" w:ascii="Arial" w:hAnsi="Arial" w:eastAsia="宋体" w:cs="Arial"/>
                <w:bCs/>
                <w:spacing w:val="-10"/>
                <w:szCs w:val="21"/>
                <w:lang w:eastAsia="zh-CN"/>
              </w:rPr>
              <w:t>×</w:t>
            </w:r>
            <w:r>
              <w:rPr>
                <w:rFonts w:hint="default" w:ascii="Times New Roman" w:hAnsi="Times New Roman" w:eastAsia="宋体" w:cs="Times New Roman"/>
                <w:bCs/>
                <w:spacing w:val="-10"/>
                <w:szCs w:val="21"/>
                <w:lang w:eastAsia="zh-CN"/>
              </w:rPr>
              <w:t>深&gt;300</w:t>
            </w:r>
            <w:r>
              <w:rPr>
                <w:rFonts w:hint="default" w:ascii="Arial" w:hAnsi="Arial" w:eastAsia="宋体" w:cs="Arial"/>
                <w:bCs/>
                <w:spacing w:val="-10"/>
                <w:szCs w:val="21"/>
                <w:lang w:eastAsia="zh-CN"/>
              </w:rPr>
              <w:t>×</w:t>
            </w:r>
            <w:r>
              <w:rPr>
                <w:rFonts w:hint="default" w:ascii="Times New Roman" w:hAnsi="Times New Roman" w:eastAsia="宋体" w:cs="Times New Roman"/>
                <w:bCs/>
                <w:spacing w:val="-10"/>
                <w:szCs w:val="21"/>
                <w:lang w:eastAsia="zh-CN"/>
              </w:rPr>
              <w:t>300mm，排水坡度应大于3%)和三级沉淀池(池体容积&gt;</w:t>
            </w:r>
            <w:r>
              <w:rPr>
                <w:rFonts w:hint="eastAsia" w:ascii="Times New Roman" w:hAnsi="Times New Roman" w:eastAsia="宋体" w:cs="Times New Roman"/>
                <w:bCs/>
                <w:spacing w:val="-10"/>
                <w:szCs w:val="21"/>
                <w:lang w:val="en-US" w:eastAsia="zh-CN"/>
              </w:rPr>
              <w:t>2</w:t>
            </w:r>
            <w:r>
              <w:rPr>
                <w:rFonts w:hint="default" w:ascii="Times New Roman" w:hAnsi="Times New Roman" w:eastAsia="宋体" w:cs="Times New Roman"/>
                <w:bCs/>
                <w:spacing w:val="-10"/>
                <w:szCs w:val="21"/>
                <w:lang w:eastAsia="zh-CN"/>
              </w:rPr>
              <w:t>m</w:t>
            </w:r>
            <w:r>
              <w:rPr>
                <w:rFonts w:hint="eastAsia" w:ascii="Times New Roman" w:hAnsi="Times New Roman" w:eastAsia="宋体" w:cs="Times New Roman"/>
                <w:bCs/>
                <w:spacing w:val="-10"/>
                <w:szCs w:val="21"/>
                <w:vertAlign w:val="superscript"/>
                <w:lang w:val="en-US" w:eastAsia="zh-CN"/>
              </w:rPr>
              <w:t>3</w:t>
            </w:r>
            <w:r>
              <w:rPr>
                <w:rFonts w:hint="default" w:ascii="Times New Roman" w:hAnsi="Times New Roman" w:eastAsia="宋体" w:cs="Times New Roman"/>
                <w:bCs/>
                <w:spacing w:val="-10"/>
                <w:szCs w:val="21"/>
                <w:lang w:eastAsia="zh-CN"/>
              </w:rPr>
              <w:t>)，车辆冲洗点配套修建隔油设施(池体容积&gt;1m)，废水经沉淀、隔油处理后全部回用。</w:t>
            </w:r>
          </w:p>
          <w:p>
            <w:pPr>
              <w:spacing w:beforeLines="0" w:afterLines="0"/>
              <w:jc w:val="left"/>
              <w:rPr>
                <w:rFonts w:hint="default" w:ascii="Times New Roman" w:hAnsi="Times New Roman" w:eastAsia="宋体" w:cs="Times New Roman"/>
                <w:bCs/>
                <w:spacing w:val="-10"/>
                <w:szCs w:val="21"/>
                <w:lang w:eastAsia="zh-CN"/>
              </w:rPr>
            </w:pPr>
            <w:r>
              <w:rPr>
                <w:rFonts w:hint="default" w:ascii="Times New Roman" w:hAnsi="Times New Roman" w:eastAsia="宋体" w:cs="Times New Roman"/>
                <w:bCs/>
                <w:spacing w:val="-10"/>
                <w:szCs w:val="21"/>
                <w:lang w:eastAsia="zh-CN"/>
              </w:rPr>
              <w:t>(2)加强施工管理，严格避免超挖、禁止雨天开挖作业;场地内地下渗水应收集后用作车辆冲洗、洒水降尘等。</w:t>
            </w:r>
          </w:p>
          <w:p>
            <w:pPr>
              <w:spacing w:beforeLines="0" w:afterLines="0"/>
              <w:jc w:val="left"/>
              <w:rPr>
                <w:rFonts w:hint="default" w:ascii="Times New Roman" w:hAnsi="Times New Roman" w:eastAsia="宋体" w:cs="Times New Roman"/>
                <w:bCs/>
                <w:spacing w:val="-10"/>
                <w:szCs w:val="21"/>
                <w:lang w:val="en-US" w:eastAsia="zh-CN"/>
              </w:rPr>
            </w:pPr>
            <w:r>
              <w:rPr>
                <w:rFonts w:hint="default" w:ascii="Times New Roman" w:hAnsi="Times New Roman" w:eastAsia="宋体" w:cs="Times New Roman"/>
                <w:bCs/>
                <w:spacing w:val="-10"/>
                <w:szCs w:val="21"/>
                <w:lang w:eastAsia="zh-CN"/>
              </w:rPr>
              <w:t>综上所述，在采取上述处理措施后，施工期废水可实现循环利用或达标排放，不会对</w:t>
            </w:r>
            <w:r>
              <w:rPr>
                <w:rFonts w:hint="eastAsia" w:ascii="Times New Roman" w:hAnsi="Times New Roman" w:eastAsia="宋体" w:cs="Times New Roman"/>
                <w:bCs/>
                <w:spacing w:val="-10"/>
                <w:szCs w:val="21"/>
                <w:lang w:val="en-US" w:eastAsia="zh-CN"/>
              </w:rPr>
              <w:t>地表水环境造成影响。</w:t>
            </w:r>
          </w:p>
          <w:p>
            <w:pPr>
              <w:spacing w:beforeLines="0" w:afterLines="0"/>
              <w:jc w:val="left"/>
              <w:rPr>
                <w:rFonts w:hint="default" w:ascii="Times New Roman" w:hAnsi="Times New Roman" w:eastAsia="宋体" w:cs="Times New Roman"/>
                <w:b/>
                <w:bCs w:val="0"/>
                <w:spacing w:val="-10"/>
                <w:szCs w:val="21"/>
                <w:lang w:eastAsia="zh-CN"/>
              </w:rPr>
            </w:pPr>
            <w:r>
              <w:rPr>
                <w:rFonts w:hint="default" w:ascii="Times New Roman" w:hAnsi="Times New Roman" w:eastAsia="宋体" w:cs="Times New Roman"/>
                <w:b/>
                <w:bCs w:val="0"/>
                <w:spacing w:val="-10"/>
                <w:szCs w:val="21"/>
                <w:lang w:eastAsia="zh-CN"/>
              </w:rPr>
              <w:t>4.1.3 噪声</w:t>
            </w:r>
          </w:p>
          <w:p>
            <w:pPr>
              <w:pStyle w:val="8"/>
              <w:rPr>
                <w:rFonts w:hint="default" w:ascii="Times New Roman" w:hAnsi="Times New Roman" w:cs="Times New Roman"/>
                <w:lang w:eastAsia="zh-CN"/>
              </w:rPr>
            </w:pPr>
            <w:r>
              <w:rPr>
                <w:rFonts w:hint="default" w:ascii="Times New Roman" w:hAnsi="Times New Roman" w:cs="Times New Roman"/>
                <w:lang w:eastAsia="zh-CN"/>
              </w:rPr>
              <w:t>施工期主要噪声为施工器械噪声、车辆运输噪声等，施工期采取如下措施降低施工噪声对周边环境的影响。</w:t>
            </w:r>
          </w:p>
          <w:p>
            <w:pPr>
              <w:pStyle w:val="8"/>
              <w:rPr>
                <w:rFonts w:hint="default" w:ascii="Times New Roman" w:hAnsi="Times New Roman" w:cs="Times New Roman"/>
                <w:lang w:eastAsia="zh-CN"/>
              </w:rPr>
            </w:pPr>
            <w:r>
              <w:rPr>
                <w:rFonts w:hint="default" w:ascii="Times New Roman" w:hAnsi="Times New Roman" w:cs="Times New Roman"/>
                <w:lang w:eastAsia="zh-CN"/>
              </w:rPr>
              <w:t>①选用噪声相对较低的施工机械设备，并及时对设备进行维护，防止设备消音器损坏而增加工作室的声压级;</w:t>
            </w:r>
          </w:p>
          <w:p>
            <w:pPr>
              <w:pStyle w:val="8"/>
              <w:rPr>
                <w:rFonts w:hint="eastAsia" w:ascii="Times New Roman" w:hAnsi="Times New Roman" w:cs="Times New Roman"/>
                <w:lang w:eastAsia="zh-CN"/>
              </w:rPr>
            </w:pPr>
            <w:r>
              <w:rPr>
                <w:rFonts w:hint="default" w:ascii="Times New Roman" w:hAnsi="Times New Roman" w:cs="Times New Roman"/>
                <w:lang w:eastAsia="zh-CN"/>
              </w:rPr>
              <w:t>②噪声较大的施工机械工作时，采用具有吸声材料的围障降噪</w:t>
            </w:r>
            <w:r>
              <w:rPr>
                <w:rFonts w:hint="eastAsia" w:ascii="Times New Roman" w:hAnsi="Times New Roman" w:cs="Times New Roman"/>
                <w:lang w:eastAsia="zh-CN"/>
              </w:rPr>
              <w:t>；</w:t>
            </w:r>
          </w:p>
          <w:p>
            <w:pPr>
              <w:pStyle w:val="8"/>
              <w:rPr>
                <w:rFonts w:hint="default" w:ascii="Times New Roman" w:hAnsi="Times New Roman" w:cs="Times New Roman"/>
                <w:lang w:eastAsia="zh-CN"/>
              </w:rPr>
            </w:pPr>
            <w:r>
              <w:rPr>
                <w:rFonts w:hint="default" w:ascii="Times New Roman" w:hAnsi="Times New Roman" w:cs="Times New Roman"/>
                <w:lang w:eastAsia="zh-CN"/>
              </w:rPr>
              <w:t>③施工方应对物件装卸、搬运轻拿轻放，严禁抛掷;</w:t>
            </w:r>
          </w:p>
          <w:p>
            <w:pPr>
              <w:pStyle w:val="8"/>
              <w:rPr>
                <w:rFonts w:hint="default" w:ascii="Times New Roman" w:hAnsi="Times New Roman" w:cs="Times New Roman"/>
                <w:lang w:eastAsia="zh-CN"/>
              </w:rPr>
            </w:pPr>
            <w:r>
              <w:rPr>
                <w:rFonts w:hint="default" w:ascii="Times New Roman" w:hAnsi="Times New Roman" w:cs="Times New Roman"/>
                <w:lang w:eastAsia="zh-CN"/>
              </w:rPr>
              <w:t>④合理安排施工工序，避免在同一时间集中使用切割机、抛光机、电锯</w:t>
            </w:r>
            <w:r>
              <w:rPr>
                <w:rFonts w:hint="default" w:ascii="Times New Roman" w:hAnsi="Times New Roman" w:cs="Times New Roman"/>
                <w:lang w:val="en-US" w:eastAsia="zh-CN"/>
              </w:rPr>
              <w:t>作业</w:t>
            </w:r>
            <w:r>
              <w:rPr>
                <w:rFonts w:hint="default" w:ascii="Times New Roman" w:hAnsi="Times New Roman" w:cs="Times New Roman"/>
                <w:lang w:eastAsia="zh-CN"/>
              </w:rPr>
              <w:t>;</w:t>
            </w:r>
          </w:p>
          <w:p>
            <w:pPr>
              <w:pStyle w:val="8"/>
              <w:rPr>
                <w:rFonts w:hint="default" w:ascii="Times New Roman" w:hAnsi="Times New Roman" w:cs="Times New Roman"/>
                <w:lang w:eastAsia="zh-CN"/>
              </w:rPr>
            </w:pPr>
            <w:r>
              <w:rPr>
                <w:rFonts w:hint="default" w:ascii="Times New Roman" w:hAnsi="Times New Roman" w:cs="Times New Roman"/>
                <w:lang w:eastAsia="zh-CN"/>
              </w:rPr>
              <w:t>⑤施工方应合理安排施工时间(禁止在12:00~14:00、22:00~6:00期间施工)，在施工期间张贴公告，并向周围公众做好解释工作;</w:t>
            </w:r>
          </w:p>
          <w:p>
            <w:pPr>
              <w:pStyle w:val="8"/>
              <w:rPr>
                <w:rFonts w:hint="default" w:ascii="Times New Roman" w:hAnsi="Times New Roman" w:cs="Times New Roman"/>
                <w:lang w:eastAsia="zh-CN"/>
              </w:rPr>
            </w:pPr>
            <w:r>
              <w:rPr>
                <w:rFonts w:hint="default" w:ascii="Times New Roman" w:hAnsi="Times New Roman" w:cs="Times New Roman"/>
                <w:lang w:eastAsia="zh-CN"/>
              </w:rPr>
              <w:t>⑥在厂界周边设置围挡。</w:t>
            </w:r>
          </w:p>
          <w:p>
            <w:pPr>
              <w:pStyle w:val="8"/>
              <w:rPr>
                <w:rFonts w:hint="default" w:ascii="Times New Roman" w:hAnsi="Times New Roman" w:cs="Times New Roman"/>
                <w:lang w:eastAsia="zh-CN"/>
              </w:rPr>
            </w:pPr>
            <w:r>
              <w:rPr>
                <w:rFonts w:hint="default" w:ascii="Times New Roman" w:hAnsi="Times New Roman" w:cs="Times New Roman"/>
                <w:lang w:eastAsia="zh-CN"/>
              </w:rPr>
              <w:t>通过以上措施的实施，可以将施工期机械噪声降低至昼间70dB(A)以下最大限度</w:t>
            </w:r>
            <w:r>
              <w:rPr>
                <w:rFonts w:hint="eastAsia" w:ascii="Times New Roman" w:hAnsi="Times New Roman" w:cs="Times New Roman"/>
                <w:lang w:eastAsia="zh-CN"/>
              </w:rPr>
              <w:t>地</w:t>
            </w:r>
            <w:r>
              <w:rPr>
                <w:rFonts w:hint="default" w:ascii="Times New Roman" w:hAnsi="Times New Roman" w:cs="Times New Roman"/>
                <w:lang w:eastAsia="zh-CN"/>
              </w:rPr>
              <w:t>减小施工期对环境的影响。项目施工期较短，随着施工期的结束施工期噪声的影响也随之消失。</w:t>
            </w:r>
          </w:p>
          <w:p>
            <w:pPr>
              <w:pStyle w:val="8"/>
              <w:rPr>
                <w:rFonts w:hint="default" w:ascii="Times New Roman" w:hAnsi="Times New Roman" w:cs="Times New Roman"/>
                <w:b/>
                <w:bCs/>
                <w:lang w:eastAsia="zh-CN"/>
              </w:rPr>
            </w:pPr>
            <w:r>
              <w:rPr>
                <w:rFonts w:hint="default" w:ascii="Times New Roman" w:hAnsi="Times New Roman" w:cs="Times New Roman"/>
                <w:b/>
                <w:bCs/>
                <w:lang w:eastAsia="zh-CN"/>
              </w:rPr>
              <w:t>4.1.4 固体废物</w:t>
            </w:r>
          </w:p>
          <w:p>
            <w:pPr>
              <w:pStyle w:val="8"/>
              <w:rPr>
                <w:rFonts w:hint="default" w:ascii="Times New Roman" w:hAnsi="Times New Roman" w:cs="Times New Roman"/>
                <w:lang w:eastAsia="zh-CN"/>
              </w:rPr>
            </w:pPr>
            <w:r>
              <w:rPr>
                <w:rFonts w:hint="default" w:ascii="Times New Roman" w:hAnsi="Times New Roman" w:cs="Times New Roman"/>
                <w:lang w:eastAsia="zh-CN"/>
              </w:rPr>
              <w:t>项目施工期固体废弃物主要为建筑垃圾和生活垃圾，同时开挖存在少量土石方。建筑垃圾主要有</w:t>
            </w:r>
            <w:r>
              <w:rPr>
                <w:rFonts w:hint="eastAsia" w:ascii="Times New Roman" w:hAnsi="Times New Roman" w:cs="Times New Roman"/>
                <w:lang w:val="en-US" w:eastAsia="zh-CN"/>
              </w:rPr>
              <w:t>建筑垃圾、</w:t>
            </w:r>
            <w:r>
              <w:rPr>
                <w:rFonts w:hint="default" w:ascii="Times New Roman" w:hAnsi="Times New Roman" w:cs="Times New Roman"/>
                <w:lang w:eastAsia="zh-CN"/>
              </w:rPr>
              <w:t>边角废料、废弃包装袋及装修废材料。主要产生于石工阶段打线槽、拆墙，水电工阶段穿管、布线，泥瓦工阶段土建建墙、修补、水泥沙浆抹面、刷腻子粉、贴地砖，木工阶段的墙面装饰、吊顶，漆工阶段及设备安装工序。本项目将建筑垃圾进行简单分类，能够回收利用的进行回收利用，不能回收利用的运至指定地点妥善处置，建筑垃圾及时转运，不得在厂区长时间堆放;土石方开挖会产生少量废弃土石方，尽可能回填施工现场，不能回填的运至指定地点进行填埋。生活垃圾收集后交由环卫部门清运处理。</w:t>
            </w:r>
          </w:p>
          <w:p>
            <w:pPr>
              <w:spacing w:beforeLines="0" w:afterLines="0"/>
              <w:jc w:val="left"/>
              <w:rPr>
                <w:rFonts w:hint="eastAsia" w:ascii="宋体" w:hAnsi="宋体" w:eastAsia="宋体" w:cs="宋体"/>
                <w:bCs/>
                <w:spacing w:val="-10"/>
                <w:szCs w:val="21"/>
                <w:lang w:eastAsia="zh-CN"/>
              </w:rPr>
            </w:pPr>
            <w:r>
              <w:rPr>
                <w:rFonts w:hint="default" w:ascii="Times New Roman" w:hAnsi="Times New Roman" w:cs="Times New Roman"/>
                <w:lang w:eastAsia="zh-CN"/>
              </w:rPr>
              <w:t>采取以上措施后，不会造成二次污染，项目施工时产生的固体废物对周围环境影响较小。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noWrap w:val="0"/>
            <w:tcMar>
              <w:left w:w="28" w:type="dxa"/>
              <w:right w:w="28" w:type="dxa"/>
            </w:tcMar>
            <w:vAlign w:val="center"/>
          </w:tcPr>
          <w:p>
            <w:pPr>
              <w:pStyle w:val="30"/>
              <w:bidi w:val="0"/>
            </w:pPr>
            <w:r>
              <w:rPr>
                <w:rFonts w:hint="eastAsia"/>
              </w:rPr>
              <w:t>运营期环境影响和保护措施</w:t>
            </w:r>
          </w:p>
        </w:tc>
        <w:tc>
          <w:tcPr>
            <w:tcW w:w="4581" w:type="pct"/>
            <w:noWrap w:val="0"/>
            <w:vAlign w:val="top"/>
          </w:tcPr>
          <w:p>
            <w:pPr>
              <w:pStyle w:val="31"/>
              <w:keepNext w:val="0"/>
              <w:keepLines w:val="0"/>
              <w:pageBreakBefore w:val="0"/>
              <w:widowControl w:val="0"/>
              <w:kinsoku/>
              <w:wordWrap/>
              <w:overflowPunct/>
              <w:topLinePunct w:val="0"/>
              <w:bidi w:val="0"/>
              <w:adjustRightInd w:val="0"/>
              <w:snapToGrid/>
              <w:spacing w:line="360" w:lineRule="auto"/>
              <w:jc w:val="both"/>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4.2运营期环境影响及保护措施</w:t>
            </w:r>
          </w:p>
          <w:p>
            <w:pPr>
              <w:pStyle w:val="31"/>
              <w:keepNext w:val="0"/>
              <w:keepLines w:val="0"/>
              <w:pageBreakBefore w:val="0"/>
              <w:widowControl w:val="0"/>
              <w:kinsoku/>
              <w:wordWrap/>
              <w:overflowPunct/>
              <w:topLinePunct w:val="0"/>
              <w:bidi w:val="0"/>
              <w:adjustRightInd w:val="0"/>
              <w:snapToGrid/>
              <w:spacing w:line="360" w:lineRule="auto"/>
              <w:jc w:val="both"/>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4.2.1 废气</w:t>
            </w:r>
          </w:p>
          <w:p>
            <w:pPr>
              <w:pStyle w:val="31"/>
              <w:keepNext w:val="0"/>
              <w:keepLines w:val="0"/>
              <w:pageBreakBefore w:val="0"/>
              <w:widowControl w:val="0"/>
              <w:kinsoku/>
              <w:wordWrap/>
              <w:overflowPunct/>
              <w:topLinePunct w:val="0"/>
              <w:bidi w:val="0"/>
              <w:adjustRightInd w:val="0"/>
              <w:snapToGrid/>
              <w:spacing w:line="360" w:lineRule="auto"/>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根据项目生产工艺可知，本项目</w:t>
            </w:r>
            <w:r>
              <w:rPr>
                <w:rFonts w:hint="default" w:ascii="Times New Roman" w:hAnsi="Times New Roman" w:eastAsia="宋体" w:cs="Times New Roman"/>
                <w:sz w:val="24"/>
                <w:szCs w:val="24"/>
                <w:lang w:val="en-US" w:eastAsia="zh-CN"/>
              </w:rPr>
              <w:t>消防站</w:t>
            </w:r>
            <w:r>
              <w:rPr>
                <w:rFonts w:hint="eastAsia" w:ascii="Times New Roman" w:hAnsi="Times New Roman" w:cs="Times New Roman"/>
                <w:sz w:val="24"/>
                <w:szCs w:val="24"/>
                <w:lang w:val="en-US" w:eastAsia="zh-CN"/>
              </w:rPr>
              <w:t>及停车场均</w:t>
            </w:r>
            <w:r>
              <w:rPr>
                <w:rFonts w:hint="default" w:ascii="Times New Roman" w:hAnsi="Times New Roman" w:eastAsia="宋体" w:cs="Times New Roman"/>
                <w:sz w:val="24"/>
                <w:szCs w:val="24"/>
                <w:lang w:eastAsia="zh-CN"/>
              </w:rPr>
              <w:t>设置</w:t>
            </w:r>
            <w:r>
              <w:rPr>
                <w:rFonts w:hint="eastAsia" w:ascii="Times New Roman" w:hAnsi="Times New Roman" w:cs="Times New Roman"/>
                <w:sz w:val="24"/>
                <w:szCs w:val="24"/>
                <w:lang w:eastAsia="zh-CN"/>
              </w:rPr>
              <w:t>了</w:t>
            </w:r>
            <w:r>
              <w:rPr>
                <w:rFonts w:hint="default" w:ascii="Times New Roman" w:hAnsi="Times New Roman" w:eastAsia="宋体" w:cs="Times New Roman"/>
                <w:sz w:val="24"/>
                <w:szCs w:val="24"/>
                <w:lang w:val="en-US" w:eastAsia="zh-CN"/>
              </w:rPr>
              <w:t>一台</w:t>
            </w:r>
            <w:r>
              <w:rPr>
                <w:rFonts w:hint="default" w:ascii="Times New Roman" w:hAnsi="Times New Roman" w:eastAsia="宋体" w:cs="Times New Roman"/>
                <w:sz w:val="24"/>
                <w:szCs w:val="24"/>
                <w:lang w:eastAsia="zh-CN"/>
              </w:rPr>
              <w:t>备用发电机，</w:t>
            </w:r>
            <w:r>
              <w:rPr>
                <w:rFonts w:hint="eastAsia" w:ascii="Times New Roman" w:hAnsi="Times New Roman" w:cs="Times New Roman"/>
                <w:sz w:val="24"/>
                <w:szCs w:val="24"/>
                <w:lang w:val="en-US" w:eastAsia="zh-CN"/>
              </w:rPr>
              <w:t>同时</w:t>
            </w:r>
            <w:r>
              <w:rPr>
                <w:rFonts w:hint="default" w:ascii="Times New Roman" w:hAnsi="Times New Roman" w:eastAsia="宋体" w:cs="Times New Roman"/>
                <w:sz w:val="24"/>
                <w:szCs w:val="24"/>
                <w:lang w:val="en-US" w:eastAsia="zh-CN"/>
              </w:rPr>
              <w:t>项目消防站</w:t>
            </w:r>
            <w:r>
              <w:rPr>
                <w:rFonts w:hint="default" w:ascii="Times New Roman" w:hAnsi="Times New Roman" w:eastAsia="宋体" w:cs="Times New Roman"/>
                <w:sz w:val="24"/>
                <w:szCs w:val="24"/>
                <w:lang w:eastAsia="zh-CN"/>
              </w:rPr>
              <w:t>设置</w:t>
            </w:r>
            <w:r>
              <w:rPr>
                <w:rFonts w:hint="eastAsia" w:ascii="Times New Roman" w:hAnsi="Times New Roman" w:cs="Times New Roman"/>
                <w:sz w:val="24"/>
                <w:szCs w:val="24"/>
                <w:lang w:val="en-US" w:eastAsia="zh-CN"/>
              </w:rPr>
              <w:t>有</w:t>
            </w:r>
            <w:r>
              <w:rPr>
                <w:rFonts w:hint="default" w:ascii="Times New Roman" w:hAnsi="Times New Roman" w:eastAsia="宋体" w:cs="Times New Roman"/>
                <w:sz w:val="24"/>
                <w:szCs w:val="24"/>
                <w:lang w:eastAsia="zh-CN"/>
              </w:rPr>
              <w:t>员工食堂，</w:t>
            </w:r>
            <w:r>
              <w:rPr>
                <w:rFonts w:hint="default" w:ascii="Times New Roman" w:hAnsi="Times New Roman" w:eastAsia="宋体" w:cs="Times New Roman"/>
                <w:sz w:val="24"/>
                <w:szCs w:val="24"/>
                <w:lang w:val="en-US" w:eastAsia="zh-CN"/>
              </w:rPr>
              <w:t>停车场不设置</w:t>
            </w:r>
            <w:r>
              <w:rPr>
                <w:rFonts w:hint="default" w:ascii="Times New Roman" w:hAnsi="Times New Roman" w:eastAsia="宋体" w:cs="Times New Roman"/>
                <w:sz w:val="24"/>
                <w:szCs w:val="24"/>
                <w:lang w:eastAsia="zh-CN"/>
              </w:rPr>
              <w:t>。本项目废气污染源主要为部分盛装挥发性物质的槽罐车内残留的废气</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停车场车辆尾气、备用发电机废气以及食堂油烟</w:t>
            </w:r>
            <w:r>
              <w:rPr>
                <w:rFonts w:hint="eastAsia" w:ascii="Times New Roman" w:hAnsi="Times New Roman" w:cs="Times New Roman"/>
                <w:sz w:val="24"/>
                <w:szCs w:val="24"/>
                <w:lang w:val="en-US" w:eastAsia="zh-CN"/>
              </w:rPr>
              <w:t>、污水处理站废气、危废暂存间废气</w:t>
            </w:r>
            <w:r>
              <w:rPr>
                <w:rFonts w:hint="default" w:ascii="Times New Roman" w:hAnsi="Times New Roman" w:eastAsia="宋体" w:cs="Times New Roman"/>
                <w:sz w:val="24"/>
                <w:szCs w:val="24"/>
                <w:lang w:eastAsia="zh-CN"/>
              </w:rPr>
              <w:t>。</w:t>
            </w:r>
          </w:p>
          <w:p>
            <w:pPr>
              <w:pStyle w:val="33"/>
              <w:rPr>
                <w:rFonts w:hint="default"/>
                <w:b/>
                <w:bCs w:val="0"/>
                <w:lang w:val="en-US" w:eastAsia="zh-CN"/>
              </w:rPr>
            </w:pPr>
            <w:r>
              <w:rPr>
                <w:rFonts w:hint="eastAsia" w:ascii="Times New Roman" w:hAnsi="Times New Roman" w:eastAsia="宋体" w:cs="Times New Roman"/>
                <w:b/>
                <w:bCs w:val="0"/>
                <w:sz w:val="24"/>
                <w:szCs w:val="24"/>
                <w:lang w:val="en-US" w:eastAsia="zh-CN"/>
              </w:rPr>
              <w:t>1、槽罐车内残留废气</w:t>
            </w:r>
          </w:p>
          <w:p>
            <w:pPr>
              <w:pStyle w:val="31"/>
              <w:keepNext w:val="0"/>
              <w:keepLines w:val="0"/>
              <w:pageBreakBefore w:val="0"/>
              <w:widowControl w:val="0"/>
              <w:kinsoku/>
              <w:wordWrap/>
              <w:overflowPunct/>
              <w:topLinePunct w:val="0"/>
              <w:bidi w:val="0"/>
              <w:adjustRightInd w:val="0"/>
              <w:snapToGrid/>
              <w:spacing w:line="360" w:lineRule="auto"/>
              <w:jc w:val="both"/>
              <w:textAlignment w:val="auto"/>
              <w:rPr>
                <w:rFonts w:hint="default" w:ascii="Times New Roman" w:hAnsi="Times New Roman" w:eastAsia="宋体" w:cs="Times New Roman"/>
                <w:b/>
                <w:bCs/>
                <w:sz w:val="24"/>
                <w:szCs w:val="24"/>
                <w:lang w:eastAsia="zh-CN"/>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eastAsia="zh-CN"/>
              </w:rPr>
              <w:t>）</w:t>
            </w:r>
            <w:r>
              <w:rPr>
                <w:rFonts w:hint="default" w:ascii="Times New Roman" w:hAnsi="Times New Roman" w:eastAsia="宋体" w:cs="Times New Roman"/>
                <w:b/>
                <w:bCs/>
                <w:sz w:val="24"/>
                <w:szCs w:val="24"/>
                <w:lang w:eastAsia="zh-CN"/>
              </w:rPr>
              <w:t>槽罐车内残留的废气源强分析</w:t>
            </w:r>
          </w:p>
          <w:p>
            <w:pPr>
              <w:bidi w:val="0"/>
              <w:rPr>
                <w:rFonts w:hint="default"/>
                <w:lang w:eastAsia="zh-CN"/>
              </w:rPr>
            </w:pPr>
            <w:r>
              <w:rPr>
                <w:rFonts w:hint="default"/>
                <w:lang w:eastAsia="zh-CN"/>
              </w:rPr>
              <w:t>槽车承运物质(主要为</w:t>
            </w:r>
            <w:r>
              <w:rPr>
                <w:rFonts w:hint="default"/>
                <w:lang w:val="en-US" w:eastAsia="zh-CN"/>
              </w:rPr>
              <w:t>硫酸</w:t>
            </w:r>
            <w:r>
              <w:rPr>
                <w:rFonts w:hint="default"/>
                <w:lang w:eastAsia="zh-CN"/>
              </w:rPr>
              <w:t>、油类、有机化学品等)部分具有挥发性，主要成分为</w:t>
            </w:r>
            <w:r>
              <w:rPr>
                <w:rFonts w:hint="default"/>
                <w:lang w:val="en-US" w:eastAsia="zh-CN"/>
              </w:rPr>
              <w:t>酸雾、</w:t>
            </w:r>
            <w:r>
              <w:rPr>
                <w:rFonts w:hint="eastAsia"/>
                <w:lang w:val="en-US" w:eastAsia="zh-CN"/>
              </w:rPr>
              <w:t>VOCs、氨、二硫化碳</w:t>
            </w:r>
            <w:r>
              <w:rPr>
                <w:rFonts w:hint="default"/>
                <w:lang w:eastAsia="zh-CN"/>
              </w:rPr>
              <w:t>。因此，清洗前对罐内残留有机气体进行抽取引至废气处理装置处理(</w:t>
            </w:r>
            <w:r>
              <w:rPr>
                <w:rFonts w:hint="eastAsia" w:ascii="Times New Roman" w:hAnsi="Times New Roman" w:cs="Times New Roman"/>
                <w:lang w:val="en-US" w:eastAsia="zh-CN"/>
              </w:rPr>
              <w:t>碱喷淋+干式过滤棉+二级蜂窝状活性炭</w:t>
            </w:r>
            <w:r>
              <w:rPr>
                <w:rFonts w:hint="default"/>
                <w:lang w:eastAsia="zh-CN"/>
              </w:rPr>
              <w:t>)。每辆槽罐车内残留的废气</w:t>
            </w:r>
            <w:r>
              <w:rPr>
                <w:rFonts w:hint="default"/>
                <w:lang w:val="en-US" w:eastAsia="zh-CN"/>
              </w:rPr>
              <w:t>产生量</w:t>
            </w:r>
            <w:r>
              <w:rPr>
                <w:rFonts w:hint="default"/>
                <w:lang w:eastAsia="zh-CN"/>
              </w:rPr>
              <w:t>计算</w:t>
            </w:r>
            <w:r>
              <w:rPr>
                <w:rFonts w:hint="default"/>
                <w:lang w:val="en-US" w:eastAsia="zh-CN"/>
              </w:rPr>
              <w:t>方式</w:t>
            </w:r>
            <w:r>
              <w:rPr>
                <w:rFonts w:hint="default"/>
                <w:lang w:eastAsia="zh-CN"/>
              </w:rPr>
              <w:t>如下:</w:t>
            </w:r>
          </w:p>
          <w:p>
            <w:pPr>
              <w:bidi w:val="0"/>
              <w:rPr>
                <w:rFonts w:hint="default"/>
                <w:lang w:eastAsia="zh-CN"/>
              </w:rPr>
            </w:pPr>
            <w:r>
              <w:rPr>
                <w:rFonts w:hint="default"/>
                <w:lang w:val="en-US" w:eastAsia="zh-CN"/>
              </w:rPr>
              <w:t>以天然气为例：</w:t>
            </w:r>
            <w:r>
              <w:rPr>
                <w:rFonts w:hint="default"/>
                <w:lang w:eastAsia="zh-CN"/>
              </w:rPr>
              <w:t>查询</w:t>
            </w:r>
            <w:r>
              <w:rPr>
                <w:rFonts w:hint="default"/>
                <w:lang w:val="en-US" w:eastAsia="zh-CN"/>
              </w:rPr>
              <w:t>天然气</w:t>
            </w:r>
            <w:r>
              <w:rPr>
                <w:rFonts w:hint="default"/>
                <w:lang w:eastAsia="zh-CN"/>
              </w:rPr>
              <w:t>MSDS可知，</w:t>
            </w:r>
            <w:r>
              <w:rPr>
                <w:rFonts w:hint="default"/>
                <w:lang w:val="en-US" w:eastAsia="zh-CN"/>
              </w:rPr>
              <w:t>天然气</w:t>
            </w:r>
            <w:r>
              <w:rPr>
                <w:rFonts w:hint="default"/>
                <w:lang w:eastAsia="zh-CN"/>
              </w:rPr>
              <w:t>的蒸气(相对蒸气密度)的爆炸下限为</w:t>
            </w:r>
            <w:r>
              <w:rPr>
                <w:rFonts w:hint="default"/>
                <w:lang w:val="en-US" w:eastAsia="zh-CN"/>
              </w:rPr>
              <w:t>5</w:t>
            </w:r>
            <w:r>
              <w:rPr>
                <w:rFonts w:hint="default"/>
                <w:lang w:eastAsia="zh-CN"/>
              </w:rPr>
              <w:t>%，</w:t>
            </w:r>
            <w:r>
              <w:rPr>
                <w:rFonts w:hint="default"/>
                <w:lang w:val="en-US" w:eastAsia="zh-CN"/>
              </w:rPr>
              <w:t>蒸汽</w:t>
            </w:r>
            <w:r>
              <w:rPr>
                <w:rFonts w:hint="default"/>
                <w:lang w:eastAsia="zh-CN"/>
              </w:rPr>
              <w:t>(相对蒸气密度)的密度为</w:t>
            </w:r>
            <w:r>
              <w:rPr>
                <w:rFonts w:hint="default" w:ascii="Times New Roman" w:hAnsi="Times New Roman" w:eastAsia="宋体" w:cs="Times New Roman"/>
                <w:szCs w:val="24"/>
                <w:lang w:val="en-US" w:eastAsia="zh-CN"/>
              </w:rPr>
              <w:t>0.5548</w:t>
            </w:r>
            <w:r>
              <w:rPr>
                <w:rFonts w:hint="default" w:ascii="Times New Roman" w:hAnsi="Times New Roman" w:eastAsia="宋体" w:cs="Times New Roman"/>
                <w:szCs w:val="24"/>
                <w:lang w:eastAsia="zh-CN"/>
              </w:rPr>
              <w:t>kg</w:t>
            </w:r>
            <w:r>
              <w:rPr>
                <w:rFonts w:hint="default" w:ascii="Times New Roman" w:hAnsi="Times New Roman" w:eastAsia="宋体" w:cs="Times New Roman"/>
                <w:szCs w:val="24"/>
                <w:lang w:val="en-US" w:eastAsia="zh-CN"/>
              </w:rPr>
              <w:t>/</w:t>
            </w:r>
            <w:r>
              <w:rPr>
                <w:rFonts w:hint="default" w:ascii="Times New Roman" w:hAnsi="Times New Roman" w:eastAsia="宋体" w:cs="Times New Roman"/>
                <w:szCs w:val="24"/>
                <w:lang w:eastAsia="zh-CN"/>
              </w:rPr>
              <w:t>m</w:t>
            </w:r>
            <w:r>
              <w:rPr>
                <w:rFonts w:hint="default" w:ascii="Times New Roman" w:hAnsi="Times New Roman" w:eastAsia="宋体" w:cs="Times New Roman"/>
                <w:szCs w:val="24"/>
                <w:vertAlign w:val="superscript"/>
                <w:lang w:val="en-US" w:eastAsia="zh-CN"/>
              </w:rPr>
              <w:t>3</w:t>
            </w:r>
            <w:r>
              <w:rPr>
                <w:rFonts w:hint="default" w:ascii="Times New Roman" w:hAnsi="Times New Roman" w:eastAsia="宋体" w:cs="Times New Roman"/>
                <w:szCs w:val="24"/>
                <w:lang w:eastAsia="zh-CN"/>
              </w:rPr>
              <w:t>，按最不利的分析,则</w:t>
            </w:r>
            <w:r>
              <w:rPr>
                <w:rFonts w:hint="default" w:ascii="Times New Roman" w:hAnsi="Times New Roman" w:eastAsia="宋体" w:cs="Times New Roman"/>
                <w:szCs w:val="24"/>
                <w:lang w:val="en-US" w:eastAsia="zh-CN"/>
              </w:rPr>
              <w:t>天然气运输</w:t>
            </w:r>
            <w:r>
              <w:rPr>
                <w:rFonts w:hint="default" w:ascii="Times New Roman" w:hAnsi="Times New Roman" w:eastAsia="宋体" w:cs="Times New Roman"/>
                <w:szCs w:val="24"/>
                <w:lang w:eastAsia="zh-CN"/>
              </w:rPr>
              <w:t>罐车内</w:t>
            </w:r>
            <w:r>
              <w:rPr>
                <w:rFonts w:hint="default" w:ascii="Times New Roman" w:hAnsi="Times New Roman" w:eastAsia="宋体" w:cs="Times New Roman"/>
                <w:szCs w:val="24"/>
                <w:lang w:val="en-US" w:eastAsia="zh-CN"/>
              </w:rPr>
              <w:t>天然气</w:t>
            </w:r>
            <w:r>
              <w:rPr>
                <w:rFonts w:hint="default" w:ascii="Times New Roman" w:hAnsi="Times New Roman" w:eastAsia="宋体" w:cs="Times New Roman"/>
                <w:szCs w:val="24"/>
                <w:lang w:eastAsia="zh-CN"/>
              </w:rPr>
              <w:t>(相对蒸气密度)的爆炸下限的量为</w:t>
            </w:r>
            <w:r>
              <w:rPr>
                <w:rFonts w:hint="default" w:ascii="Times New Roman" w:hAnsi="Times New Roman" w:eastAsia="宋体" w:cs="Times New Roman"/>
                <w:szCs w:val="24"/>
                <w:lang w:val="en-US" w:eastAsia="zh-CN"/>
              </w:rPr>
              <w:t>50</w:t>
            </w:r>
            <w:r>
              <w:rPr>
                <w:rFonts w:hint="default" w:ascii="Times New Roman" w:hAnsi="Times New Roman" w:eastAsia="宋体" w:cs="Times New Roman"/>
                <w:szCs w:val="24"/>
                <w:lang w:eastAsia="zh-CN"/>
              </w:rPr>
              <w:t>m</w:t>
            </w:r>
            <w:r>
              <w:rPr>
                <w:rFonts w:hint="default" w:ascii="Times New Roman" w:hAnsi="Times New Roman" w:eastAsia="宋体" w:cs="Times New Roman"/>
                <w:szCs w:val="24"/>
                <w:vertAlign w:val="superscript"/>
                <w:lang w:val="en-US" w:eastAsia="zh-CN"/>
              </w:rPr>
              <w:t>3</w:t>
            </w:r>
            <w:r>
              <w:rPr>
                <w:rFonts w:hint="default" w:ascii="Times New Roman" w:hAnsi="Times New Roman" w:eastAsia="宋体" w:cs="Times New Roman"/>
                <w:szCs w:val="24"/>
                <w:lang w:val="en-US" w:eastAsia="zh-CN"/>
              </w:rPr>
              <w:t>×5</w:t>
            </w:r>
            <w:r>
              <w:rPr>
                <w:rFonts w:hint="default" w:ascii="Times New Roman" w:hAnsi="Times New Roman" w:eastAsia="宋体" w:cs="Times New Roman"/>
                <w:szCs w:val="24"/>
                <w:lang w:eastAsia="zh-CN"/>
              </w:rPr>
              <w:t>%</w:t>
            </w:r>
            <w:r>
              <w:rPr>
                <w:rFonts w:hint="default" w:ascii="Times New Roman" w:hAnsi="Times New Roman" w:eastAsia="宋体" w:cs="Times New Roman"/>
                <w:szCs w:val="24"/>
                <w:lang w:val="en-US" w:eastAsia="zh-CN"/>
              </w:rPr>
              <w:t>×0.5548</w:t>
            </w:r>
            <w:r>
              <w:rPr>
                <w:rFonts w:hint="default" w:ascii="Times New Roman" w:hAnsi="Times New Roman" w:eastAsia="宋体" w:cs="Times New Roman"/>
                <w:szCs w:val="24"/>
                <w:lang w:eastAsia="zh-CN"/>
              </w:rPr>
              <w:t>kg/m</w:t>
            </w:r>
            <w:r>
              <w:rPr>
                <w:rFonts w:hint="eastAsia" w:cs="Times New Roman"/>
                <w:szCs w:val="24"/>
                <w:vertAlign w:val="superscript"/>
                <w:lang w:val="en-US" w:eastAsia="zh-CN"/>
              </w:rPr>
              <w:t>3</w:t>
            </w:r>
            <w:r>
              <w:rPr>
                <w:rFonts w:hint="default" w:ascii="Times New Roman" w:hAnsi="Times New Roman" w:eastAsia="宋体" w:cs="Times New Roman"/>
                <w:szCs w:val="24"/>
                <w:lang w:eastAsia="zh-CN"/>
              </w:rPr>
              <w:t>=</w:t>
            </w:r>
            <w:r>
              <w:rPr>
                <w:rFonts w:hint="default" w:ascii="Times New Roman" w:hAnsi="Times New Roman" w:eastAsia="宋体" w:cs="Times New Roman"/>
                <w:szCs w:val="24"/>
                <w:lang w:val="en-US" w:eastAsia="zh-CN"/>
              </w:rPr>
              <w:t>1.387</w:t>
            </w:r>
            <w:r>
              <w:rPr>
                <w:rFonts w:hint="default" w:ascii="Times New Roman" w:hAnsi="Times New Roman" w:eastAsia="宋体" w:cs="Times New Roman"/>
                <w:szCs w:val="24"/>
                <w:lang w:eastAsia="zh-CN"/>
              </w:rPr>
              <w:t>kg，</w:t>
            </w:r>
            <w:r>
              <w:rPr>
                <w:rFonts w:hint="default"/>
                <w:lang w:eastAsia="zh-CN"/>
              </w:rPr>
              <w:t>即每辆</w:t>
            </w:r>
            <w:r>
              <w:rPr>
                <w:rFonts w:hint="default"/>
                <w:lang w:val="en-US" w:eastAsia="zh-CN"/>
              </w:rPr>
              <w:t>天然气</w:t>
            </w:r>
            <w:r>
              <w:rPr>
                <w:rFonts w:hint="default"/>
                <w:lang w:eastAsia="zh-CN"/>
              </w:rPr>
              <w:t>槽罐车在确保安全清洗的前提下，</w:t>
            </w:r>
            <w:r>
              <w:rPr>
                <w:rFonts w:hint="eastAsia"/>
                <w:lang w:val="en-US" w:eastAsia="zh-CN"/>
              </w:rPr>
              <w:t>VOCs</w:t>
            </w:r>
            <w:r>
              <w:rPr>
                <w:rFonts w:hint="default"/>
                <w:lang w:eastAsia="zh-CN"/>
              </w:rPr>
              <w:t>的最大产生量为</w:t>
            </w:r>
            <w:r>
              <w:rPr>
                <w:rFonts w:hint="default"/>
                <w:lang w:val="en-US" w:eastAsia="zh-CN"/>
              </w:rPr>
              <w:t>1.378</w:t>
            </w:r>
            <w:r>
              <w:rPr>
                <w:rFonts w:hint="default"/>
                <w:lang w:eastAsia="zh-CN"/>
              </w:rPr>
              <w:t>kg，年清洗</w:t>
            </w:r>
            <w:r>
              <w:rPr>
                <w:rFonts w:hint="default"/>
                <w:lang w:val="en-US" w:eastAsia="zh-CN"/>
              </w:rPr>
              <w:t>天然气运输</w:t>
            </w:r>
            <w:r>
              <w:rPr>
                <w:rFonts w:hint="default"/>
                <w:lang w:eastAsia="zh-CN"/>
              </w:rPr>
              <w:t>罐车</w:t>
            </w:r>
            <w:r>
              <w:rPr>
                <w:rFonts w:hint="default"/>
                <w:lang w:val="en-US" w:eastAsia="zh-CN"/>
              </w:rPr>
              <w:t>1</w:t>
            </w:r>
            <w:r>
              <w:rPr>
                <w:rFonts w:hint="default"/>
                <w:lang w:eastAsia="zh-CN"/>
              </w:rPr>
              <w:t>0辆，故</w:t>
            </w:r>
            <w:r>
              <w:rPr>
                <w:rFonts w:hint="eastAsia"/>
                <w:lang w:val="en-US" w:eastAsia="zh-CN"/>
              </w:rPr>
              <w:t>VOCs</w:t>
            </w:r>
            <w:r>
              <w:rPr>
                <w:rFonts w:hint="default"/>
                <w:lang w:eastAsia="zh-CN"/>
              </w:rPr>
              <w:t>的产生量为</w:t>
            </w:r>
            <w:r>
              <w:rPr>
                <w:rFonts w:hint="default"/>
                <w:lang w:val="en-US" w:eastAsia="zh-CN"/>
              </w:rPr>
              <w:t>13.87kg</w:t>
            </w:r>
            <w:r>
              <w:rPr>
                <w:rFonts w:hint="default"/>
                <w:lang w:eastAsia="zh-CN"/>
              </w:rPr>
              <w:t>/a。同理，本项目运输其他物料槽罐车内残留的</w:t>
            </w:r>
            <w:r>
              <w:rPr>
                <w:rFonts w:hint="default"/>
                <w:lang w:val="en-US" w:eastAsia="zh-CN"/>
              </w:rPr>
              <w:t>气体经归纳后</w:t>
            </w:r>
            <w:r>
              <w:rPr>
                <w:rFonts w:hint="default"/>
                <w:lang w:eastAsia="zh-CN"/>
              </w:rPr>
              <w:t>废气产生量计算结果汇总表</w:t>
            </w:r>
            <w:r>
              <w:rPr>
                <w:rFonts w:hint="default"/>
                <w:lang w:val="en-US" w:eastAsia="zh-CN"/>
              </w:rPr>
              <w:t>详见表4.2-</w:t>
            </w:r>
            <w:r>
              <w:rPr>
                <w:rFonts w:hint="eastAsia"/>
                <w:lang w:val="en-US" w:eastAsia="zh-CN"/>
              </w:rPr>
              <w:t>2</w:t>
            </w:r>
            <w:r>
              <w:rPr>
                <w:rFonts w:hint="default"/>
                <w:lang w:eastAsia="zh-CN"/>
              </w:rPr>
              <w:t>。</w:t>
            </w:r>
          </w:p>
          <w:p>
            <w:pPr>
              <w:bidi w:val="0"/>
              <w:rPr>
                <w:rFonts w:hint="default" w:ascii="Times New Roman" w:hAnsi="Times New Roman" w:eastAsia="宋体" w:cs="Times New Roman"/>
                <w:szCs w:val="24"/>
                <w:lang w:val="en-US" w:eastAsia="zh-CN"/>
              </w:rPr>
            </w:pPr>
            <w:r>
              <w:rPr>
                <w:rFonts w:hint="default"/>
                <w:lang w:eastAsia="zh-CN"/>
              </w:rPr>
              <w:t>建设单位将在罐体进气阀口接油气回收专用管对气体进行抽取，</w:t>
            </w:r>
            <w:r>
              <w:rPr>
                <w:rFonts w:hint="default"/>
                <w:lang w:val="en-US" w:eastAsia="zh-CN"/>
              </w:rPr>
              <w:t>为保证罐体中的废气浓度较低，</w:t>
            </w:r>
            <w:r>
              <w:rPr>
                <w:rFonts w:hint="default"/>
                <w:lang w:eastAsia="zh-CN"/>
              </w:rPr>
              <w:t>每个罐体抽气时间为</w:t>
            </w:r>
            <w:r>
              <w:rPr>
                <w:rFonts w:hint="default"/>
                <w:lang w:val="en-US" w:eastAsia="zh-CN"/>
              </w:rPr>
              <w:t>3</w:t>
            </w:r>
            <w:r>
              <w:rPr>
                <w:rFonts w:hint="default"/>
                <w:lang w:eastAsia="zh-CN"/>
              </w:rPr>
              <w:t>0min，</w:t>
            </w:r>
            <w:r>
              <w:rPr>
                <w:rFonts w:hint="default"/>
                <w:lang w:val="en-US" w:eastAsia="zh-CN"/>
              </w:rPr>
              <w:t>各罐车的年运行时间详见表4.2-</w:t>
            </w:r>
            <w:r>
              <w:rPr>
                <w:rFonts w:hint="eastAsia"/>
                <w:lang w:val="en-US" w:eastAsia="zh-CN"/>
              </w:rPr>
              <w:t>3</w:t>
            </w:r>
            <w:r>
              <w:rPr>
                <w:rFonts w:hint="default"/>
                <w:lang w:val="en-US" w:eastAsia="zh-CN"/>
              </w:rPr>
              <w:t>。</w:t>
            </w:r>
          </w:p>
          <w:p>
            <w:pPr>
              <w:pStyle w:val="8"/>
              <w:rPr>
                <w:rFonts w:hint="default" w:ascii="Times New Roman" w:hAnsi="Times New Roman" w:cs="Times New Roman"/>
                <w:b/>
                <w:bCs/>
                <w:lang w:eastAsia="zh-CN"/>
              </w:rPr>
            </w:pPr>
            <w:r>
              <w:rPr>
                <w:rFonts w:hint="eastAsia" w:ascii="Times New Roman" w:hAnsi="Times New Roman" w:cs="Times New Roman"/>
                <w:b/>
                <w:bCs/>
                <w:lang w:eastAsia="zh-CN"/>
              </w:rPr>
              <w:t>（</w:t>
            </w:r>
            <w:r>
              <w:rPr>
                <w:rFonts w:hint="eastAsia" w:ascii="Times New Roman" w:hAnsi="Times New Roman" w:cs="Times New Roman"/>
                <w:b/>
                <w:bCs/>
                <w:lang w:val="en-US" w:eastAsia="zh-CN"/>
              </w:rPr>
              <w:t>2</w:t>
            </w:r>
            <w:r>
              <w:rPr>
                <w:rFonts w:hint="eastAsia" w:ascii="Times New Roman" w:hAnsi="Times New Roman" w:cs="Times New Roman"/>
                <w:b/>
                <w:bCs/>
                <w:lang w:eastAsia="zh-CN"/>
              </w:rPr>
              <w:t>）</w:t>
            </w:r>
            <w:r>
              <w:rPr>
                <w:rFonts w:hint="default" w:ascii="Times New Roman" w:hAnsi="Times New Roman" w:cs="Times New Roman"/>
                <w:b/>
                <w:bCs/>
                <w:lang w:eastAsia="zh-CN"/>
              </w:rPr>
              <w:t>污染治理设施设计情况</w:t>
            </w:r>
          </w:p>
          <w:p>
            <w:pPr>
              <w:pStyle w:val="8"/>
              <w:rPr>
                <w:rFonts w:hint="default" w:ascii="Times New Roman" w:hAnsi="Times New Roman" w:cs="Times New Roman"/>
                <w:lang w:eastAsia="zh-CN"/>
              </w:rPr>
            </w:pPr>
            <w:r>
              <w:rPr>
                <w:rFonts w:hint="default" w:ascii="Times New Roman" w:hAnsi="Times New Roman" w:cs="Times New Roman"/>
                <w:lang w:eastAsia="zh-CN"/>
              </w:rPr>
              <w:t>项目罐体内残留废气</w:t>
            </w:r>
            <w:r>
              <w:rPr>
                <w:rFonts w:hint="default" w:ascii="Times New Roman" w:hAnsi="Times New Roman" w:cs="Times New Roman"/>
                <w:lang w:val="en-US" w:eastAsia="zh-CN"/>
              </w:rPr>
              <w:t>设置一套</w:t>
            </w:r>
            <w:r>
              <w:rPr>
                <w:rFonts w:hint="default" w:ascii="Times New Roman" w:hAnsi="Times New Roman" w:cs="Times New Roman"/>
                <w:color w:val="000000"/>
                <w:szCs w:val="21"/>
              </w:rPr>
              <w:t>清洗罐的排气阀与集气管相连</w:t>
            </w:r>
            <w:r>
              <w:rPr>
                <w:rFonts w:hint="default" w:ascii="Times New Roman" w:hAnsi="Times New Roman" w:cs="Times New Roman"/>
                <w:color w:val="000000"/>
              </w:rPr>
              <w:t>，废气</w:t>
            </w:r>
            <w:r>
              <w:rPr>
                <w:rFonts w:hint="default" w:ascii="Times New Roman" w:hAnsi="Times New Roman" w:cs="Times New Roman"/>
                <w:color w:val="000000"/>
                <w:szCs w:val="21"/>
              </w:rPr>
              <w:t>引至碱液喷淋+干式过滤棉+二级蜂窝状活性炭处理后，通过排气筒（DA001）15米高排放</w:t>
            </w:r>
            <w:r>
              <w:rPr>
                <w:rFonts w:hint="default" w:ascii="Times New Roman" w:hAnsi="Times New Roman" w:cs="Times New Roman"/>
                <w:lang w:eastAsia="zh-CN"/>
              </w:rPr>
              <w:t>。</w:t>
            </w:r>
          </w:p>
          <w:p>
            <w:pPr>
              <w:rPr>
                <w:rFonts w:hint="default"/>
                <w:lang w:eastAsia="zh-CN"/>
              </w:rPr>
            </w:pPr>
            <w:r>
              <w:rPr>
                <w:rFonts w:hint="default"/>
                <w:lang w:eastAsia="zh-CN"/>
              </w:rPr>
              <w:t>①碱液喷淋塔</w:t>
            </w:r>
          </w:p>
          <w:p>
            <w:pPr>
              <w:rPr>
                <w:rFonts w:hint="default"/>
                <w:lang w:eastAsia="zh-CN"/>
              </w:rPr>
            </w:pPr>
            <w:r>
              <w:rPr>
                <w:rFonts w:hint="default"/>
                <w:lang w:eastAsia="zh-CN"/>
              </w:rPr>
              <w:t>塔内气体由风机送入，气体由下向上，吸收液(</w:t>
            </w:r>
            <w:r>
              <w:rPr>
                <w:rFonts w:hint="eastAsia"/>
                <w:lang w:val="en-US" w:eastAsia="zh-CN"/>
              </w:rPr>
              <w:t>氢氧化钠溶液</w:t>
            </w:r>
            <w:r>
              <w:rPr>
                <w:rFonts w:hint="default"/>
                <w:lang w:eastAsia="zh-CN"/>
              </w:rPr>
              <w:t>)由耐酸泵打入塔顶通过布液装置均匀向下喷淋，形成逆流吸收，中和废气中的酸性物质，</w:t>
            </w:r>
            <w:r>
              <w:rPr>
                <w:rFonts w:hint="eastAsia"/>
                <w:lang w:val="en-US" w:eastAsia="zh-CN"/>
              </w:rPr>
              <w:t>氢氧化钠</w:t>
            </w:r>
            <w:r>
              <w:rPr>
                <w:rFonts w:hint="default"/>
                <w:lang w:eastAsia="zh-CN"/>
              </w:rPr>
              <w:t>吸收液在喷淋塔循环池中循环使用，按照自然损耗定期测量碱度并补充新液。采用氧化钠溶液做吸收中和液</w:t>
            </w:r>
            <w:r>
              <w:rPr>
                <w:rFonts w:hint="eastAsia"/>
                <w:lang w:eastAsia="zh-CN"/>
              </w:rPr>
              <w:t>。</w:t>
            </w:r>
          </w:p>
          <w:p>
            <w:pPr>
              <w:rPr>
                <w:rFonts w:hint="default"/>
                <w:lang w:eastAsia="zh-CN"/>
              </w:rPr>
            </w:pPr>
            <w:r>
              <w:rPr>
                <w:rFonts w:hint="default"/>
                <w:lang w:eastAsia="zh-CN"/>
              </w:rPr>
              <w:t>②</w:t>
            </w:r>
            <w:r>
              <w:rPr>
                <w:rFonts w:hint="eastAsia"/>
                <w:lang w:val="en-US" w:eastAsia="zh-CN"/>
              </w:rPr>
              <w:t>干式</w:t>
            </w:r>
            <w:r>
              <w:rPr>
                <w:rFonts w:hint="default"/>
                <w:lang w:eastAsia="zh-CN"/>
              </w:rPr>
              <w:t>过滤棉</w:t>
            </w:r>
          </w:p>
          <w:p>
            <w:pPr>
              <w:rPr>
                <w:rFonts w:hint="default"/>
                <w:lang w:eastAsia="zh-CN"/>
              </w:rPr>
            </w:pPr>
            <w:r>
              <w:rPr>
                <w:rFonts w:hint="default"/>
                <w:lang w:eastAsia="zh-CN"/>
              </w:rPr>
              <w:t>经碱液喷淋塔处理后的废气含有较多水雾，通过过滤棉过滤后，可有效去除水雾，保证活性炭吸附装置的吸附效率。</w:t>
            </w:r>
          </w:p>
          <w:p>
            <w:pPr>
              <w:rPr>
                <w:rFonts w:hint="default"/>
                <w:lang w:eastAsia="zh-CN"/>
              </w:rPr>
            </w:pPr>
            <w:r>
              <w:rPr>
                <w:rFonts w:hint="default"/>
                <w:lang w:eastAsia="zh-CN"/>
              </w:rPr>
              <w:t>③活性炭吸附</w:t>
            </w:r>
          </w:p>
          <w:p>
            <w:pPr>
              <w:rPr>
                <w:rFonts w:hint="default"/>
                <w:lang w:eastAsia="zh-CN"/>
              </w:rPr>
            </w:pPr>
            <w:r>
              <w:rPr>
                <w:rFonts w:hint="default"/>
                <w:lang w:eastAsia="zh-CN"/>
              </w:rPr>
              <w:t>活性炭是一种主要由含碳材料制成的外观呈黑色，内部孔隙结构发达、比表面积大、吸附能力强的一类微晶质碳素材料。活性炭材料中有大量微孔，1克活性炭比表面积高达700~1000m</w:t>
            </w:r>
            <w:r>
              <w:rPr>
                <w:rFonts w:hint="eastAsia"/>
                <w:vertAlign w:val="superscript"/>
                <w:lang w:val="en-US" w:eastAsia="zh-CN"/>
              </w:rPr>
              <w:t>2</w:t>
            </w:r>
            <w:r>
              <w:rPr>
                <w:rFonts w:hint="default"/>
                <w:lang w:eastAsia="zh-CN"/>
              </w:rPr>
              <w:t>/g。当气体分子进入其微孔后,利用“范德华引力”，分子间相互吸引，更多的气体分子不断被吸引进来，直至空隙填满</w:t>
            </w:r>
            <w:r>
              <w:rPr>
                <w:rFonts w:hint="eastAsia"/>
                <w:lang w:eastAsia="zh-CN"/>
              </w:rPr>
              <w:t>。</w:t>
            </w:r>
          </w:p>
          <w:p>
            <w:pPr>
              <w:pStyle w:val="8"/>
              <w:rPr>
                <w:rFonts w:hint="default" w:ascii="Times New Roman" w:hAnsi="Times New Roman" w:cs="Times New Roman"/>
                <w:b/>
                <w:bCs/>
                <w:lang w:eastAsia="zh-CN"/>
              </w:rPr>
            </w:pPr>
            <w:r>
              <w:rPr>
                <w:rFonts w:hint="eastAsia" w:ascii="Times New Roman" w:hAnsi="Times New Roman" w:cs="Times New Roman"/>
                <w:b/>
                <w:bCs/>
                <w:lang w:eastAsia="zh-CN"/>
              </w:rPr>
              <w:t>（</w:t>
            </w:r>
            <w:r>
              <w:rPr>
                <w:rFonts w:hint="eastAsia" w:ascii="Times New Roman" w:hAnsi="Times New Roman" w:cs="Times New Roman"/>
                <w:b/>
                <w:bCs/>
                <w:lang w:val="en-US" w:eastAsia="zh-CN"/>
              </w:rPr>
              <w:t>3</w:t>
            </w:r>
            <w:r>
              <w:rPr>
                <w:rFonts w:hint="eastAsia" w:ascii="Times New Roman" w:hAnsi="Times New Roman" w:cs="Times New Roman"/>
                <w:b/>
                <w:bCs/>
                <w:lang w:eastAsia="zh-CN"/>
              </w:rPr>
              <w:t>）</w:t>
            </w:r>
            <w:r>
              <w:rPr>
                <w:rFonts w:hint="default" w:ascii="Times New Roman" w:hAnsi="Times New Roman" w:cs="Times New Roman"/>
                <w:b/>
                <w:bCs/>
                <w:lang w:eastAsia="zh-CN"/>
              </w:rPr>
              <w:t>风量核算、收集效率和处理效率说明</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①风量核算</w:t>
            </w:r>
          </w:p>
          <w:p>
            <w:pPr>
              <w:pStyle w:val="8"/>
              <w:rPr>
                <w:rFonts w:hint="default" w:ascii="Times New Roman" w:hAnsi="Times New Roman" w:cs="Times New Roman"/>
                <w:lang w:eastAsia="zh-CN"/>
              </w:rPr>
            </w:pPr>
            <w:r>
              <w:rPr>
                <w:rFonts w:hint="default" w:ascii="Times New Roman" w:hAnsi="Times New Roman" w:cs="Times New Roman"/>
                <w:lang w:eastAsia="zh-CN"/>
              </w:rPr>
              <w:t>本项目设置专用管道收集槽罐车罐内残留废气，每个清洗工位配备条</w:t>
            </w:r>
            <w:r>
              <w:rPr>
                <w:rFonts w:hint="eastAsia" w:ascii="Times New Roman" w:hAnsi="Times New Roman" w:cs="Times New Roman"/>
                <w:lang w:val="en-US" w:eastAsia="zh-CN"/>
              </w:rPr>
              <w:t>3</w:t>
            </w:r>
            <w:r>
              <w:rPr>
                <w:rFonts w:hint="default" w:ascii="Times New Roman" w:hAnsi="Times New Roman" w:cs="Times New Roman"/>
                <w:lang w:eastAsia="zh-CN"/>
              </w:rPr>
              <w:t>00mm直径的集气管，项目共有</w:t>
            </w:r>
            <w:r>
              <w:rPr>
                <w:rFonts w:hint="default" w:ascii="Times New Roman" w:hAnsi="Times New Roman" w:cs="Times New Roman"/>
                <w:lang w:val="en-US" w:eastAsia="zh-CN"/>
              </w:rPr>
              <w:t>2</w:t>
            </w:r>
            <w:r>
              <w:rPr>
                <w:rFonts w:hint="default" w:ascii="Times New Roman" w:hAnsi="Times New Roman" w:cs="Times New Roman"/>
                <w:lang w:eastAsia="zh-CN"/>
              </w:rPr>
              <w:t>个清洗工位，即项目共设有</w:t>
            </w:r>
            <w:r>
              <w:rPr>
                <w:rFonts w:hint="default" w:ascii="Times New Roman" w:hAnsi="Times New Roman" w:cs="Times New Roman"/>
                <w:lang w:val="en-US" w:eastAsia="zh-CN"/>
              </w:rPr>
              <w:t>2</w:t>
            </w:r>
            <w:r>
              <w:rPr>
                <w:rFonts w:hint="default" w:ascii="Times New Roman" w:hAnsi="Times New Roman" w:cs="Times New Roman"/>
                <w:lang w:eastAsia="zh-CN"/>
              </w:rPr>
              <w:t>根专用管道收集槽罐车罐内有机废气。</w:t>
            </w:r>
          </w:p>
          <w:p>
            <w:pPr>
              <w:pStyle w:val="8"/>
              <w:rPr>
                <w:rFonts w:hint="default" w:ascii="Times New Roman" w:hAnsi="Times New Roman" w:cs="Times New Roman"/>
                <w:lang w:eastAsia="zh-CN"/>
              </w:rPr>
            </w:pPr>
            <w:r>
              <w:rPr>
                <w:rFonts w:hint="default" w:ascii="Times New Roman" w:hAnsi="Times New Roman" w:cs="Times New Roman"/>
                <w:lang w:eastAsia="zh-CN"/>
              </w:rPr>
              <w:t>参考《三废处理工程技术手册》，单个集气软管所需风量计算公式如下:</w:t>
            </w:r>
          </w:p>
          <w:p>
            <w:pPr>
              <w:rPr>
                <w:rFonts w:hint="eastAsia" w:ascii="Times New Roman" w:hAnsi="Times New Roman" w:eastAsia="宋体" w:cs="Times New Roman"/>
                <w:lang w:eastAsia="zh-CN"/>
              </w:rPr>
            </w:pPr>
            <w:r>
              <w:rPr>
                <w:rFonts w:hint="default" w:ascii="Times New Roman" w:hAnsi="Times New Roman" w:cs="Times New Roman"/>
                <w:position w:val="-10"/>
              </w:rPr>
              <w:object>
                <v:shape id="_x0000_i1025" o:spt="75" type="#_x0000_t75" style="height:16pt;width:102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p>
            <w:pPr>
              <w:pStyle w:val="8"/>
              <w:rPr>
                <w:rFonts w:hint="default" w:ascii="Times New Roman" w:hAnsi="Times New Roman" w:cs="Times New Roman"/>
                <w:lang w:eastAsia="zh-CN"/>
              </w:rPr>
            </w:pPr>
            <w:r>
              <w:rPr>
                <w:rFonts w:hint="default" w:ascii="Times New Roman" w:hAnsi="Times New Roman" w:cs="Times New Roman"/>
                <w:lang w:eastAsia="zh-CN"/>
              </w:rPr>
              <w:t>式中:F—集气口面积，F</w:t>
            </w:r>
            <w:r>
              <w:rPr>
                <w:rFonts w:hint="default" w:ascii="Times New Roman" w:hAnsi="Times New Roman" w:cs="Times New Roman"/>
                <w:lang w:val="en-US" w:eastAsia="zh-CN"/>
              </w:rPr>
              <w:t>=</w:t>
            </w:r>
            <w:r>
              <w:rPr>
                <w:rFonts w:hint="default" w:ascii="Times New Roman" w:hAnsi="Times New Roman" w:cs="Times New Roman"/>
                <w:lang w:eastAsia="zh-CN"/>
              </w:rPr>
              <w:t>3.14</w:t>
            </w:r>
            <w:r>
              <w:rPr>
                <w:rFonts w:hint="default" w:ascii="Times New Roman" w:hAnsi="Times New Roman" w:eastAsia="宋体" w:cs="Times New Roman"/>
                <w:sz w:val="24"/>
                <w:szCs w:val="24"/>
                <w:lang w:eastAsia="zh-CN"/>
              </w:rPr>
              <w:t>×</w:t>
            </w:r>
            <w:r>
              <w:rPr>
                <w:rFonts w:hint="default" w:ascii="Times New Roman" w:hAnsi="Times New Roman" w:cs="Times New Roman"/>
                <w:lang w:eastAsia="zh-CN"/>
              </w:rPr>
              <w:t>0.1</w:t>
            </w:r>
            <w:r>
              <w:rPr>
                <w:rFonts w:hint="eastAsia" w:ascii="Times New Roman" w:hAnsi="Times New Roman" w:cs="Times New Roman"/>
                <w:lang w:val="en-US" w:eastAsia="zh-CN"/>
              </w:rPr>
              <w:t>5</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w:t>
            </w:r>
            <w:r>
              <w:rPr>
                <w:rFonts w:hint="default" w:ascii="Times New Roman" w:hAnsi="Times New Roman" w:cs="Times New Roman"/>
                <w:lang w:eastAsia="zh-CN"/>
              </w:rPr>
              <w:t>0.0</w:t>
            </w:r>
            <w:r>
              <w:rPr>
                <w:rFonts w:hint="eastAsia" w:ascii="Times New Roman" w:hAnsi="Times New Roman" w:cs="Times New Roman"/>
                <w:lang w:val="en-US" w:eastAsia="zh-CN"/>
              </w:rPr>
              <w:t>71</w:t>
            </w:r>
            <w:r>
              <w:rPr>
                <w:rFonts w:hint="default" w:ascii="Times New Roman" w:hAnsi="Times New Roman" w:cs="Times New Roman"/>
                <w:lang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lang w:eastAsia="zh-CN"/>
              </w:rPr>
              <w:t>;</w:t>
            </w:r>
          </w:p>
          <w:p>
            <w:pPr>
              <w:pStyle w:val="8"/>
              <w:rPr>
                <w:rFonts w:hint="default" w:ascii="Times New Roman" w:hAnsi="Times New Roman" w:cs="Times New Roman"/>
                <w:lang w:eastAsia="zh-CN"/>
              </w:rPr>
            </w:pPr>
            <w:r>
              <w:rPr>
                <w:rFonts w:hint="default" w:ascii="Times New Roman" w:hAnsi="Times New Roman" w:cs="Times New Roman"/>
                <w:lang w:eastAsia="zh-CN"/>
              </w:rPr>
              <w:t>V—风速，取10m/s;</w:t>
            </w:r>
          </w:p>
          <w:p>
            <w:pPr>
              <w:pStyle w:val="8"/>
              <w:rPr>
                <w:rFonts w:hint="default" w:ascii="Times New Roman" w:hAnsi="Times New Roman" w:cs="Times New Roman"/>
                <w:lang w:val="en-US" w:eastAsia="zh-CN"/>
              </w:rPr>
            </w:pPr>
            <w:r>
              <w:rPr>
                <w:rFonts w:hint="default" w:ascii="Times New Roman" w:hAnsi="Times New Roman" w:cs="Times New Roman"/>
                <w:lang w:eastAsia="zh-CN"/>
              </w:rPr>
              <w:t>β—安全系数，取1.05-1.1，</w:t>
            </w:r>
            <w:r>
              <w:rPr>
                <w:rFonts w:hint="default" w:ascii="Times New Roman" w:hAnsi="Times New Roman" w:cs="Times New Roman"/>
                <w:lang w:val="en-US" w:eastAsia="zh-CN"/>
              </w:rPr>
              <w:t>本项目取1.1；</w:t>
            </w:r>
          </w:p>
          <w:p>
            <w:pPr>
              <w:pStyle w:val="8"/>
              <w:rPr>
                <w:rFonts w:hint="default" w:ascii="Times New Roman" w:hAnsi="Times New Roman" w:cs="Times New Roman"/>
                <w:lang w:eastAsia="zh-CN"/>
              </w:rPr>
            </w:pPr>
            <w:r>
              <w:rPr>
                <w:rFonts w:hint="default" w:ascii="Times New Roman" w:hAnsi="Times New Roman" w:cs="Times New Roman"/>
                <w:lang w:eastAsia="zh-CN"/>
              </w:rPr>
              <w:t>罐体内废气抽吸专用管道直径为</w:t>
            </w:r>
            <w:r>
              <w:rPr>
                <w:rFonts w:hint="eastAsia" w:ascii="Times New Roman" w:hAnsi="Times New Roman" w:cs="Times New Roman"/>
                <w:lang w:val="en-US" w:eastAsia="zh-CN"/>
              </w:rPr>
              <w:t>3</w:t>
            </w:r>
            <w:r>
              <w:rPr>
                <w:rFonts w:hint="default" w:ascii="Times New Roman" w:hAnsi="Times New Roman" w:cs="Times New Roman"/>
                <w:lang w:eastAsia="zh-CN"/>
              </w:rPr>
              <w:t>00mm,断面风速取10m/s,安全系数1.1,则每个清洗工位需要的排风量</w:t>
            </w:r>
            <w:r>
              <w:rPr>
                <w:rFonts w:hint="default" w:ascii="Times New Roman" w:hAnsi="Times New Roman" w:cs="Times New Roman"/>
                <w:lang w:val="en-US" w:eastAsia="zh-CN"/>
              </w:rPr>
              <w:t>Q=</w:t>
            </w:r>
            <w:r>
              <w:rPr>
                <w:rFonts w:hint="default" w:ascii="Times New Roman" w:hAnsi="Times New Roman" w:cs="Times New Roman"/>
                <w:lang w:eastAsia="zh-CN"/>
              </w:rPr>
              <w:t>3600</w:t>
            </w:r>
            <w:r>
              <w:rPr>
                <w:rFonts w:hint="default" w:ascii="Times New Roman" w:hAnsi="Times New Roman" w:eastAsia="宋体" w:cs="Times New Roman"/>
                <w:sz w:val="24"/>
                <w:szCs w:val="24"/>
                <w:lang w:eastAsia="zh-CN"/>
              </w:rPr>
              <w:t>×</w:t>
            </w:r>
            <w:r>
              <w:rPr>
                <w:rFonts w:hint="default" w:ascii="Times New Roman" w:hAnsi="Times New Roman" w:cs="Times New Roman"/>
                <w:lang w:eastAsia="zh-CN"/>
              </w:rPr>
              <w:t>0.0</w:t>
            </w:r>
            <w:r>
              <w:rPr>
                <w:rFonts w:hint="eastAsia" w:ascii="Times New Roman" w:hAnsi="Times New Roman" w:cs="Times New Roman"/>
                <w:lang w:val="en-US" w:eastAsia="zh-CN"/>
              </w:rPr>
              <w:t>71</w:t>
            </w:r>
            <w:r>
              <w:rPr>
                <w:rFonts w:hint="default" w:ascii="Times New Roman" w:hAnsi="Times New Roman" w:eastAsia="宋体" w:cs="Times New Roman"/>
                <w:sz w:val="24"/>
                <w:szCs w:val="24"/>
                <w:lang w:eastAsia="zh-CN"/>
              </w:rPr>
              <w:t>×</w:t>
            </w:r>
            <w:r>
              <w:rPr>
                <w:rFonts w:hint="default" w:ascii="Times New Roman" w:hAnsi="Times New Roman" w:cs="Times New Roman"/>
                <w:lang w:eastAsia="zh-CN"/>
              </w:rPr>
              <w:t>10</w:t>
            </w:r>
            <w:r>
              <w:rPr>
                <w:rFonts w:hint="default" w:ascii="Times New Roman" w:hAnsi="Times New Roman" w:eastAsia="宋体" w:cs="Times New Roman"/>
                <w:sz w:val="24"/>
                <w:szCs w:val="24"/>
                <w:lang w:eastAsia="zh-CN"/>
              </w:rPr>
              <w:t>×</w:t>
            </w:r>
            <w:r>
              <w:rPr>
                <w:rFonts w:hint="default" w:ascii="Times New Roman" w:hAnsi="Times New Roman" w:cs="Times New Roman"/>
                <w:lang w:eastAsia="zh-CN"/>
              </w:rPr>
              <w:t>1.1=</w:t>
            </w:r>
            <w:r>
              <w:rPr>
                <w:rFonts w:hint="eastAsia" w:ascii="Times New Roman" w:hAnsi="Times New Roman" w:cs="Times New Roman"/>
                <w:lang w:val="en-US" w:eastAsia="zh-CN"/>
              </w:rPr>
              <w:t>2797.74</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个清洗工位的废气总量为</w:t>
            </w:r>
            <w:r>
              <w:rPr>
                <w:rFonts w:hint="eastAsia" w:ascii="Times New Roman" w:hAnsi="Times New Roman" w:cs="Times New Roman"/>
                <w:lang w:val="en-US" w:eastAsia="zh-CN"/>
              </w:rPr>
              <w:t>5595.48</w:t>
            </w:r>
            <w:r>
              <w:rPr>
                <w:rFonts w:hint="default" w:ascii="Times New Roman" w:hAnsi="Times New Roman" w:cs="Times New Roman"/>
                <w:lang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r>
              <w:rPr>
                <w:rFonts w:hint="default" w:ascii="Times New Roman" w:hAnsi="Times New Roman" w:cs="Times New Roman"/>
                <w:lang w:eastAsia="zh-CN"/>
              </w:rPr>
              <w:t>h，本项目配置</w:t>
            </w:r>
            <w:r>
              <w:rPr>
                <w:rFonts w:hint="eastAsia" w:ascii="Times New Roman" w:hAnsi="Times New Roman" w:cs="Times New Roman"/>
                <w:lang w:val="en-US" w:eastAsia="zh-CN"/>
              </w:rPr>
              <w:t>6</w:t>
            </w:r>
            <w:r>
              <w:rPr>
                <w:rFonts w:hint="default" w:ascii="Times New Roman" w:hAnsi="Times New Roman" w:cs="Times New Roman"/>
                <w:lang w:eastAsia="zh-CN"/>
              </w:rPr>
              <w:t>000m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r>
              <w:rPr>
                <w:rFonts w:hint="default" w:ascii="Times New Roman" w:hAnsi="Times New Roman" w:cs="Times New Roman"/>
                <w:lang w:eastAsia="zh-CN"/>
              </w:rPr>
              <w:t>h风机和废气处理装置，满足风量要求。</w:t>
            </w:r>
          </w:p>
          <w:p>
            <w:pPr>
              <w:bidi w:val="0"/>
              <w:rPr>
                <w:rFonts w:hint="default"/>
                <w:lang w:eastAsia="zh-CN"/>
              </w:rPr>
            </w:pPr>
            <w:r>
              <w:rPr>
                <w:rFonts w:hint="default"/>
                <w:lang w:eastAsia="zh-CN"/>
              </w:rPr>
              <w:t>②废气收集效率分析</w:t>
            </w:r>
          </w:p>
          <w:p>
            <w:pPr>
              <w:bidi w:val="0"/>
              <w:rPr>
                <w:rFonts w:hint="default"/>
                <w:lang w:eastAsia="zh-CN"/>
              </w:rPr>
            </w:pPr>
            <w:r>
              <w:rPr>
                <w:rFonts w:hint="default"/>
                <w:lang w:eastAsia="zh-CN"/>
              </w:rPr>
              <w:t>参考《广东省工业源挥发性有机物减排量核算方法(试行)》中废气收集效率参考值，全密封设备/空间收集效率如下:</w:t>
            </w:r>
          </w:p>
          <w:p>
            <w:pPr>
              <w:pStyle w:val="26"/>
              <w:bidi w:val="0"/>
              <w:rPr>
                <w:rFonts w:hint="default"/>
                <w:lang w:eastAsia="zh-CN"/>
              </w:rPr>
            </w:pPr>
            <w:r>
              <w:rPr>
                <w:rFonts w:hint="default"/>
                <w:lang w:eastAsia="zh-CN"/>
              </w:rPr>
              <w:t>表 4.2-</w:t>
            </w:r>
            <w:r>
              <w:rPr>
                <w:rFonts w:hint="eastAsia"/>
                <w:lang w:val="en-US" w:eastAsia="zh-CN"/>
              </w:rPr>
              <w:t>1</w:t>
            </w:r>
            <w:r>
              <w:rPr>
                <w:rFonts w:hint="default"/>
                <w:lang w:eastAsia="zh-CN"/>
              </w:rPr>
              <w:t xml:space="preserve"> 废气收集集气效率参考值</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68"/>
              <w:gridCol w:w="529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noWrap w:val="0"/>
                  <w:vAlign w:val="center"/>
                </w:tcPr>
                <w:p>
                  <w:pPr>
                    <w:pStyle w:val="22"/>
                    <w:bidi w:val="0"/>
                    <w:rPr>
                      <w:rFonts w:hint="default"/>
                      <w:lang w:val="en-US" w:eastAsia="zh-CN"/>
                    </w:rPr>
                  </w:pPr>
                  <w:r>
                    <w:rPr>
                      <w:rFonts w:hint="default"/>
                      <w:lang w:val="en-US" w:eastAsia="zh-CN"/>
                    </w:rPr>
                    <w:t>废气收集类型</w:t>
                  </w:r>
                </w:p>
              </w:tc>
              <w:tc>
                <w:tcPr>
                  <w:tcW w:w="726" w:type="pct"/>
                  <w:noWrap w:val="0"/>
                  <w:vAlign w:val="center"/>
                </w:tcPr>
                <w:p>
                  <w:pPr>
                    <w:pStyle w:val="22"/>
                    <w:bidi w:val="0"/>
                    <w:rPr>
                      <w:rFonts w:hint="default"/>
                      <w:lang w:val="en-US" w:eastAsia="zh-CN"/>
                    </w:rPr>
                  </w:pPr>
                  <w:r>
                    <w:rPr>
                      <w:rFonts w:hint="default"/>
                      <w:lang w:val="en-US" w:eastAsia="zh-CN"/>
                    </w:rPr>
                    <w:t>废气收集方式</w:t>
                  </w:r>
                </w:p>
              </w:tc>
              <w:tc>
                <w:tcPr>
                  <w:tcW w:w="3034" w:type="pct"/>
                  <w:noWrap w:val="0"/>
                  <w:vAlign w:val="center"/>
                </w:tcPr>
                <w:p>
                  <w:pPr>
                    <w:pStyle w:val="22"/>
                    <w:bidi w:val="0"/>
                    <w:rPr>
                      <w:rFonts w:hint="default"/>
                      <w:lang w:val="en-US" w:eastAsia="zh-CN"/>
                    </w:rPr>
                  </w:pPr>
                  <w:r>
                    <w:rPr>
                      <w:rFonts w:hint="default"/>
                      <w:lang w:val="en-US" w:eastAsia="zh-CN"/>
                    </w:rPr>
                    <w:t>情况说明</w:t>
                  </w:r>
                </w:p>
              </w:tc>
              <w:tc>
                <w:tcPr>
                  <w:tcW w:w="697" w:type="pct"/>
                  <w:noWrap w:val="0"/>
                  <w:vAlign w:val="center"/>
                </w:tcPr>
                <w:p>
                  <w:pPr>
                    <w:pStyle w:val="22"/>
                    <w:bidi w:val="0"/>
                    <w:rPr>
                      <w:rFonts w:hint="default"/>
                      <w:lang w:val="en-US" w:eastAsia="zh-CN"/>
                    </w:rPr>
                  </w:pPr>
                  <w:r>
                    <w:rPr>
                      <w:rFonts w:hint="default"/>
                      <w:lang w:val="en-US" w:eastAsia="zh-CN"/>
                    </w:rPr>
                    <w:t>集气效率（%）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pct"/>
                  <w:noWrap w:val="0"/>
                  <w:vAlign w:val="center"/>
                </w:tcPr>
                <w:p>
                  <w:pPr>
                    <w:pStyle w:val="22"/>
                    <w:bidi w:val="0"/>
                    <w:rPr>
                      <w:rFonts w:hint="default"/>
                      <w:lang w:val="en-US" w:eastAsia="zh-CN"/>
                    </w:rPr>
                  </w:pPr>
                  <w:r>
                    <w:rPr>
                      <w:rFonts w:hint="default"/>
                      <w:lang w:val="en-US" w:eastAsia="zh-CN"/>
                    </w:rPr>
                    <w:t>全封闭设备/空间</w:t>
                  </w:r>
                </w:p>
              </w:tc>
              <w:tc>
                <w:tcPr>
                  <w:tcW w:w="726" w:type="pct"/>
                  <w:noWrap w:val="0"/>
                  <w:vAlign w:val="center"/>
                </w:tcPr>
                <w:p>
                  <w:pPr>
                    <w:pStyle w:val="22"/>
                    <w:bidi w:val="0"/>
                    <w:rPr>
                      <w:rFonts w:hint="default"/>
                      <w:lang w:val="en-US" w:eastAsia="zh-CN"/>
                    </w:rPr>
                  </w:pPr>
                  <w:r>
                    <w:rPr>
                      <w:rFonts w:hint="default"/>
                      <w:lang w:val="en-US" w:eastAsia="zh-CN"/>
                    </w:rPr>
                    <w:t>设备废气排口直连</w:t>
                  </w:r>
                </w:p>
              </w:tc>
              <w:tc>
                <w:tcPr>
                  <w:tcW w:w="3034" w:type="pct"/>
                  <w:noWrap w:val="0"/>
                  <w:vAlign w:val="center"/>
                </w:tcPr>
                <w:p>
                  <w:pPr>
                    <w:pStyle w:val="22"/>
                    <w:bidi w:val="0"/>
                    <w:rPr>
                      <w:rFonts w:hint="default"/>
                      <w:lang w:val="en-US" w:eastAsia="zh-CN"/>
                    </w:rPr>
                  </w:pPr>
                  <w:r>
                    <w:rPr>
                      <w:rFonts w:hint="default"/>
                      <w:lang w:val="en-US" w:eastAsia="zh-CN"/>
                    </w:rPr>
                    <w:t>设备有固定排放管（或口）直接与风管连接，设备整体密闭只留产品进出口，且进出口处有废气收集措施，收集系统运行时周边基本无VOCs散发。</w:t>
                  </w:r>
                </w:p>
              </w:tc>
              <w:tc>
                <w:tcPr>
                  <w:tcW w:w="697" w:type="pct"/>
                  <w:noWrap w:val="0"/>
                  <w:vAlign w:val="center"/>
                </w:tcPr>
                <w:p>
                  <w:pPr>
                    <w:pStyle w:val="22"/>
                    <w:bidi w:val="0"/>
                    <w:rPr>
                      <w:rFonts w:hint="default"/>
                      <w:lang w:val="en-US" w:eastAsia="zh-CN"/>
                    </w:rPr>
                  </w:pPr>
                  <w:r>
                    <w:rPr>
                      <w:rFonts w:hint="default"/>
                      <w:lang w:val="en-US" w:eastAsia="zh-CN"/>
                    </w:rPr>
                    <w:t>95</w:t>
                  </w:r>
                </w:p>
              </w:tc>
            </w:tr>
          </w:tbl>
          <w:p>
            <w:pPr>
              <w:bidi w:val="0"/>
              <w:rPr>
                <w:rFonts w:hint="default"/>
                <w:lang w:eastAsia="zh-CN"/>
              </w:rPr>
            </w:pPr>
            <w:r>
              <w:rPr>
                <w:rFonts w:hint="default"/>
                <w:lang w:eastAsia="zh-CN"/>
              </w:rPr>
              <w:t>由上表可知，本项目罐体内残留废气采用专用管道收集，罐体全密闭进气口阀门与收集专用管道直连，则项目的废气收集效率取值为95%。</w:t>
            </w:r>
          </w:p>
          <w:p>
            <w:pPr>
              <w:bidi w:val="0"/>
              <w:rPr>
                <w:rFonts w:hint="default"/>
                <w:lang w:eastAsia="zh-CN"/>
              </w:rPr>
            </w:pPr>
            <w:r>
              <w:rPr>
                <w:rFonts w:hint="default"/>
                <w:lang w:eastAsia="zh-CN"/>
              </w:rPr>
              <w:t>③废气处理效率说明</w:t>
            </w:r>
          </w:p>
          <w:p>
            <w:pPr>
              <w:bidi w:val="0"/>
              <w:rPr>
                <w:rFonts w:hint="default"/>
                <w:lang w:eastAsia="zh-CN"/>
              </w:rPr>
            </w:pPr>
            <w:r>
              <w:rPr>
                <w:rFonts w:hint="default"/>
                <w:lang w:eastAsia="zh-CN"/>
              </w:rPr>
              <w:t>项目罐体内残留有机废气</w:t>
            </w:r>
            <w:r>
              <w:rPr>
                <w:rFonts w:hint="default"/>
                <w:lang w:val="en-US" w:eastAsia="zh-CN"/>
              </w:rPr>
              <w:t>设置一套</w:t>
            </w:r>
            <w:r>
              <w:rPr>
                <w:rFonts w:hint="default"/>
              </w:rPr>
              <w:t>清洗罐的排气阀与集气管相连，废气引至碱液喷淋</w:t>
            </w:r>
            <w:r>
              <w:rPr>
                <w:rFonts w:hint="default"/>
                <w:lang w:eastAsia="zh-CN"/>
              </w:rPr>
              <w:t>（</w:t>
            </w:r>
            <w:r>
              <w:rPr>
                <w:rFonts w:hint="default"/>
                <w:lang w:val="en-US" w:eastAsia="zh-CN"/>
              </w:rPr>
              <w:t>对酸性气体处理效率95%</w:t>
            </w:r>
            <w:r>
              <w:rPr>
                <w:rFonts w:hint="default"/>
                <w:lang w:eastAsia="zh-CN"/>
              </w:rPr>
              <w:t>）</w:t>
            </w:r>
            <w:r>
              <w:rPr>
                <w:rFonts w:hint="default"/>
              </w:rPr>
              <w:t>+干式过滤棉+二级蜂窝状活性炭</w:t>
            </w:r>
            <w:r>
              <w:rPr>
                <w:rFonts w:hint="default"/>
                <w:lang w:eastAsia="zh-CN"/>
              </w:rPr>
              <w:t>（</w:t>
            </w:r>
            <w:r>
              <w:rPr>
                <w:rFonts w:hint="default"/>
                <w:lang w:val="en-US" w:eastAsia="zh-CN"/>
              </w:rPr>
              <w:t>吸附效率90%</w:t>
            </w:r>
            <w:r>
              <w:rPr>
                <w:rFonts w:hint="default"/>
                <w:lang w:eastAsia="zh-CN"/>
              </w:rPr>
              <w:t>）</w:t>
            </w:r>
            <w:r>
              <w:rPr>
                <w:rFonts w:hint="default"/>
              </w:rPr>
              <w:t>处理后，通过排气筒（DA001）15米高排放</w:t>
            </w:r>
            <w:r>
              <w:rPr>
                <w:rFonts w:hint="default"/>
                <w:lang w:eastAsia="zh-CN"/>
              </w:rPr>
              <w:t>。</w:t>
            </w:r>
          </w:p>
          <w:p>
            <w:pPr>
              <w:bidi w:val="0"/>
              <w:rPr>
                <w:rFonts w:hint="default"/>
                <w:lang w:val="en-US" w:eastAsia="zh-CN"/>
              </w:rPr>
            </w:pPr>
            <w:r>
              <w:rPr>
                <w:rFonts w:hint="default"/>
                <w:lang w:eastAsia="zh-CN"/>
              </w:rPr>
              <w:t>根据建设单位提供资料，活性炭吸附箱装填蜂窝活性炭，活性炭箱填装体积为</w:t>
            </w:r>
            <w:r>
              <w:rPr>
                <w:rFonts w:hint="default" w:ascii="Times New Roman" w:hAnsi="Times New Roman" w:cs="Times New Roman"/>
                <w:lang w:val="en-US" w:eastAsia="zh-CN"/>
              </w:rPr>
              <w:t>1</w:t>
            </w:r>
            <w:r>
              <w:rPr>
                <w:rFonts w:hint="default" w:ascii="Times New Roman" w:hAnsi="Times New Roman" w:cs="Times New Roman"/>
                <w:lang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eastAsia="zh-CN"/>
              </w:rPr>
              <w:t>，密度按450kg</w:t>
            </w:r>
            <w:r>
              <w:rPr>
                <w:rFonts w:hint="default" w:ascii="Times New Roman" w:hAnsi="Times New Roman" w:cs="Times New Roman"/>
                <w:lang w:val="en-US" w:eastAsia="zh-CN"/>
              </w:rPr>
              <w:t>/</w:t>
            </w:r>
            <w:r>
              <w:rPr>
                <w:rFonts w:hint="default" w:ascii="Times New Roman" w:hAnsi="Times New Roman" w:cs="Times New Roman"/>
                <w:lang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eastAsia="zh-CN"/>
              </w:rPr>
              <w:t>，因此单个活性炭吸附箱内填装活性炭量约为</w:t>
            </w:r>
            <w:r>
              <w:rPr>
                <w:rFonts w:hint="default" w:ascii="Times New Roman" w:hAnsi="Times New Roman" w:cs="Times New Roman"/>
                <w:lang w:val="en-US" w:eastAsia="zh-CN"/>
              </w:rPr>
              <w:t>1</w:t>
            </w:r>
            <w:r>
              <w:rPr>
                <w:rFonts w:hint="default" w:ascii="Times New Roman" w:hAnsi="Times New Roman" w:cs="Times New Roman"/>
                <w:lang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eastAsia="zh-CN"/>
              </w:rPr>
              <w:t>×450kg/m</w:t>
            </w:r>
            <w:r>
              <w:rPr>
                <w:rFonts w:hint="default" w:ascii="Times New Roman" w:hAnsi="Times New Roman" w:cs="Times New Roman"/>
                <w:vertAlign w:val="superscript"/>
                <w:lang w:val="en-US" w:eastAsia="zh-CN"/>
              </w:rPr>
              <w:t>3</w:t>
            </w:r>
            <w:r>
              <w:rPr>
                <w:rFonts w:hint="default" w:ascii="Times New Roman" w:hAnsi="Times New Roman" w:cs="Times New Roman"/>
                <w:lang w:eastAsia="zh-CN"/>
              </w:rPr>
              <w:t>=</w:t>
            </w:r>
            <w:r>
              <w:rPr>
                <w:rFonts w:hint="default" w:ascii="Times New Roman" w:hAnsi="Times New Roman" w:cs="Times New Roman"/>
                <w:lang w:val="en-US" w:eastAsia="zh-CN"/>
              </w:rPr>
              <w:t>0.45</w:t>
            </w:r>
            <w:r>
              <w:rPr>
                <w:rFonts w:hint="default" w:ascii="Times New Roman" w:hAnsi="Times New Roman" w:cs="Times New Roman"/>
                <w:lang w:eastAsia="zh-CN"/>
              </w:rPr>
              <w:t>t。</w:t>
            </w:r>
            <w:r>
              <w:rPr>
                <w:rFonts w:hint="eastAsia"/>
                <w:lang w:val="en-US" w:eastAsia="zh-CN"/>
              </w:rPr>
              <w:t>参照《二级活性炭吸附法在小微企业VOCs末端治理中的应用研究》（夏兆昌，曹梦如，安徽化工，2021.6：93~94）的结果可知二级活性炭处理效率可达95%左右</w:t>
            </w:r>
            <w:r>
              <w:rPr>
                <w:rFonts w:hint="default"/>
                <w:lang w:eastAsia="zh-CN"/>
              </w:rPr>
              <w:t>，</w:t>
            </w:r>
            <w:r>
              <w:rPr>
                <w:rFonts w:hint="eastAsia"/>
                <w:lang w:val="en-US" w:eastAsia="zh-CN"/>
              </w:rPr>
              <w:t>因此本项目二级活性炭吸附效率取90%</w:t>
            </w:r>
            <w:r>
              <w:rPr>
                <w:rFonts w:hint="default"/>
                <w:lang w:eastAsia="zh-CN"/>
              </w:rPr>
              <w:t>。</w:t>
            </w:r>
            <w:r>
              <w:rPr>
                <w:rFonts w:hint="eastAsia"/>
                <w:lang w:val="en-US" w:eastAsia="zh-CN"/>
              </w:rPr>
              <w:t>参照《</w:t>
            </w:r>
            <w:r>
              <w:rPr>
                <w:rFonts w:ascii="Times New Roman" w:hAnsi="Times New Roman"/>
                <w:color w:val="000000"/>
                <w:kern w:val="0"/>
                <w:sz w:val="24"/>
                <w:lang w:bidi="ar"/>
              </w:rPr>
              <w:t>环境工程技术手册 废气处理工程技术手册</w:t>
            </w:r>
            <w:r>
              <w:rPr>
                <w:rFonts w:hint="eastAsia"/>
                <w:lang w:val="en-US" w:eastAsia="zh-CN"/>
              </w:rPr>
              <w:t>》中碱液喷淋对酸性气体的处理效率可知：</w:t>
            </w:r>
            <w:r>
              <w:rPr>
                <w:rFonts w:hint="default"/>
                <w:lang w:eastAsia="zh-CN"/>
              </w:rPr>
              <w:t>当溶液浓度2~6%时净化盐酸酸雾(初始浓度&lt;400mg/m</w:t>
            </w:r>
            <w:r>
              <w:rPr>
                <w:rFonts w:hint="eastAsia"/>
                <w:vertAlign w:val="superscript"/>
                <w:lang w:val="en-US" w:eastAsia="zh-CN"/>
              </w:rPr>
              <w:t>3</w:t>
            </w:r>
            <w:r>
              <w:rPr>
                <w:rFonts w:hint="default"/>
                <w:lang w:eastAsia="zh-CN"/>
              </w:rPr>
              <w:t>)效率可达98%以上、净化硫酸酸雾(初始浓度&lt;300mg/m</w:t>
            </w:r>
            <w:r>
              <w:rPr>
                <w:rFonts w:hint="eastAsia"/>
                <w:vertAlign w:val="superscript"/>
                <w:lang w:val="en-US" w:eastAsia="zh-CN"/>
              </w:rPr>
              <w:t>3</w:t>
            </w:r>
            <w:r>
              <w:rPr>
                <w:rFonts w:hint="default"/>
                <w:lang w:eastAsia="zh-CN"/>
              </w:rPr>
              <w:t>)效率可达 97%以上。</w:t>
            </w:r>
            <w:r>
              <w:rPr>
                <w:rFonts w:hint="eastAsia"/>
                <w:lang w:val="en-US" w:eastAsia="zh-CN"/>
              </w:rPr>
              <w:t>因此，本项目碱液喷淋塔对酸性气体的</w:t>
            </w:r>
            <w:r>
              <w:rPr>
                <w:rFonts w:hint="default"/>
                <w:lang w:eastAsia="zh-CN"/>
              </w:rPr>
              <w:t>去除率</w:t>
            </w:r>
            <w:r>
              <w:rPr>
                <w:rFonts w:hint="eastAsia"/>
                <w:lang w:val="en-US" w:eastAsia="zh-CN"/>
              </w:rPr>
              <w:t>取95</w:t>
            </w:r>
            <w:r>
              <w:rPr>
                <w:rFonts w:hint="default"/>
                <w:lang w:eastAsia="zh-CN"/>
              </w:rPr>
              <w:t>%。</w:t>
            </w:r>
          </w:p>
          <w:p>
            <w:pPr>
              <w:bidi w:val="0"/>
              <w:rPr>
                <w:rFonts w:hint="eastAsia" w:eastAsia="宋体"/>
                <w:lang w:eastAsia="zh-CN"/>
              </w:rPr>
            </w:pPr>
            <w:r>
              <w:rPr>
                <w:rFonts w:hint="default"/>
                <w:lang w:eastAsia="zh-CN"/>
              </w:rPr>
              <w:t>综上，本项目槽罐车内残留废气产生及排放情况详见下表：</w:t>
            </w:r>
          </w:p>
        </w:tc>
      </w:tr>
    </w:tbl>
    <w:p>
      <w:pPr>
        <w:adjustRightInd w:val="0"/>
        <w:snapToGrid w:val="0"/>
        <w:spacing w:line="360" w:lineRule="auto"/>
        <w:rPr>
          <w:rFonts w:hint="eastAsia" w:ascii="宋体" w:cs="宋体"/>
          <w:b/>
          <w:kern w:val="0"/>
          <w:sz w:val="28"/>
          <w:szCs w:val="28"/>
        </w:rPr>
        <w:sectPr>
          <w:pgSz w:w="11907" w:h="16840"/>
          <w:pgMar w:top="1134" w:right="1134" w:bottom="1134" w:left="1134" w:header="851" w:footer="851" w:gutter="0"/>
          <w:pgNumType w:fmt="decimal"/>
          <w:cols w:space="720" w:num="1"/>
          <w:docGrid w:linePitch="312" w:charSpace="0"/>
        </w:sectPr>
      </w:pPr>
    </w:p>
    <w:p>
      <w:pPr>
        <w:pStyle w:val="26"/>
        <w:bidi w:val="0"/>
        <w:rPr>
          <w:rFonts w:hint="eastAsia"/>
          <w:lang w:val="en-US" w:eastAsia="zh-CN"/>
        </w:rPr>
      </w:pPr>
      <w:r>
        <w:rPr>
          <w:rFonts w:hint="eastAsia"/>
          <w:lang w:val="en-US" w:eastAsia="zh-CN"/>
        </w:rPr>
        <w:t xml:space="preserve">表4.2-2 </w:t>
      </w:r>
      <w:r>
        <w:rPr>
          <w:rFonts w:hint="default"/>
          <w:lang w:eastAsia="zh-CN"/>
        </w:rPr>
        <w:t>本项目槽罐车内残留废气产生</w:t>
      </w:r>
      <w:r>
        <w:rPr>
          <w:rFonts w:hint="eastAsia"/>
          <w:lang w:val="en-US" w:eastAsia="zh-CN"/>
        </w:rPr>
        <w:t>情况</w:t>
      </w:r>
    </w:p>
    <w:tbl>
      <w:tblPr>
        <w:tblStyle w:val="1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6"/>
        <w:gridCol w:w="670"/>
        <w:gridCol w:w="1060"/>
        <w:gridCol w:w="760"/>
        <w:gridCol w:w="1150"/>
        <w:gridCol w:w="910"/>
        <w:gridCol w:w="880"/>
        <w:gridCol w:w="819"/>
        <w:gridCol w:w="893"/>
        <w:gridCol w:w="768"/>
        <w:gridCol w:w="1470"/>
        <w:gridCol w:w="1160"/>
        <w:gridCol w:w="1110"/>
        <w:gridCol w:w="10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序号</w:t>
            </w:r>
          </w:p>
        </w:tc>
        <w:tc>
          <w:tcPr>
            <w:tcW w:w="253"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清洗内容</w:t>
            </w:r>
          </w:p>
        </w:tc>
        <w:tc>
          <w:tcPr>
            <w:tcW w:w="400"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车辆运输介质</w:t>
            </w:r>
          </w:p>
        </w:tc>
        <w:tc>
          <w:tcPr>
            <w:tcW w:w="287"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物质形态</w:t>
            </w:r>
          </w:p>
        </w:tc>
        <w:tc>
          <w:tcPr>
            <w:tcW w:w="434"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溶解性</w:t>
            </w:r>
          </w:p>
        </w:tc>
        <w:tc>
          <w:tcPr>
            <w:tcW w:w="344"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清洗方式</w:t>
            </w:r>
          </w:p>
        </w:tc>
        <w:tc>
          <w:tcPr>
            <w:tcW w:w="332"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挥发性</w:t>
            </w:r>
          </w:p>
        </w:tc>
        <w:tc>
          <w:tcPr>
            <w:tcW w:w="309"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罐体容积（m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lang w:val="en-US" w:eastAsia="zh-CN"/>
              </w:rPr>
              <w:t>）</w:t>
            </w:r>
          </w:p>
        </w:tc>
        <w:tc>
          <w:tcPr>
            <w:tcW w:w="337"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清洗数量（辆/年）</w:t>
            </w:r>
          </w:p>
        </w:tc>
        <w:tc>
          <w:tcPr>
            <w:tcW w:w="290"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爆炸下限%</w:t>
            </w:r>
          </w:p>
        </w:tc>
        <w:tc>
          <w:tcPr>
            <w:tcW w:w="555"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油蒸汽（相对蒸气密度）密度kg/m</w:t>
            </w:r>
            <w:r>
              <w:rPr>
                <w:rFonts w:hint="default" w:ascii="Times New Roman" w:hAnsi="Times New Roman" w:eastAsia="宋体" w:cs="Times New Roman"/>
                <w:sz w:val="21"/>
                <w:szCs w:val="21"/>
                <w:vertAlign w:val="superscript"/>
                <w:lang w:val="en-US" w:eastAsia="zh-CN"/>
              </w:rPr>
              <w:t>3</w:t>
            </w:r>
          </w:p>
        </w:tc>
        <w:tc>
          <w:tcPr>
            <w:tcW w:w="438"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废气最大产生量（kg/a）</w:t>
            </w:r>
          </w:p>
        </w:tc>
        <w:tc>
          <w:tcPr>
            <w:tcW w:w="419"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废气产生量（kg/a）</w:t>
            </w:r>
          </w:p>
        </w:tc>
        <w:tc>
          <w:tcPr>
            <w:tcW w:w="414" w:type="pct"/>
            <w:tcBorders>
              <w:top w:val="single" w:color="000000" w:sz="8" w:space="0"/>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253" w:type="pct"/>
            <w:vMerge w:val="restar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危化品运输槽罐车的罐体</w:t>
            </w: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天然气</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0.5548</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1.387</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13.87</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98%硫酸</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4.86</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194.4</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无爆炸下限取罐体的10%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试剂硫酸</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31%盐酸</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1.26</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3.528</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70.56</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无爆炸下限取罐体的10%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42%氢氧化钠</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40%氢氟酸</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1.27</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2.794</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55.88</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无爆炸下限取罐体的10%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7</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85%磷酸</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99%液氧</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废气对环境无影响，可忽略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液碱</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18.5</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甲醇</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1.11</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1.221</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48.84</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苯酚</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微溶于水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蒸汽加药清洗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3.24</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1.34784</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40.4352</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三乙胺</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微溶于水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蒸汽加药清洗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32</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3.48</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1.33632</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26.7264</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液硫/二硫化碳</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蒸汽加药清洗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25.4</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2.97</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0.980694</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9.80694</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液硫、二硫化碳</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蒸汽加药清洗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25.4</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2.97</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0.980694</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9.80694</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油</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蒸汽加药清洗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硝酸</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13.5</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2.17</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4.892265</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146.76795</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烧碱</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固态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28.1</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20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lang w:val="en-US"/>
              </w:rPr>
            </w:pPr>
            <w:r>
              <w:rPr>
                <w:rFonts w:hint="eastAsia" w:ascii="Times New Roman" w:hAnsi="Times New Roman" w:eastAsia="宋体" w:cs="Times New Roman"/>
                <w:sz w:val="21"/>
                <w:szCs w:val="21"/>
                <w:lang w:val="en-US" w:eastAsia="zh-CN"/>
              </w:rPr>
              <w:t>固态，不挥发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氨水</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0.59</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1.77</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35.4</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19</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液氮</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废气对环境无影响，可忽略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液氩</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21.2</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废气对环境无影响，可忽略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电子级碳酸二甲酯</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蒸汽加药清洗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一定挥发性</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0.992</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9.92</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22</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液氨</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24.38</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15%</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0.59</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2.15763</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21.5763</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草酸</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18.5</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碳酸甲乙酯</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蒸汽加药清洗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2.3</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2.94</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0.081144</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0.81144</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25</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碳酸二乙酯</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蒸汽加药清洗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12.16</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液体二氧化碳</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lang w:val="en-US"/>
              </w:rPr>
            </w:pPr>
            <w:r>
              <w:rPr>
                <w:rFonts w:hint="eastAsia" w:cs="Times New Roman"/>
                <w:sz w:val="21"/>
                <w:szCs w:val="21"/>
                <w:lang w:val="en-US" w:eastAsia="zh-CN"/>
              </w:rPr>
              <w:t>20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27</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优级品碳酸二甲酯</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蒸汽加药清洗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一定挥发性</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0.992</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9.92</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28</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轻质二元醇</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混合一元醇</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1.11</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1.4652</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14.652</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30</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重质二元醇</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476" w:type="dxa"/>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31</w:t>
            </w:r>
          </w:p>
        </w:tc>
        <w:tc>
          <w:tcPr>
            <w:tcW w:w="253" w:type="pct"/>
            <w:vMerge w:val="continue"/>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乙二醇</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液态</w:t>
            </w: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易溶于水</w:t>
            </w: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高压水枪冲洗</w:t>
            </w: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w:t>
            </w: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w:t>
            </w:r>
          </w:p>
        </w:tc>
        <w:tc>
          <w:tcPr>
            <w:tcW w:w="29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555"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1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不易挥发，废气产生量可忽略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17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合计</w:t>
            </w:r>
          </w:p>
        </w:tc>
        <w:tc>
          <w:tcPr>
            <w:tcW w:w="253"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00"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28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3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344"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332"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309"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337"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600</w:t>
            </w:r>
          </w:p>
        </w:tc>
        <w:tc>
          <w:tcPr>
            <w:tcW w:w="290" w:type="pct"/>
            <w:tcBorders>
              <w:top w:val="nil"/>
              <w:left w:val="single" w:color="000000" w:sz="8" w:space="0"/>
              <w:bottom w:val="single" w:color="000000" w:sz="8" w:space="0"/>
              <w:right w:val="single" w:color="000000" w:sz="8" w:space="0"/>
            </w:tcBorders>
            <w:noWrap/>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555" w:type="pct"/>
            <w:tcBorders>
              <w:top w:val="nil"/>
              <w:left w:val="single" w:color="000000" w:sz="8" w:space="0"/>
              <w:bottom w:val="single" w:color="000000" w:sz="8" w:space="0"/>
              <w:right w:val="single" w:color="000000" w:sz="8" w:space="0"/>
            </w:tcBorders>
            <w:noWrap/>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38" w:type="pct"/>
            <w:tcBorders>
              <w:top w:val="nil"/>
              <w:left w:val="single" w:color="000000" w:sz="8" w:space="0"/>
              <w:bottom w:val="single" w:color="000000" w:sz="8" w:space="0"/>
              <w:right w:val="single" w:color="000000" w:sz="8" w:space="0"/>
            </w:tcBorders>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19" w:type="pct"/>
            <w:tcBorders>
              <w:top w:val="nil"/>
              <w:left w:val="single" w:color="000000" w:sz="8" w:space="0"/>
              <w:bottom w:val="single" w:color="000000" w:sz="8" w:space="0"/>
              <w:right w:val="single" w:color="000000" w:sz="8" w:space="0"/>
            </w:tcBorders>
            <w:noWrap/>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c>
          <w:tcPr>
            <w:tcW w:w="414" w:type="pct"/>
            <w:tcBorders>
              <w:top w:val="nil"/>
              <w:left w:val="single" w:color="000000" w:sz="8" w:space="0"/>
              <w:bottom w:val="single" w:color="000000" w:sz="8" w:space="0"/>
              <w:right w:val="single" w:color="000000" w:sz="8" w:space="0"/>
            </w:tcBorders>
            <w:noWrap/>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z w:val="21"/>
                <w:szCs w:val="21"/>
              </w:rPr>
            </w:pPr>
          </w:p>
        </w:tc>
      </w:tr>
    </w:tbl>
    <w:p>
      <w:pPr>
        <w:pStyle w:val="26"/>
        <w:bidi w:val="0"/>
        <w:rPr>
          <w:rFonts w:hint="eastAsia"/>
          <w:lang w:val="en-US" w:eastAsia="zh-CN"/>
        </w:rPr>
      </w:pPr>
      <w:r>
        <w:rPr>
          <w:rFonts w:hint="eastAsia"/>
          <w:lang w:val="en-US" w:eastAsia="zh-CN"/>
        </w:rPr>
        <w:t xml:space="preserve">表4.2-3 </w:t>
      </w:r>
      <w:r>
        <w:rPr>
          <w:rFonts w:hint="default"/>
          <w:lang w:eastAsia="zh-CN"/>
        </w:rPr>
        <w:t>本项目</w:t>
      </w:r>
      <w:r>
        <w:rPr>
          <w:rFonts w:hint="default"/>
          <w:lang w:val="en-US" w:eastAsia="zh-CN"/>
        </w:rPr>
        <w:t>槽罐车内残留废气</w:t>
      </w:r>
      <w:r>
        <w:rPr>
          <w:rFonts w:hint="eastAsia"/>
          <w:lang w:val="en-US" w:eastAsia="zh-CN"/>
        </w:rPr>
        <w:t>治理及排放情况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5"/>
        <w:gridCol w:w="1303"/>
        <w:gridCol w:w="940"/>
        <w:gridCol w:w="640"/>
        <w:gridCol w:w="1040"/>
        <w:gridCol w:w="760"/>
        <w:gridCol w:w="800"/>
        <w:gridCol w:w="1080"/>
        <w:gridCol w:w="690"/>
        <w:gridCol w:w="730"/>
        <w:gridCol w:w="700"/>
        <w:gridCol w:w="770"/>
        <w:gridCol w:w="870"/>
        <w:gridCol w:w="910"/>
        <w:gridCol w:w="730"/>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trPr>
        <w:tc>
          <w:tcPr>
            <w:tcW w:w="153" w:type="pct"/>
            <w:shd w:val="clear" w:color="auto" w:fill="auto"/>
            <w:vAlign w:val="center"/>
          </w:tcPr>
          <w:p>
            <w:pPr>
              <w:pStyle w:val="22"/>
              <w:bidi w:val="0"/>
              <w:jc w:val="center"/>
              <w:rPr>
                <w:rFonts w:hint="eastAsia"/>
              </w:rPr>
            </w:pPr>
            <w:r>
              <w:rPr>
                <w:rFonts w:hint="eastAsia"/>
                <w:lang w:val="en-US" w:eastAsia="zh-CN"/>
              </w:rPr>
              <w:t>清洗内容</w:t>
            </w:r>
          </w:p>
        </w:tc>
        <w:tc>
          <w:tcPr>
            <w:tcW w:w="492" w:type="pct"/>
            <w:shd w:val="clear" w:color="auto" w:fill="auto"/>
            <w:vAlign w:val="center"/>
          </w:tcPr>
          <w:p>
            <w:pPr>
              <w:pStyle w:val="22"/>
              <w:bidi w:val="0"/>
              <w:jc w:val="center"/>
              <w:rPr>
                <w:rFonts w:hint="eastAsia"/>
              </w:rPr>
            </w:pPr>
            <w:r>
              <w:rPr>
                <w:rFonts w:hint="eastAsia"/>
                <w:lang w:val="en-US" w:eastAsia="zh-CN"/>
              </w:rPr>
              <w:t>车辆运输介质</w:t>
            </w:r>
          </w:p>
        </w:tc>
        <w:tc>
          <w:tcPr>
            <w:tcW w:w="355" w:type="pct"/>
            <w:shd w:val="clear" w:color="auto" w:fill="auto"/>
            <w:vAlign w:val="center"/>
          </w:tcPr>
          <w:p>
            <w:pPr>
              <w:pStyle w:val="22"/>
              <w:bidi w:val="0"/>
              <w:jc w:val="center"/>
              <w:rPr>
                <w:rFonts w:hint="eastAsia"/>
              </w:rPr>
            </w:pPr>
            <w:r>
              <w:rPr>
                <w:lang w:val="en-US" w:eastAsia="zh-CN"/>
              </w:rPr>
              <w:t>废气产生量（</w:t>
            </w:r>
            <w:r>
              <w:rPr>
                <w:rFonts w:hint="default"/>
                <w:lang w:val="en-US" w:eastAsia="zh-CN"/>
              </w:rPr>
              <w:t>kg/a</w:t>
            </w:r>
            <w:r>
              <w:rPr>
                <w:lang w:val="en-US" w:eastAsia="zh-CN"/>
              </w:rPr>
              <w:t>）</w:t>
            </w:r>
          </w:p>
        </w:tc>
        <w:tc>
          <w:tcPr>
            <w:tcW w:w="241" w:type="pct"/>
            <w:shd w:val="clear" w:color="auto" w:fill="auto"/>
            <w:vAlign w:val="center"/>
          </w:tcPr>
          <w:p>
            <w:pPr>
              <w:pStyle w:val="22"/>
              <w:bidi w:val="0"/>
              <w:jc w:val="center"/>
              <w:rPr>
                <w:rFonts w:hint="eastAsia"/>
              </w:rPr>
            </w:pPr>
            <w:r>
              <w:rPr>
                <w:rFonts w:hint="eastAsia"/>
                <w:lang w:val="en-US" w:eastAsia="zh-CN"/>
              </w:rPr>
              <w:t>收集效率</w:t>
            </w:r>
          </w:p>
        </w:tc>
        <w:tc>
          <w:tcPr>
            <w:tcW w:w="393" w:type="pct"/>
            <w:shd w:val="clear" w:color="auto" w:fill="auto"/>
            <w:vAlign w:val="center"/>
          </w:tcPr>
          <w:p>
            <w:pPr>
              <w:pStyle w:val="22"/>
              <w:bidi w:val="0"/>
              <w:jc w:val="center"/>
              <w:rPr>
                <w:rFonts w:hint="eastAsia"/>
              </w:rPr>
            </w:pPr>
            <w:r>
              <w:rPr>
                <w:lang w:val="en-US" w:eastAsia="zh-CN"/>
              </w:rPr>
              <w:t>收集量（</w:t>
            </w:r>
            <w:r>
              <w:rPr>
                <w:rFonts w:hint="default"/>
                <w:lang w:val="en-US" w:eastAsia="zh-CN"/>
              </w:rPr>
              <w:t>kg/a</w:t>
            </w:r>
            <w:r>
              <w:rPr>
                <w:lang w:val="en-US" w:eastAsia="zh-CN"/>
              </w:rPr>
              <w:t>）</w:t>
            </w:r>
          </w:p>
        </w:tc>
        <w:tc>
          <w:tcPr>
            <w:tcW w:w="287" w:type="pct"/>
            <w:shd w:val="clear" w:color="auto" w:fill="auto"/>
            <w:vAlign w:val="center"/>
          </w:tcPr>
          <w:p>
            <w:pPr>
              <w:pStyle w:val="22"/>
              <w:bidi w:val="0"/>
              <w:jc w:val="center"/>
              <w:rPr>
                <w:rFonts w:hint="eastAsia"/>
              </w:rPr>
            </w:pPr>
            <w:r>
              <w:rPr>
                <w:lang w:val="en-US" w:eastAsia="zh-CN"/>
              </w:rPr>
              <w:t>废气量（</w:t>
            </w:r>
            <w:r>
              <w:rPr>
                <w:rFonts w:hint="default"/>
                <w:lang w:val="en-US" w:eastAsia="zh-CN"/>
              </w:rPr>
              <w:t>m</w:t>
            </w:r>
            <w:r>
              <w:rPr>
                <w:rFonts w:hint="default"/>
                <w:vertAlign w:val="superscript"/>
                <w:lang w:val="en-US" w:eastAsia="zh-CN"/>
              </w:rPr>
              <w:t>3</w:t>
            </w:r>
            <w:r>
              <w:rPr>
                <w:rFonts w:hint="default"/>
                <w:lang w:val="en-US" w:eastAsia="zh-CN"/>
              </w:rPr>
              <w:t>/h</w:t>
            </w:r>
            <w:r>
              <w:rPr>
                <w:lang w:val="en-US" w:eastAsia="zh-CN"/>
              </w:rPr>
              <w:t>）</w:t>
            </w:r>
          </w:p>
        </w:tc>
        <w:tc>
          <w:tcPr>
            <w:tcW w:w="302" w:type="pct"/>
            <w:shd w:val="clear" w:color="auto" w:fill="auto"/>
            <w:vAlign w:val="center"/>
          </w:tcPr>
          <w:p>
            <w:pPr>
              <w:pStyle w:val="22"/>
              <w:bidi w:val="0"/>
              <w:jc w:val="center"/>
              <w:rPr>
                <w:rFonts w:hint="eastAsia"/>
              </w:rPr>
            </w:pPr>
            <w:r>
              <w:rPr>
                <w:lang w:val="en-US" w:eastAsia="zh-CN"/>
              </w:rPr>
              <w:t>产生速率（</w:t>
            </w:r>
            <w:r>
              <w:rPr>
                <w:rFonts w:hint="default"/>
                <w:lang w:val="en-US" w:eastAsia="zh-CN"/>
              </w:rPr>
              <w:t>kg/h</w:t>
            </w:r>
            <w:r>
              <w:rPr>
                <w:lang w:val="en-US" w:eastAsia="zh-CN"/>
              </w:rPr>
              <w:t>）</w:t>
            </w:r>
          </w:p>
        </w:tc>
        <w:tc>
          <w:tcPr>
            <w:tcW w:w="408" w:type="pct"/>
            <w:shd w:val="clear" w:color="auto" w:fill="auto"/>
            <w:vAlign w:val="center"/>
          </w:tcPr>
          <w:p>
            <w:pPr>
              <w:pStyle w:val="22"/>
              <w:bidi w:val="0"/>
              <w:jc w:val="center"/>
              <w:rPr>
                <w:rFonts w:hint="eastAsia"/>
              </w:rPr>
            </w:pPr>
            <w:r>
              <w:rPr>
                <w:lang w:val="en-US" w:eastAsia="zh-CN"/>
              </w:rPr>
              <w:t>产生浓度（</w:t>
            </w:r>
            <w:r>
              <w:rPr>
                <w:rFonts w:hint="default"/>
                <w:lang w:val="en-US" w:eastAsia="zh-CN"/>
              </w:rPr>
              <w:t>mg/m</w:t>
            </w:r>
            <w:r>
              <w:rPr>
                <w:rFonts w:hint="default"/>
                <w:vertAlign w:val="superscript"/>
                <w:lang w:val="en-US" w:eastAsia="zh-CN"/>
              </w:rPr>
              <w:t>3</w:t>
            </w:r>
            <w:r>
              <w:rPr>
                <w:lang w:val="en-US" w:eastAsia="zh-CN"/>
              </w:rPr>
              <w:t>）</w:t>
            </w:r>
          </w:p>
        </w:tc>
        <w:tc>
          <w:tcPr>
            <w:tcW w:w="260" w:type="pct"/>
            <w:shd w:val="clear" w:color="auto" w:fill="auto"/>
            <w:vAlign w:val="center"/>
          </w:tcPr>
          <w:p>
            <w:pPr>
              <w:pStyle w:val="22"/>
              <w:bidi w:val="0"/>
              <w:jc w:val="center"/>
              <w:rPr>
                <w:rFonts w:hint="eastAsia"/>
              </w:rPr>
            </w:pPr>
            <w:r>
              <w:rPr>
                <w:lang w:val="en-US" w:eastAsia="zh-CN"/>
              </w:rPr>
              <w:t>运行时间（</w:t>
            </w:r>
            <w:r>
              <w:rPr>
                <w:rFonts w:hint="default"/>
                <w:lang w:val="en-US" w:eastAsia="zh-CN"/>
              </w:rPr>
              <w:t>h</w:t>
            </w:r>
            <w:r>
              <w:rPr>
                <w:lang w:val="en-US" w:eastAsia="zh-CN"/>
              </w:rPr>
              <w:t>）</w:t>
            </w:r>
          </w:p>
        </w:tc>
        <w:tc>
          <w:tcPr>
            <w:tcW w:w="275" w:type="pct"/>
            <w:shd w:val="clear" w:color="auto" w:fill="auto"/>
            <w:vAlign w:val="center"/>
          </w:tcPr>
          <w:p>
            <w:pPr>
              <w:pStyle w:val="22"/>
              <w:bidi w:val="0"/>
              <w:jc w:val="center"/>
              <w:rPr>
                <w:rFonts w:hint="eastAsia"/>
              </w:rPr>
            </w:pPr>
            <w:r>
              <w:rPr>
                <w:rFonts w:hint="eastAsia"/>
                <w:lang w:val="en-US" w:eastAsia="zh-CN"/>
              </w:rPr>
              <w:t>碱喷淋治理效率</w:t>
            </w:r>
          </w:p>
        </w:tc>
        <w:tc>
          <w:tcPr>
            <w:tcW w:w="264" w:type="pct"/>
            <w:shd w:val="clear" w:color="auto" w:fill="auto"/>
            <w:vAlign w:val="center"/>
          </w:tcPr>
          <w:p>
            <w:pPr>
              <w:pStyle w:val="22"/>
              <w:bidi w:val="0"/>
              <w:jc w:val="center"/>
              <w:rPr>
                <w:rFonts w:hint="eastAsia"/>
              </w:rPr>
            </w:pPr>
            <w:r>
              <w:rPr>
                <w:rFonts w:hint="eastAsia"/>
                <w:lang w:val="en-US" w:eastAsia="zh-CN"/>
              </w:rPr>
              <w:t>活性炭吸附效率</w:t>
            </w:r>
          </w:p>
        </w:tc>
        <w:tc>
          <w:tcPr>
            <w:tcW w:w="291" w:type="pct"/>
            <w:shd w:val="clear" w:color="auto" w:fill="auto"/>
            <w:vAlign w:val="center"/>
          </w:tcPr>
          <w:p>
            <w:pPr>
              <w:pStyle w:val="22"/>
              <w:bidi w:val="0"/>
              <w:jc w:val="center"/>
              <w:rPr>
                <w:rFonts w:hint="eastAsia"/>
              </w:rPr>
            </w:pPr>
            <w:r>
              <w:rPr>
                <w:lang w:val="en-US" w:eastAsia="zh-CN"/>
              </w:rPr>
              <w:t>排放速率（</w:t>
            </w:r>
            <w:r>
              <w:rPr>
                <w:rFonts w:hint="default"/>
                <w:lang w:val="en-US" w:eastAsia="zh-CN"/>
              </w:rPr>
              <w:t>kg/h</w:t>
            </w:r>
            <w:r>
              <w:rPr>
                <w:lang w:val="en-US" w:eastAsia="zh-CN"/>
              </w:rPr>
              <w:t>）</w:t>
            </w:r>
          </w:p>
        </w:tc>
        <w:tc>
          <w:tcPr>
            <w:tcW w:w="328" w:type="pct"/>
            <w:shd w:val="clear" w:color="auto" w:fill="auto"/>
            <w:vAlign w:val="center"/>
          </w:tcPr>
          <w:p>
            <w:pPr>
              <w:pStyle w:val="22"/>
              <w:bidi w:val="0"/>
              <w:jc w:val="center"/>
              <w:rPr>
                <w:rFonts w:hint="eastAsia"/>
              </w:rPr>
            </w:pPr>
            <w:r>
              <w:rPr>
                <w:lang w:val="en-US" w:eastAsia="zh-CN"/>
              </w:rPr>
              <w:t>排放浓度（</w:t>
            </w:r>
            <w:r>
              <w:rPr>
                <w:rFonts w:hint="default"/>
                <w:lang w:val="en-US" w:eastAsia="zh-CN"/>
              </w:rPr>
              <w:t>mg/m</w:t>
            </w:r>
            <w:r>
              <w:rPr>
                <w:rFonts w:hint="default"/>
                <w:vertAlign w:val="superscript"/>
                <w:lang w:val="en-US" w:eastAsia="zh-CN"/>
              </w:rPr>
              <w:t>3</w:t>
            </w:r>
            <w:r>
              <w:rPr>
                <w:lang w:val="en-US" w:eastAsia="zh-CN"/>
              </w:rPr>
              <w:t>）</w:t>
            </w:r>
          </w:p>
        </w:tc>
        <w:tc>
          <w:tcPr>
            <w:tcW w:w="343" w:type="pct"/>
            <w:shd w:val="clear" w:color="auto" w:fill="auto"/>
            <w:vAlign w:val="center"/>
          </w:tcPr>
          <w:p>
            <w:pPr>
              <w:pStyle w:val="22"/>
              <w:bidi w:val="0"/>
              <w:jc w:val="center"/>
              <w:rPr>
                <w:rFonts w:hint="eastAsia"/>
              </w:rPr>
            </w:pPr>
            <w:r>
              <w:rPr>
                <w:lang w:val="en-US" w:eastAsia="zh-CN"/>
              </w:rPr>
              <w:t>排放量（</w:t>
            </w:r>
            <w:r>
              <w:rPr>
                <w:rFonts w:hint="default"/>
                <w:lang w:val="en-US" w:eastAsia="zh-CN"/>
              </w:rPr>
              <w:t>kg/a</w:t>
            </w:r>
            <w:r>
              <w:rPr>
                <w:lang w:val="en-US" w:eastAsia="zh-CN"/>
              </w:rPr>
              <w:t>）</w:t>
            </w:r>
          </w:p>
        </w:tc>
        <w:tc>
          <w:tcPr>
            <w:tcW w:w="275" w:type="pct"/>
            <w:shd w:val="clear" w:color="auto" w:fill="auto"/>
            <w:vAlign w:val="center"/>
          </w:tcPr>
          <w:p>
            <w:pPr>
              <w:pStyle w:val="22"/>
              <w:bidi w:val="0"/>
              <w:jc w:val="center"/>
              <w:rPr>
                <w:rFonts w:hint="eastAsia"/>
              </w:rPr>
            </w:pPr>
            <w:r>
              <w:rPr>
                <w:lang w:val="en-US" w:eastAsia="zh-CN"/>
              </w:rPr>
              <w:t>排放速率标准（</w:t>
            </w:r>
            <w:r>
              <w:rPr>
                <w:rFonts w:hint="default"/>
                <w:lang w:val="en-US" w:eastAsia="zh-CN"/>
              </w:rPr>
              <w:t>kg/h</w:t>
            </w:r>
            <w:r>
              <w:rPr>
                <w:lang w:val="en-US" w:eastAsia="zh-CN"/>
              </w:rPr>
              <w:t>）</w:t>
            </w:r>
          </w:p>
        </w:tc>
        <w:tc>
          <w:tcPr>
            <w:tcW w:w="325" w:type="pct"/>
            <w:shd w:val="clear" w:color="auto" w:fill="auto"/>
            <w:vAlign w:val="center"/>
          </w:tcPr>
          <w:p>
            <w:pPr>
              <w:pStyle w:val="22"/>
              <w:bidi w:val="0"/>
              <w:jc w:val="center"/>
              <w:rPr>
                <w:rFonts w:hint="eastAsia"/>
              </w:rPr>
            </w:pPr>
            <w:r>
              <w:rPr>
                <w:lang w:val="en-US" w:eastAsia="zh-CN"/>
              </w:rPr>
              <w:t>最高允许排放浓度（</w:t>
            </w:r>
            <w:r>
              <w:rPr>
                <w:rFonts w:hint="default"/>
                <w:lang w:val="en-US" w:eastAsia="zh-CN"/>
              </w:rPr>
              <w:t>mg/m</w:t>
            </w:r>
            <w:r>
              <w:rPr>
                <w:rFonts w:hint="default"/>
                <w:vertAlign w:val="superscript"/>
                <w:lang w:val="en-US" w:eastAsia="zh-CN"/>
              </w:rPr>
              <w:t>3</w:t>
            </w:r>
            <w:r>
              <w:rPr>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restart"/>
            <w:shd w:val="clear" w:color="auto" w:fill="auto"/>
            <w:vAlign w:val="center"/>
          </w:tcPr>
          <w:p>
            <w:pPr>
              <w:pStyle w:val="22"/>
              <w:bidi w:val="0"/>
              <w:jc w:val="center"/>
              <w:rPr>
                <w:rFonts w:hint="eastAsia"/>
              </w:rPr>
            </w:pPr>
            <w:r>
              <w:rPr>
                <w:rFonts w:hint="eastAsia"/>
                <w:lang w:val="en-US" w:eastAsia="zh-CN"/>
              </w:rPr>
              <w:t>危化品运输槽罐车的罐体</w:t>
            </w:r>
          </w:p>
        </w:tc>
        <w:tc>
          <w:tcPr>
            <w:tcW w:w="1303" w:type="dxa"/>
            <w:shd w:val="clear" w:color="auto" w:fill="auto"/>
            <w:vAlign w:val="center"/>
          </w:tcPr>
          <w:p>
            <w:pPr>
              <w:pStyle w:val="22"/>
              <w:bidi w:val="0"/>
              <w:rPr>
                <w:rFonts w:hint="eastAsia"/>
              </w:rPr>
            </w:pPr>
            <w:r>
              <w:rPr>
                <w:rFonts w:hint="eastAsia"/>
                <w:lang w:val="en-US" w:eastAsia="zh-CN"/>
              </w:rPr>
              <w:t>天然气</w:t>
            </w:r>
          </w:p>
        </w:tc>
        <w:tc>
          <w:tcPr>
            <w:tcW w:w="940" w:type="dxa"/>
            <w:shd w:val="clear" w:color="auto" w:fill="auto"/>
            <w:vAlign w:val="center"/>
          </w:tcPr>
          <w:p>
            <w:pPr>
              <w:pStyle w:val="22"/>
              <w:bidi w:val="0"/>
              <w:rPr>
                <w:rFonts w:hint="default"/>
              </w:rPr>
            </w:pPr>
            <w:r>
              <w:rPr>
                <w:rFonts w:hint="default"/>
                <w:lang w:val="en-US" w:eastAsia="zh-CN"/>
              </w:rPr>
              <w:t xml:space="preserve">13.870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13.177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2.635 </w:t>
            </w:r>
          </w:p>
        </w:tc>
        <w:tc>
          <w:tcPr>
            <w:tcW w:w="1080" w:type="dxa"/>
            <w:shd w:val="clear" w:color="auto" w:fill="auto"/>
            <w:noWrap/>
            <w:vAlign w:val="center"/>
          </w:tcPr>
          <w:p>
            <w:pPr>
              <w:pStyle w:val="22"/>
              <w:bidi w:val="0"/>
              <w:rPr>
                <w:rFonts w:hint="default"/>
              </w:rPr>
            </w:pPr>
            <w:r>
              <w:rPr>
                <w:rFonts w:hint="default"/>
                <w:lang w:val="en-US" w:eastAsia="zh-CN"/>
              </w:rPr>
              <w:t xml:space="preserve">432.016 </w:t>
            </w:r>
          </w:p>
        </w:tc>
        <w:tc>
          <w:tcPr>
            <w:tcW w:w="690" w:type="dxa"/>
            <w:shd w:val="clear" w:color="auto" w:fill="auto"/>
            <w:noWrap/>
            <w:vAlign w:val="center"/>
          </w:tcPr>
          <w:p>
            <w:pPr>
              <w:pStyle w:val="22"/>
              <w:bidi w:val="0"/>
              <w:rPr>
                <w:rFonts w:hint="default"/>
              </w:rPr>
            </w:pPr>
            <w:r>
              <w:rPr>
                <w:rFonts w:hint="default"/>
                <w:lang w:val="en-US" w:eastAsia="zh-CN"/>
              </w:rPr>
              <w:t>5</w:t>
            </w:r>
          </w:p>
        </w:tc>
        <w:tc>
          <w:tcPr>
            <w:tcW w:w="730" w:type="dxa"/>
            <w:shd w:val="clear" w:color="auto" w:fill="auto"/>
            <w:noWrap/>
            <w:vAlign w:val="center"/>
          </w:tcPr>
          <w:p>
            <w:pPr>
              <w:pStyle w:val="22"/>
              <w:bidi w:val="0"/>
              <w:rPr>
                <w:rFonts w:hint="default"/>
              </w:rPr>
            </w:pPr>
            <w:r>
              <w:rPr>
                <w:rFonts w:hint="default"/>
                <w:lang w:val="en-US" w:eastAsia="zh-CN"/>
              </w:rPr>
              <w:t>0</w:t>
            </w:r>
          </w:p>
        </w:tc>
        <w:tc>
          <w:tcPr>
            <w:tcW w:w="700" w:type="dxa"/>
            <w:shd w:val="clear" w:color="auto" w:fill="auto"/>
            <w:noWrap/>
            <w:vAlign w:val="center"/>
          </w:tcPr>
          <w:p>
            <w:pPr>
              <w:pStyle w:val="22"/>
              <w:bidi w:val="0"/>
              <w:rPr>
                <w:rFonts w:hint="eastAsia"/>
                <w:lang w:val="en-US" w:eastAsia="zh-CN"/>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0.264 </w:t>
            </w:r>
          </w:p>
        </w:tc>
        <w:tc>
          <w:tcPr>
            <w:tcW w:w="870" w:type="dxa"/>
            <w:shd w:val="clear" w:color="auto" w:fill="auto"/>
            <w:noWrap/>
            <w:vAlign w:val="center"/>
          </w:tcPr>
          <w:p>
            <w:pPr>
              <w:pStyle w:val="22"/>
              <w:bidi w:val="0"/>
              <w:rPr>
                <w:rFonts w:hint="default"/>
              </w:rPr>
            </w:pPr>
            <w:r>
              <w:rPr>
                <w:rFonts w:hint="default"/>
                <w:lang w:val="en-US" w:eastAsia="zh-CN"/>
              </w:rPr>
              <w:t xml:space="preserve">43.202 </w:t>
            </w:r>
          </w:p>
        </w:tc>
        <w:tc>
          <w:tcPr>
            <w:tcW w:w="910" w:type="dxa"/>
            <w:shd w:val="clear" w:color="auto" w:fill="auto"/>
            <w:noWrap/>
            <w:vAlign w:val="center"/>
          </w:tcPr>
          <w:p>
            <w:pPr>
              <w:pStyle w:val="22"/>
              <w:bidi w:val="0"/>
              <w:rPr>
                <w:rFonts w:hint="default"/>
              </w:rPr>
            </w:pPr>
            <w:r>
              <w:rPr>
                <w:rFonts w:hint="default"/>
                <w:lang w:val="en-US" w:eastAsia="zh-CN"/>
              </w:rPr>
              <w:t xml:space="preserve">1.318 </w:t>
            </w:r>
          </w:p>
        </w:tc>
        <w:tc>
          <w:tcPr>
            <w:tcW w:w="730" w:type="dxa"/>
            <w:shd w:val="clear" w:color="auto" w:fill="auto"/>
            <w:noWrap/>
            <w:vAlign w:val="center"/>
          </w:tcPr>
          <w:p>
            <w:pPr>
              <w:pStyle w:val="22"/>
              <w:bidi w:val="0"/>
              <w:rPr>
                <w:rFonts w:hint="default"/>
              </w:rPr>
            </w:pPr>
            <w:r>
              <w:rPr>
                <w:rFonts w:hint="default"/>
                <w:lang w:val="en-US" w:eastAsia="zh-CN"/>
              </w:rPr>
              <w:t>3.4</w:t>
            </w:r>
          </w:p>
        </w:tc>
        <w:tc>
          <w:tcPr>
            <w:tcW w:w="860" w:type="dxa"/>
            <w:shd w:val="clear" w:color="auto" w:fill="auto"/>
            <w:noWrap/>
            <w:vAlign w:val="center"/>
          </w:tcPr>
          <w:p>
            <w:pPr>
              <w:pStyle w:val="22"/>
              <w:bidi w:val="0"/>
              <w:rPr>
                <w:rFonts w:hint="default"/>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98%硫酸</w:t>
            </w:r>
          </w:p>
        </w:tc>
        <w:tc>
          <w:tcPr>
            <w:tcW w:w="940" w:type="dxa"/>
            <w:shd w:val="clear" w:color="auto" w:fill="auto"/>
            <w:vAlign w:val="center"/>
          </w:tcPr>
          <w:p>
            <w:pPr>
              <w:pStyle w:val="22"/>
              <w:bidi w:val="0"/>
              <w:rPr>
                <w:rFonts w:hint="default"/>
              </w:rPr>
            </w:pPr>
            <w:r>
              <w:rPr>
                <w:rFonts w:hint="default"/>
                <w:lang w:val="en-US" w:eastAsia="zh-CN"/>
              </w:rPr>
              <w:t xml:space="preserve">194.400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184.680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9.234 </w:t>
            </w:r>
          </w:p>
        </w:tc>
        <w:tc>
          <w:tcPr>
            <w:tcW w:w="1080" w:type="dxa"/>
            <w:shd w:val="clear" w:color="auto" w:fill="auto"/>
            <w:noWrap/>
            <w:vAlign w:val="center"/>
          </w:tcPr>
          <w:p>
            <w:pPr>
              <w:pStyle w:val="22"/>
              <w:bidi w:val="0"/>
              <w:rPr>
                <w:rFonts w:hint="default"/>
              </w:rPr>
            </w:pPr>
            <w:r>
              <w:rPr>
                <w:rFonts w:hint="default"/>
                <w:lang w:val="en-US" w:eastAsia="zh-CN"/>
              </w:rPr>
              <w:t xml:space="preserve">1513.770 </w:t>
            </w:r>
          </w:p>
        </w:tc>
        <w:tc>
          <w:tcPr>
            <w:tcW w:w="690" w:type="dxa"/>
            <w:shd w:val="clear" w:color="auto" w:fill="auto"/>
            <w:noWrap/>
            <w:vAlign w:val="center"/>
          </w:tcPr>
          <w:p>
            <w:pPr>
              <w:pStyle w:val="22"/>
              <w:bidi w:val="0"/>
              <w:rPr>
                <w:rFonts w:hint="default"/>
              </w:rPr>
            </w:pPr>
            <w:r>
              <w:rPr>
                <w:rFonts w:hint="default"/>
                <w:lang w:val="en-US" w:eastAsia="zh-CN"/>
              </w:rPr>
              <w:t>20</w:t>
            </w:r>
          </w:p>
        </w:tc>
        <w:tc>
          <w:tcPr>
            <w:tcW w:w="730" w:type="dxa"/>
            <w:shd w:val="clear" w:color="auto" w:fill="auto"/>
            <w:noWrap/>
            <w:vAlign w:val="center"/>
          </w:tcPr>
          <w:p>
            <w:pPr>
              <w:pStyle w:val="22"/>
              <w:bidi w:val="0"/>
              <w:rPr>
                <w:rFonts w:hint="default"/>
              </w:rPr>
            </w:pPr>
            <w:r>
              <w:rPr>
                <w:rFonts w:hint="default"/>
                <w:lang w:val="en-US" w:eastAsia="zh-CN"/>
              </w:rPr>
              <w:t>0.95</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0.046 </w:t>
            </w:r>
          </w:p>
        </w:tc>
        <w:tc>
          <w:tcPr>
            <w:tcW w:w="870" w:type="dxa"/>
            <w:shd w:val="clear" w:color="auto" w:fill="auto"/>
            <w:noWrap/>
            <w:vAlign w:val="center"/>
          </w:tcPr>
          <w:p>
            <w:pPr>
              <w:pStyle w:val="22"/>
              <w:bidi w:val="0"/>
              <w:rPr>
                <w:rFonts w:hint="default"/>
              </w:rPr>
            </w:pPr>
            <w:r>
              <w:rPr>
                <w:rFonts w:hint="default"/>
                <w:lang w:val="en-US" w:eastAsia="zh-CN"/>
              </w:rPr>
              <w:t xml:space="preserve">7.569 </w:t>
            </w:r>
          </w:p>
        </w:tc>
        <w:tc>
          <w:tcPr>
            <w:tcW w:w="910" w:type="dxa"/>
            <w:shd w:val="clear" w:color="auto" w:fill="auto"/>
            <w:noWrap/>
            <w:vAlign w:val="center"/>
          </w:tcPr>
          <w:p>
            <w:pPr>
              <w:pStyle w:val="22"/>
              <w:bidi w:val="0"/>
              <w:rPr>
                <w:rFonts w:hint="default"/>
              </w:rPr>
            </w:pPr>
            <w:r>
              <w:rPr>
                <w:rFonts w:hint="default"/>
                <w:lang w:val="en-US" w:eastAsia="zh-CN"/>
              </w:rPr>
              <w:t xml:space="preserve">0.923 </w:t>
            </w:r>
          </w:p>
        </w:tc>
        <w:tc>
          <w:tcPr>
            <w:tcW w:w="730" w:type="dxa"/>
            <w:shd w:val="clear" w:color="auto" w:fill="auto"/>
            <w:noWrap/>
            <w:vAlign w:val="center"/>
          </w:tcPr>
          <w:p>
            <w:pPr>
              <w:pStyle w:val="22"/>
              <w:bidi w:val="0"/>
              <w:rPr>
                <w:rFonts w:hint="default"/>
              </w:rPr>
            </w:pPr>
            <w:r>
              <w:rPr>
                <w:rFonts w:hint="default"/>
                <w:lang w:val="en-US" w:eastAsia="zh-CN"/>
              </w:rPr>
              <w:t>1.5</w:t>
            </w:r>
          </w:p>
        </w:tc>
        <w:tc>
          <w:tcPr>
            <w:tcW w:w="860" w:type="dxa"/>
            <w:shd w:val="clear" w:color="auto" w:fill="auto"/>
            <w:noWrap/>
            <w:vAlign w:val="center"/>
          </w:tcPr>
          <w:p>
            <w:pPr>
              <w:pStyle w:val="22"/>
              <w:bidi w:val="0"/>
              <w:rPr>
                <w:rFonts w:hint="default"/>
              </w:rPr>
            </w:pPr>
            <w:r>
              <w:rPr>
                <w:rFonts w:hint="default"/>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试剂硫酸</w:t>
            </w:r>
          </w:p>
        </w:tc>
        <w:tc>
          <w:tcPr>
            <w:tcW w:w="940" w:type="dxa"/>
            <w:shd w:val="clear" w:color="auto" w:fill="auto"/>
            <w:vAlign w:val="center"/>
          </w:tcPr>
          <w:p>
            <w:pPr>
              <w:pStyle w:val="22"/>
              <w:bidi w:val="0"/>
              <w:rPr>
                <w:rFonts w:hint="default"/>
              </w:rPr>
            </w:pPr>
            <w:r>
              <w:rPr>
                <w:rFonts w:hint="eastAsia"/>
                <w:lang w:val="en-US" w:eastAsia="zh-CN"/>
              </w:rPr>
              <w:t>/</w:t>
            </w:r>
          </w:p>
        </w:tc>
        <w:tc>
          <w:tcPr>
            <w:tcW w:w="640" w:type="dxa"/>
            <w:shd w:val="clear" w:color="auto" w:fill="auto"/>
            <w:noWrap/>
            <w:vAlign w:val="center"/>
          </w:tcPr>
          <w:p>
            <w:pPr>
              <w:pStyle w:val="22"/>
              <w:bidi w:val="0"/>
              <w:rPr>
                <w:rFonts w:hint="default"/>
              </w:rPr>
            </w:pPr>
            <w:r>
              <w:rPr>
                <w:rFonts w:hint="eastAsia"/>
                <w:lang w:val="en-US" w:eastAsia="zh-CN"/>
              </w:rPr>
              <w:t>/</w:t>
            </w:r>
          </w:p>
        </w:tc>
        <w:tc>
          <w:tcPr>
            <w:tcW w:w="1040" w:type="dxa"/>
            <w:shd w:val="clear" w:color="auto" w:fill="auto"/>
            <w:noWrap/>
            <w:vAlign w:val="center"/>
          </w:tcPr>
          <w:p>
            <w:pPr>
              <w:pStyle w:val="22"/>
              <w:bidi w:val="0"/>
              <w:rPr>
                <w:rFonts w:hint="default"/>
              </w:rPr>
            </w:pPr>
            <w:r>
              <w:rPr>
                <w:rFonts w:hint="eastAsia"/>
                <w:lang w:val="en-US" w:eastAsia="zh-CN"/>
              </w:rPr>
              <w:t>/</w:t>
            </w:r>
          </w:p>
        </w:tc>
        <w:tc>
          <w:tcPr>
            <w:tcW w:w="760" w:type="dxa"/>
            <w:shd w:val="clear" w:color="auto" w:fill="auto"/>
            <w:noWrap/>
            <w:vAlign w:val="center"/>
          </w:tcPr>
          <w:p>
            <w:pPr>
              <w:pStyle w:val="22"/>
              <w:bidi w:val="0"/>
              <w:rPr>
                <w:rFonts w:hint="default"/>
              </w:rPr>
            </w:pPr>
            <w:r>
              <w:rPr>
                <w:rFonts w:hint="eastAsia"/>
                <w:lang w:val="en-US" w:eastAsia="zh-CN"/>
              </w:rPr>
              <w:t>/</w:t>
            </w:r>
          </w:p>
        </w:tc>
        <w:tc>
          <w:tcPr>
            <w:tcW w:w="800" w:type="dxa"/>
            <w:shd w:val="clear" w:color="auto" w:fill="auto"/>
            <w:noWrap/>
            <w:vAlign w:val="center"/>
          </w:tcPr>
          <w:p>
            <w:pPr>
              <w:pStyle w:val="22"/>
              <w:bidi w:val="0"/>
              <w:rPr>
                <w:rFonts w:hint="default"/>
              </w:rPr>
            </w:pPr>
            <w:r>
              <w:rPr>
                <w:rFonts w:hint="eastAsia"/>
                <w:lang w:val="en-US" w:eastAsia="zh-CN"/>
              </w:rPr>
              <w:t>/</w:t>
            </w:r>
          </w:p>
        </w:tc>
        <w:tc>
          <w:tcPr>
            <w:tcW w:w="1080" w:type="dxa"/>
            <w:shd w:val="clear" w:color="auto" w:fill="auto"/>
            <w:noWrap/>
            <w:vAlign w:val="center"/>
          </w:tcPr>
          <w:p>
            <w:pPr>
              <w:pStyle w:val="22"/>
              <w:bidi w:val="0"/>
              <w:rPr>
                <w:rFonts w:hint="default"/>
              </w:rPr>
            </w:pPr>
            <w:r>
              <w:rPr>
                <w:rFonts w:hint="eastAsia"/>
                <w:lang w:val="en-US" w:eastAsia="zh-CN"/>
              </w:rPr>
              <w:t>/</w:t>
            </w:r>
          </w:p>
        </w:tc>
        <w:tc>
          <w:tcPr>
            <w:tcW w:w="690" w:type="dxa"/>
            <w:shd w:val="clear" w:color="auto" w:fill="auto"/>
            <w:noWrap/>
            <w:vAlign w:val="center"/>
          </w:tcPr>
          <w:p>
            <w:pPr>
              <w:pStyle w:val="22"/>
              <w:bidi w:val="0"/>
              <w:rPr>
                <w:rFonts w:hint="default"/>
              </w:rPr>
            </w:pPr>
            <w:r>
              <w:rPr>
                <w:rFonts w:hint="eastAsia"/>
                <w:lang w:val="en-US" w:eastAsia="zh-CN"/>
              </w:rPr>
              <w:t>/</w:t>
            </w:r>
          </w:p>
        </w:tc>
        <w:tc>
          <w:tcPr>
            <w:tcW w:w="730" w:type="dxa"/>
            <w:shd w:val="clear" w:color="auto" w:fill="auto"/>
            <w:noWrap/>
            <w:vAlign w:val="center"/>
          </w:tcPr>
          <w:p>
            <w:pPr>
              <w:pStyle w:val="22"/>
              <w:bidi w:val="0"/>
              <w:rPr>
                <w:rFonts w:hint="default"/>
              </w:rPr>
            </w:pPr>
            <w:r>
              <w:rPr>
                <w:rFonts w:hint="eastAsia"/>
                <w:lang w:val="en-US" w:eastAsia="zh-CN"/>
              </w:rPr>
              <w:t>/</w:t>
            </w:r>
          </w:p>
        </w:tc>
        <w:tc>
          <w:tcPr>
            <w:tcW w:w="700" w:type="dxa"/>
            <w:shd w:val="clear" w:color="auto" w:fill="auto"/>
            <w:noWrap/>
            <w:vAlign w:val="center"/>
          </w:tcPr>
          <w:p>
            <w:pPr>
              <w:pStyle w:val="22"/>
              <w:bidi w:val="0"/>
              <w:rPr>
                <w:rFonts w:hint="default"/>
              </w:rPr>
            </w:pPr>
            <w:r>
              <w:rPr>
                <w:rFonts w:hint="eastAsia"/>
                <w:lang w:val="en-US" w:eastAsia="zh-CN"/>
              </w:rPr>
              <w:t>/</w:t>
            </w:r>
          </w:p>
        </w:tc>
        <w:tc>
          <w:tcPr>
            <w:tcW w:w="770" w:type="dxa"/>
            <w:shd w:val="clear" w:color="auto" w:fill="auto"/>
            <w:noWrap/>
            <w:vAlign w:val="center"/>
          </w:tcPr>
          <w:p>
            <w:pPr>
              <w:pStyle w:val="22"/>
              <w:bidi w:val="0"/>
              <w:rPr>
                <w:rFonts w:hint="default"/>
              </w:rPr>
            </w:pPr>
            <w:r>
              <w:rPr>
                <w:rFonts w:hint="eastAsia"/>
                <w:lang w:val="en-US" w:eastAsia="zh-CN"/>
              </w:rPr>
              <w:t>/</w:t>
            </w:r>
          </w:p>
        </w:tc>
        <w:tc>
          <w:tcPr>
            <w:tcW w:w="870" w:type="dxa"/>
            <w:shd w:val="clear" w:color="auto" w:fill="auto"/>
            <w:noWrap/>
            <w:vAlign w:val="center"/>
          </w:tcPr>
          <w:p>
            <w:pPr>
              <w:pStyle w:val="22"/>
              <w:bidi w:val="0"/>
              <w:rPr>
                <w:rFonts w:hint="default"/>
              </w:rPr>
            </w:pPr>
            <w:r>
              <w:rPr>
                <w:rFonts w:hint="eastAsia"/>
                <w:lang w:val="en-US" w:eastAsia="zh-CN"/>
              </w:rPr>
              <w:t>/</w:t>
            </w:r>
          </w:p>
        </w:tc>
        <w:tc>
          <w:tcPr>
            <w:tcW w:w="910" w:type="dxa"/>
            <w:shd w:val="clear" w:color="auto" w:fill="auto"/>
            <w:noWrap/>
            <w:vAlign w:val="center"/>
          </w:tcPr>
          <w:p>
            <w:pPr>
              <w:pStyle w:val="22"/>
              <w:bidi w:val="0"/>
              <w:rPr>
                <w:rFonts w:hint="default"/>
              </w:rPr>
            </w:pPr>
            <w:r>
              <w:rPr>
                <w:rFonts w:hint="eastAsia"/>
                <w:lang w:val="en-US" w:eastAsia="zh-CN"/>
              </w:rPr>
              <w:t>/</w:t>
            </w:r>
          </w:p>
        </w:tc>
        <w:tc>
          <w:tcPr>
            <w:tcW w:w="730" w:type="dxa"/>
            <w:shd w:val="clear" w:color="auto" w:fill="auto"/>
            <w:noWrap/>
            <w:vAlign w:val="center"/>
          </w:tcPr>
          <w:p>
            <w:pPr>
              <w:pStyle w:val="22"/>
              <w:bidi w:val="0"/>
              <w:rPr>
                <w:rFonts w:hint="default"/>
              </w:rPr>
            </w:pPr>
            <w:r>
              <w:rPr>
                <w:rFonts w:hint="eastAsia"/>
                <w:lang w:val="en-US" w:eastAsia="zh-CN"/>
              </w:rPr>
              <w:t>/</w:t>
            </w:r>
          </w:p>
        </w:tc>
        <w:tc>
          <w:tcPr>
            <w:tcW w:w="860" w:type="dxa"/>
            <w:shd w:val="clear" w:color="auto" w:fill="auto"/>
            <w:noWrap/>
            <w:vAlign w:val="center"/>
          </w:tcPr>
          <w:p>
            <w:pPr>
              <w:pStyle w:val="22"/>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31%盐酸</w:t>
            </w:r>
          </w:p>
        </w:tc>
        <w:tc>
          <w:tcPr>
            <w:tcW w:w="940" w:type="dxa"/>
            <w:shd w:val="clear" w:color="auto" w:fill="auto"/>
            <w:vAlign w:val="center"/>
          </w:tcPr>
          <w:p>
            <w:pPr>
              <w:pStyle w:val="22"/>
              <w:bidi w:val="0"/>
              <w:rPr>
                <w:rFonts w:hint="default"/>
              </w:rPr>
            </w:pPr>
            <w:r>
              <w:rPr>
                <w:rFonts w:hint="default"/>
                <w:lang w:val="en-US" w:eastAsia="zh-CN"/>
              </w:rPr>
              <w:t xml:space="preserve">70.560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67.032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6.703 </w:t>
            </w:r>
          </w:p>
        </w:tc>
        <w:tc>
          <w:tcPr>
            <w:tcW w:w="1080" w:type="dxa"/>
            <w:shd w:val="clear" w:color="auto" w:fill="auto"/>
            <w:noWrap/>
            <w:vAlign w:val="center"/>
          </w:tcPr>
          <w:p>
            <w:pPr>
              <w:pStyle w:val="22"/>
              <w:bidi w:val="0"/>
              <w:rPr>
                <w:rFonts w:hint="default"/>
              </w:rPr>
            </w:pPr>
            <w:r>
              <w:rPr>
                <w:rFonts w:hint="default"/>
                <w:lang w:val="en-US" w:eastAsia="zh-CN"/>
              </w:rPr>
              <w:t xml:space="preserve">1098.885 </w:t>
            </w:r>
          </w:p>
        </w:tc>
        <w:tc>
          <w:tcPr>
            <w:tcW w:w="690" w:type="dxa"/>
            <w:shd w:val="clear" w:color="auto" w:fill="auto"/>
            <w:noWrap/>
            <w:vAlign w:val="center"/>
          </w:tcPr>
          <w:p>
            <w:pPr>
              <w:pStyle w:val="22"/>
              <w:bidi w:val="0"/>
              <w:rPr>
                <w:rFonts w:hint="default"/>
              </w:rPr>
            </w:pPr>
            <w:r>
              <w:rPr>
                <w:rFonts w:hint="default"/>
                <w:lang w:val="en-US" w:eastAsia="zh-CN"/>
              </w:rPr>
              <w:t>10</w:t>
            </w:r>
          </w:p>
        </w:tc>
        <w:tc>
          <w:tcPr>
            <w:tcW w:w="730" w:type="dxa"/>
            <w:shd w:val="clear" w:color="auto" w:fill="auto"/>
            <w:noWrap/>
            <w:vAlign w:val="center"/>
          </w:tcPr>
          <w:p>
            <w:pPr>
              <w:pStyle w:val="22"/>
              <w:bidi w:val="0"/>
              <w:rPr>
                <w:rFonts w:hint="default"/>
              </w:rPr>
            </w:pPr>
            <w:r>
              <w:rPr>
                <w:rFonts w:hint="default"/>
                <w:lang w:val="en-US" w:eastAsia="zh-CN"/>
              </w:rPr>
              <w:t>0.95</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0.034 </w:t>
            </w:r>
          </w:p>
        </w:tc>
        <w:tc>
          <w:tcPr>
            <w:tcW w:w="870" w:type="dxa"/>
            <w:shd w:val="clear" w:color="auto" w:fill="auto"/>
            <w:noWrap/>
            <w:vAlign w:val="center"/>
          </w:tcPr>
          <w:p>
            <w:pPr>
              <w:pStyle w:val="22"/>
              <w:bidi w:val="0"/>
              <w:rPr>
                <w:rFonts w:hint="default"/>
              </w:rPr>
            </w:pPr>
            <w:r>
              <w:rPr>
                <w:rFonts w:hint="default"/>
                <w:lang w:val="en-US" w:eastAsia="zh-CN"/>
              </w:rPr>
              <w:t xml:space="preserve">5.494 </w:t>
            </w:r>
          </w:p>
        </w:tc>
        <w:tc>
          <w:tcPr>
            <w:tcW w:w="910" w:type="dxa"/>
            <w:shd w:val="clear" w:color="auto" w:fill="auto"/>
            <w:noWrap/>
            <w:vAlign w:val="center"/>
          </w:tcPr>
          <w:p>
            <w:pPr>
              <w:pStyle w:val="22"/>
              <w:bidi w:val="0"/>
              <w:rPr>
                <w:rFonts w:hint="default"/>
              </w:rPr>
            </w:pPr>
            <w:r>
              <w:rPr>
                <w:rFonts w:hint="default"/>
                <w:lang w:val="en-US" w:eastAsia="zh-CN"/>
              </w:rPr>
              <w:t xml:space="preserve">0.335 </w:t>
            </w:r>
          </w:p>
        </w:tc>
        <w:tc>
          <w:tcPr>
            <w:tcW w:w="730" w:type="dxa"/>
            <w:shd w:val="clear" w:color="auto" w:fill="auto"/>
            <w:noWrap/>
            <w:vAlign w:val="center"/>
          </w:tcPr>
          <w:p>
            <w:pPr>
              <w:pStyle w:val="22"/>
              <w:bidi w:val="0"/>
              <w:rPr>
                <w:rFonts w:hint="default"/>
              </w:rPr>
            </w:pPr>
            <w:r>
              <w:rPr>
                <w:rFonts w:hint="default"/>
                <w:lang w:val="en-US" w:eastAsia="zh-CN"/>
              </w:rPr>
              <w:t>0.26</w:t>
            </w:r>
          </w:p>
        </w:tc>
        <w:tc>
          <w:tcPr>
            <w:tcW w:w="860" w:type="dxa"/>
            <w:shd w:val="clear" w:color="auto" w:fill="auto"/>
            <w:noWrap/>
            <w:vAlign w:val="center"/>
          </w:tcPr>
          <w:p>
            <w:pPr>
              <w:pStyle w:val="22"/>
              <w:bidi w:val="0"/>
              <w:rPr>
                <w:rFonts w:hint="default"/>
              </w:rPr>
            </w:pPr>
            <w:r>
              <w:rPr>
                <w:rFonts w:hint="default"/>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42%氢氧化钠</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lang w:val="en-US"/>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40%氢氟酸</w:t>
            </w:r>
          </w:p>
        </w:tc>
        <w:tc>
          <w:tcPr>
            <w:tcW w:w="940" w:type="dxa"/>
            <w:shd w:val="clear" w:color="auto" w:fill="auto"/>
            <w:vAlign w:val="center"/>
          </w:tcPr>
          <w:p>
            <w:pPr>
              <w:pStyle w:val="22"/>
              <w:bidi w:val="0"/>
              <w:rPr>
                <w:rFonts w:hint="default"/>
              </w:rPr>
            </w:pPr>
            <w:r>
              <w:rPr>
                <w:rFonts w:hint="default"/>
                <w:lang w:val="en-US" w:eastAsia="zh-CN"/>
              </w:rPr>
              <w:t xml:space="preserve">55.880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53.086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5.309 </w:t>
            </w:r>
          </w:p>
        </w:tc>
        <w:tc>
          <w:tcPr>
            <w:tcW w:w="1080" w:type="dxa"/>
            <w:shd w:val="clear" w:color="auto" w:fill="auto"/>
            <w:noWrap/>
            <w:vAlign w:val="center"/>
          </w:tcPr>
          <w:p>
            <w:pPr>
              <w:pStyle w:val="22"/>
              <w:bidi w:val="0"/>
              <w:rPr>
                <w:rFonts w:hint="default"/>
              </w:rPr>
            </w:pPr>
            <w:r>
              <w:rPr>
                <w:rFonts w:hint="default"/>
                <w:lang w:val="en-US" w:eastAsia="zh-CN"/>
              </w:rPr>
              <w:t xml:space="preserve">870.262 </w:t>
            </w:r>
          </w:p>
        </w:tc>
        <w:tc>
          <w:tcPr>
            <w:tcW w:w="690" w:type="dxa"/>
            <w:shd w:val="clear" w:color="auto" w:fill="auto"/>
            <w:noWrap/>
            <w:vAlign w:val="center"/>
          </w:tcPr>
          <w:p>
            <w:pPr>
              <w:pStyle w:val="22"/>
              <w:bidi w:val="0"/>
              <w:rPr>
                <w:rFonts w:hint="default"/>
              </w:rPr>
            </w:pPr>
            <w:r>
              <w:rPr>
                <w:rFonts w:hint="default"/>
                <w:lang w:val="en-US" w:eastAsia="zh-CN"/>
              </w:rPr>
              <w:t>10</w:t>
            </w:r>
          </w:p>
        </w:tc>
        <w:tc>
          <w:tcPr>
            <w:tcW w:w="730" w:type="dxa"/>
            <w:shd w:val="clear" w:color="auto" w:fill="auto"/>
            <w:noWrap/>
            <w:vAlign w:val="center"/>
          </w:tcPr>
          <w:p>
            <w:pPr>
              <w:pStyle w:val="22"/>
              <w:bidi w:val="0"/>
              <w:rPr>
                <w:rFonts w:hint="default"/>
              </w:rPr>
            </w:pPr>
            <w:r>
              <w:rPr>
                <w:rFonts w:hint="default"/>
                <w:lang w:val="en-US" w:eastAsia="zh-CN"/>
              </w:rPr>
              <w:t>0.95</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0.027 </w:t>
            </w:r>
          </w:p>
        </w:tc>
        <w:tc>
          <w:tcPr>
            <w:tcW w:w="870" w:type="dxa"/>
            <w:shd w:val="clear" w:color="auto" w:fill="auto"/>
            <w:noWrap/>
            <w:vAlign w:val="center"/>
          </w:tcPr>
          <w:p>
            <w:pPr>
              <w:pStyle w:val="22"/>
              <w:bidi w:val="0"/>
              <w:rPr>
                <w:rFonts w:hint="default"/>
              </w:rPr>
            </w:pPr>
            <w:r>
              <w:rPr>
                <w:rFonts w:hint="default"/>
                <w:lang w:val="en-US" w:eastAsia="zh-CN"/>
              </w:rPr>
              <w:t xml:space="preserve">4.351 </w:t>
            </w:r>
          </w:p>
        </w:tc>
        <w:tc>
          <w:tcPr>
            <w:tcW w:w="910" w:type="dxa"/>
            <w:shd w:val="clear" w:color="auto" w:fill="auto"/>
            <w:noWrap/>
            <w:vAlign w:val="center"/>
          </w:tcPr>
          <w:p>
            <w:pPr>
              <w:pStyle w:val="22"/>
              <w:bidi w:val="0"/>
              <w:rPr>
                <w:rFonts w:hint="default"/>
              </w:rPr>
            </w:pPr>
            <w:r>
              <w:rPr>
                <w:rFonts w:hint="default"/>
                <w:lang w:val="en-US" w:eastAsia="zh-CN"/>
              </w:rPr>
              <w:t xml:space="preserve">0.265 </w:t>
            </w:r>
          </w:p>
        </w:tc>
        <w:tc>
          <w:tcPr>
            <w:tcW w:w="730" w:type="dxa"/>
            <w:shd w:val="clear" w:color="auto" w:fill="auto"/>
            <w:noWrap/>
            <w:vAlign w:val="center"/>
          </w:tcPr>
          <w:p>
            <w:pPr>
              <w:pStyle w:val="22"/>
              <w:bidi w:val="0"/>
              <w:rPr>
                <w:rFonts w:hint="default"/>
              </w:rPr>
            </w:pPr>
            <w:r>
              <w:rPr>
                <w:rFonts w:hint="default"/>
                <w:lang w:val="en-US" w:eastAsia="zh-CN"/>
              </w:rPr>
              <w:t>0.1</w:t>
            </w:r>
          </w:p>
        </w:tc>
        <w:tc>
          <w:tcPr>
            <w:tcW w:w="860" w:type="dxa"/>
            <w:shd w:val="clear" w:color="auto" w:fill="auto"/>
            <w:noWrap/>
            <w:vAlign w:val="center"/>
          </w:tcPr>
          <w:p>
            <w:pPr>
              <w:pStyle w:val="22"/>
              <w:bidi w:val="0"/>
              <w:rPr>
                <w:rFonts w:hint="default"/>
              </w:rPr>
            </w:pPr>
            <w:r>
              <w:rPr>
                <w:rFonts w:hint="default"/>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85%磷酸</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99%液氧</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液碱</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甲醇</w:t>
            </w:r>
          </w:p>
        </w:tc>
        <w:tc>
          <w:tcPr>
            <w:tcW w:w="940" w:type="dxa"/>
            <w:shd w:val="clear" w:color="auto" w:fill="auto"/>
            <w:vAlign w:val="center"/>
          </w:tcPr>
          <w:p>
            <w:pPr>
              <w:pStyle w:val="22"/>
              <w:bidi w:val="0"/>
              <w:rPr>
                <w:rFonts w:hint="default"/>
              </w:rPr>
            </w:pPr>
            <w:r>
              <w:rPr>
                <w:rFonts w:hint="default"/>
                <w:lang w:val="en-US" w:eastAsia="zh-CN"/>
              </w:rPr>
              <w:t xml:space="preserve">48.840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46.398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2.320 </w:t>
            </w:r>
          </w:p>
        </w:tc>
        <w:tc>
          <w:tcPr>
            <w:tcW w:w="1080" w:type="dxa"/>
            <w:shd w:val="clear" w:color="auto" w:fill="auto"/>
            <w:noWrap/>
            <w:vAlign w:val="center"/>
          </w:tcPr>
          <w:p>
            <w:pPr>
              <w:pStyle w:val="22"/>
              <w:bidi w:val="0"/>
              <w:rPr>
                <w:rFonts w:hint="default"/>
              </w:rPr>
            </w:pPr>
            <w:r>
              <w:rPr>
                <w:rFonts w:hint="default"/>
                <w:lang w:val="en-US" w:eastAsia="zh-CN"/>
              </w:rPr>
              <w:t xml:space="preserve">380.311 </w:t>
            </w:r>
          </w:p>
        </w:tc>
        <w:tc>
          <w:tcPr>
            <w:tcW w:w="690" w:type="dxa"/>
            <w:shd w:val="clear" w:color="auto" w:fill="auto"/>
            <w:noWrap/>
            <w:vAlign w:val="center"/>
          </w:tcPr>
          <w:p>
            <w:pPr>
              <w:pStyle w:val="22"/>
              <w:bidi w:val="0"/>
              <w:rPr>
                <w:rFonts w:hint="default"/>
              </w:rPr>
            </w:pPr>
            <w:r>
              <w:rPr>
                <w:rFonts w:hint="default"/>
                <w:lang w:val="en-US" w:eastAsia="zh-CN"/>
              </w:rPr>
              <w:t>20</w:t>
            </w:r>
          </w:p>
        </w:tc>
        <w:tc>
          <w:tcPr>
            <w:tcW w:w="730" w:type="dxa"/>
            <w:shd w:val="clear" w:color="auto" w:fill="auto"/>
            <w:noWrap/>
            <w:vAlign w:val="center"/>
          </w:tcPr>
          <w:p>
            <w:pPr>
              <w:pStyle w:val="22"/>
              <w:bidi w:val="0"/>
              <w:rPr>
                <w:rFonts w:hint="default"/>
              </w:rPr>
            </w:pPr>
            <w:r>
              <w:rPr>
                <w:rFonts w:hint="default"/>
                <w:lang w:val="en-US" w:eastAsia="zh-CN"/>
              </w:rPr>
              <w:t>0.4</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0.139 </w:t>
            </w:r>
          </w:p>
        </w:tc>
        <w:tc>
          <w:tcPr>
            <w:tcW w:w="870" w:type="dxa"/>
            <w:shd w:val="clear" w:color="auto" w:fill="auto"/>
            <w:noWrap/>
            <w:vAlign w:val="center"/>
          </w:tcPr>
          <w:p>
            <w:pPr>
              <w:pStyle w:val="22"/>
              <w:bidi w:val="0"/>
              <w:rPr>
                <w:rFonts w:hint="default"/>
              </w:rPr>
            </w:pPr>
            <w:r>
              <w:rPr>
                <w:rFonts w:hint="default"/>
                <w:lang w:val="en-US" w:eastAsia="zh-CN"/>
              </w:rPr>
              <w:t xml:space="preserve">22.819 </w:t>
            </w:r>
          </w:p>
        </w:tc>
        <w:tc>
          <w:tcPr>
            <w:tcW w:w="910" w:type="dxa"/>
            <w:shd w:val="clear" w:color="auto" w:fill="auto"/>
            <w:noWrap/>
            <w:vAlign w:val="center"/>
          </w:tcPr>
          <w:p>
            <w:pPr>
              <w:pStyle w:val="22"/>
              <w:bidi w:val="0"/>
              <w:rPr>
                <w:rFonts w:hint="default"/>
              </w:rPr>
            </w:pPr>
            <w:r>
              <w:rPr>
                <w:rFonts w:hint="default"/>
                <w:lang w:val="en-US" w:eastAsia="zh-CN"/>
              </w:rPr>
              <w:t xml:space="preserve">2.784 </w:t>
            </w:r>
          </w:p>
        </w:tc>
        <w:tc>
          <w:tcPr>
            <w:tcW w:w="730" w:type="dxa"/>
            <w:shd w:val="clear" w:color="auto" w:fill="auto"/>
            <w:noWrap/>
            <w:vAlign w:val="center"/>
          </w:tcPr>
          <w:p>
            <w:pPr>
              <w:pStyle w:val="22"/>
              <w:bidi w:val="0"/>
              <w:rPr>
                <w:rFonts w:hint="default"/>
              </w:rPr>
            </w:pPr>
            <w:r>
              <w:rPr>
                <w:rFonts w:hint="default"/>
                <w:lang w:val="en-US" w:eastAsia="zh-CN"/>
              </w:rPr>
              <w:t>3.4</w:t>
            </w:r>
          </w:p>
        </w:tc>
        <w:tc>
          <w:tcPr>
            <w:tcW w:w="860" w:type="dxa"/>
            <w:shd w:val="clear" w:color="auto" w:fill="auto"/>
            <w:noWrap/>
            <w:vAlign w:val="center"/>
          </w:tcPr>
          <w:p>
            <w:pPr>
              <w:pStyle w:val="22"/>
              <w:bidi w:val="0"/>
              <w:rPr>
                <w:rFonts w:hint="default"/>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苯酚</w:t>
            </w:r>
          </w:p>
        </w:tc>
        <w:tc>
          <w:tcPr>
            <w:tcW w:w="940" w:type="dxa"/>
            <w:shd w:val="clear" w:color="auto" w:fill="auto"/>
            <w:vAlign w:val="center"/>
          </w:tcPr>
          <w:p>
            <w:pPr>
              <w:pStyle w:val="22"/>
              <w:bidi w:val="0"/>
              <w:rPr>
                <w:rFonts w:hint="default"/>
              </w:rPr>
            </w:pPr>
            <w:r>
              <w:rPr>
                <w:rFonts w:hint="default"/>
                <w:lang w:val="en-US" w:eastAsia="zh-CN"/>
              </w:rPr>
              <w:t xml:space="preserve">40.435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38.413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2.561 </w:t>
            </w:r>
          </w:p>
        </w:tc>
        <w:tc>
          <w:tcPr>
            <w:tcW w:w="1080" w:type="dxa"/>
            <w:shd w:val="clear" w:color="auto" w:fill="auto"/>
            <w:noWrap/>
            <w:vAlign w:val="center"/>
          </w:tcPr>
          <w:p>
            <w:pPr>
              <w:pStyle w:val="22"/>
              <w:bidi w:val="0"/>
              <w:rPr>
                <w:rFonts w:hint="default"/>
              </w:rPr>
            </w:pPr>
            <w:r>
              <w:rPr>
                <w:rFonts w:hint="default"/>
                <w:lang w:val="en-US" w:eastAsia="zh-CN"/>
              </w:rPr>
              <w:t xml:space="preserve">419.819 </w:t>
            </w:r>
          </w:p>
        </w:tc>
        <w:tc>
          <w:tcPr>
            <w:tcW w:w="690" w:type="dxa"/>
            <w:shd w:val="clear" w:color="auto" w:fill="auto"/>
            <w:noWrap/>
            <w:vAlign w:val="center"/>
          </w:tcPr>
          <w:p>
            <w:pPr>
              <w:pStyle w:val="22"/>
              <w:bidi w:val="0"/>
              <w:rPr>
                <w:rFonts w:hint="default"/>
              </w:rPr>
            </w:pPr>
            <w:r>
              <w:rPr>
                <w:rFonts w:hint="default"/>
                <w:lang w:val="en-US" w:eastAsia="zh-CN"/>
              </w:rPr>
              <w:t>15</w:t>
            </w:r>
          </w:p>
        </w:tc>
        <w:tc>
          <w:tcPr>
            <w:tcW w:w="730" w:type="dxa"/>
            <w:shd w:val="clear" w:color="auto" w:fill="auto"/>
            <w:noWrap/>
            <w:vAlign w:val="center"/>
          </w:tcPr>
          <w:p>
            <w:pPr>
              <w:pStyle w:val="22"/>
              <w:bidi w:val="0"/>
              <w:rPr>
                <w:rFonts w:hint="default"/>
              </w:rPr>
            </w:pPr>
            <w:r>
              <w:rPr>
                <w:rFonts w:hint="eastAsia"/>
                <w:lang w:val="en-US" w:eastAsia="zh-CN"/>
              </w:rPr>
              <w:t>/</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0.256 </w:t>
            </w:r>
          </w:p>
        </w:tc>
        <w:tc>
          <w:tcPr>
            <w:tcW w:w="870" w:type="dxa"/>
            <w:shd w:val="clear" w:color="auto" w:fill="auto"/>
            <w:noWrap/>
            <w:vAlign w:val="center"/>
          </w:tcPr>
          <w:p>
            <w:pPr>
              <w:pStyle w:val="22"/>
              <w:bidi w:val="0"/>
              <w:rPr>
                <w:rFonts w:hint="default"/>
              </w:rPr>
            </w:pPr>
            <w:r>
              <w:rPr>
                <w:rFonts w:hint="default"/>
                <w:lang w:val="en-US" w:eastAsia="zh-CN"/>
              </w:rPr>
              <w:t xml:space="preserve">41.982 </w:t>
            </w:r>
          </w:p>
        </w:tc>
        <w:tc>
          <w:tcPr>
            <w:tcW w:w="910" w:type="dxa"/>
            <w:shd w:val="clear" w:color="auto" w:fill="auto"/>
            <w:noWrap/>
            <w:vAlign w:val="center"/>
          </w:tcPr>
          <w:p>
            <w:pPr>
              <w:pStyle w:val="22"/>
              <w:bidi w:val="0"/>
              <w:rPr>
                <w:rFonts w:hint="default"/>
              </w:rPr>
            </w:pPr>
            <w:r>
              <w:rPr>
                <w:rFonts w:hint="default"/>
                <w:lang w:val="en-US" w:eastAsia="zh-CN"/>
              </w:rPr>
              <w:t xml:space="preserve">3.841 </w:t>
            </w:r>
          </w:p>
        </w:tc>
        <w:tc>
          <w:tcPr>
            <w:tcW w:w="730" w:type="dxa"/>
            <w:shd w:val="clear" w:color="auto" w:fill="auto"/>
            <w:noWrap/>
            <w:vAlign w:val="center"/>
          </w:tcPr>
          <w:p>
            <w:pPr>
              <w:pStyle w:val="22"/>
              <w:bidi w:val="0"/>
              <w:rPr>
                <w:rFonts w:hint="default"/>
              </w:rPr>
            </w:pPr>
            <w:r>
              <w:rPr>
                <w:rFonts w:hint="default"/>
                <w:lang w:val="en-US" w:eastAsia="zh-CN"/>
              </w:rPr>
              <w:t>3.4</w:t>
            </w:r>
          </w:p>
        </w:tc>
        <w:tc>
          <w:tcPr>
            <w:tcW w:w="860" w:type="dxa"/>
            <w:shd w:val="clear" w:color="auto" w:fill="auto"/>
            <w:noWrap/>
            <w:vAlign w:val="center"/>
          </w:tcPr>
          <w:p>
            <w:pPr>
              <w:pStyle w:val="22"/>
              <w:bidi w:val="0"/>
              <w:rPr>
                <w:rFonts w:hint="default"/>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三乙胺</w:t>
            </w:r>
          </w:p>
        </w:tc>
        <w:tc>
          <w:tcPr>
            <w:tcW w:w="940" w:type="dxa"/>
            <w:shd w:val="clear" w:color="auto" w:fill="auto"/>
            <w:vAlign w:val="center"/>
          </w:tcPr>
          <w:p>
            <w:pPr>
              <w:pStyle w:val="22"/>
              <w:bidi w:val="0"/>
              <w:rPr>
                <w:rFonts w:hint="default"/>
              </w:rPr>
            </w:pPr>
            <w:r>
              <w:rPr>
                <w:rFonts w:hint="default"/>
                <w:lang w:val="en-US" w:eastAsia="zh-CN"/>
              </w:rPr>
              <w:t xml:space="preserve">26.726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25.390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2.539 </w:t>
            </w:r>
          </w:p>
        </w:tc>
        <w:tc>
          <w:tcPr>
            <w:tcW w:w="1080" w:type="dxa"/>
            <w:shd w:val="clear" w:color="auto" w:fill="auto"/>
            <w:noWrap/>
            <w:vAlign w:val="center"/>
          </w:tcPr>
          <w:p>
            <w:pPr>
              <w:pStyle w:val="22"/>
              <w:bidi w:val="0"/>
              <w:rPr>
                <w:rFonts w:hint="default"/>
              </w:rPr>
            </w:pPr>
            <w:r>
              <w:rPr>
                <w:rFonts w:hint="default"/>
                <w:lang w:val="en-US" w:eastAsia="zh-CN"/>
              </w:rPr>
              <w:t xml:space="preserve">416.231 </w:t>
            </w:r>
          </w:p>
        </w:tc>
        <w:tc>
          <w:tcPr>
            <w:tcW w:w="690" w:type="dxa"/>
            <w:shd w:val="clear" w:color="auto" w:fill="auto"/>
            <w:noWrap/>
            <w:vAlign w:val="center"/>
          </w:tcPr>
          <w:p>
            <w:pPr>
              <w:pStyle w:val="22"/>
              <w:bidi w:val="0"/>
              <w:rPr>
                <w:rFonts w:hint="default"/>
              </w:rPr>
            </w:pPr>
            <w:r>
              <w:rPr>
                <w:rFonts w:hint="default"/>
                <w:lang w:val="en-US" w:eastAsia="zh-CN"/>
              </w:rPr>
              <w:t>10</w:t>
            </w:r>
          </w:p>
        </w:tc>
        <w:tc>
          <w:tcPr>
            <w:tcW w:w="730" w:type="dxa"/>
            <w:shd w:val="clear" w:color="auto" w:fill="auto"/>
            <w:noWrap/>
            <w:vAlign w:val="center"/>
          </w:tcPr>
          <w:p>
            <w:pPr>
              <w:pStyle w:val="22"/>
              <w:bidi w:val="0"/>
              <w:rPr>
                <w:rFonts w:hint="default"/>
              </w:rPr>
            </w:pPr>
            <w:r>
              <w:rPr>
                <w:rFonts w:hint="eastAsia"/>
                <w:lang w:val="en-US" w:eastAsia="zh-CN"/>
              </w:rPr>
              <w:t>/</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0.254 </w:t>
            </w:r>
          </w:p>
        </w:tc>
        <w:tc>
          <w:tcPr>
            <w:tcW w:w="870" w:type="dxa"/>
            <w:shd w:val="clear" w:color="auto" w:fill="auto"/>
            <w:noWrap/>
            <w:vAlign w:val="center"/>
          </w:tcPr>
          <w:p>
            <w:pPr>
              <w:pStyle w:val="22"/>
              <w:bidi w:val="0"/>
              <w:rPr>
                <w:rFonts w:hint="default"/>
              </w:rPr>
            </w:pPr>
            <w:r>
              <w:rPr>
                <w:rFonts w:hint="default"/>
                <w:lang w:val="en-US" w:eastAsia="zh-CN"/>
              </w:rPr>
              <w:t xml:space="preserve">41.623 </w:t>
            </w:r>
          </w:p>
        </w:tc>
        <w:tc>
          <w:tcPr>
            <w:tcW w:w="910" w:type="dxa"/>
            <w:shd w:val="clear" w:color="auto" w:fill="auto"/>
            <w:noWrap/>
            <w:vAlign w:val="center"/>
          </w:tcPr>
          <w:p>
            <w:pPr>
              <w:pStyle w:val="22"/>
              <w:bidi w:val="0"/>
              <w:rPr>
                <w:rFonts w:hint="default"/>
              </w:rPr>
            </w:pPr>
            <w:r>
              <w:rPr>
                <w:rFonts w:hint="default"/>
                <w:lang w:val="en-US" w:eastAsia="zh-CN"/>
              </w:rPr>
              <w:t xml:space="preserve">2.539 </w:t>
            </w:r>
          </w:p>
        </w:tc>
        <w:tc>
          <w:tcPr>
            <w:tcW w:w="730" w:type="dxa"/>
            <w:shd w:val="clear" w:color="auto" w:fill="auto"/>
            <w:noWrap/>
            <w:vAlign w:val="center"/>
          </w:tcPr>
          <w:p>
            <w:pPr>
              <w:pStyle w:val="22"/>
              <w:bidi w:val="0"/>
              <w:rPr>
                <w:rFonts w:hint="default"/>
              </w:rPr>
            </w:pPr>
            <w:r>
              <w:rPr>
                <w:rFonts w:hint="default"/>
                <w:lang w:val="en-US" w:eastAsia="zh-CN"/>
              </w:rPr>
              <w:t>3.4</w:t>
            </w:r>
          </w:p>
        </w:tc>
        <w:tc>
          <w:tcPr>
            <w:tcW w:w="860" w:type="dxa"/>
            <w:shd w:val="clear" w:color="auto" w:fill="auto"/>
            <w:noWrap/>
            <w:vAlign w:val="center"/>
          </w:tcPr>
          <w:p>
            <w:pPr>
              <w:pStyle w:val="22"/>
              <w:bidi w:val="0"/>
              <w:rPr>
                <w:rFonts w:hint="default"/>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液硫/二硫化碳</w:t>
            </w:r>
          </w:p>
        </w:tc>
        <w:tc>
          <w:tcPr>
            <w:tcW w:w="940" w:type="dxa"/>
            <w:shd w:val="clear" w:color="auto" w:fill="auto"/>
            <w:vAlign w:val="center"/>
          </w:tcPr>
          <w:p>
            <w:pPr>
              <w:pStyle w:val="22"/>
              <w:bidi w:val="0"/>
              <w:rPr>
                <w:rFonts w:hint="default"/>
              </w:rPr>
            </w:pPr>
            <w:r>
              <w:rPr>
                <w:rFonts w:hint="default"/>
                <w:lang w:val="en-US" w:eastAsia="zh-CN"/>
              </w:rPr>
              <w:t xml:space="preserve">9.807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9.317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1.863 </w:t>
            </w:r>
          </w:p>
        </w:tc>
        <w:tc>
          <w:tcPr>
            <w:tcW w:w="1080" w:type="dxa"/>
            <w:shd w:val="clear" w:color="auto" w:fill="auto"/>
            <w:noWrap/>
            <w:vAlign w:val="center"/>
          </w:tcPr>
          <w:p>
            <w:pPr>
              <w:pStyle w:val="22"/>
              <w:bidi w:val="0"/>
              <w:rPr>
                <w:rFonts w:hint="default"/>
              </w:rPr>
            </w:pPr>
            <w:r>
              <w:rPr>
                <w:rFonts w:hint="default"/>
                <w:lang w:val="en-US" w:eastAsia="zh-CN"/>
              </w:rPr>
              <w:t xml:space="preserve">305.462 </w:t>
            </w:r>
          </w:p>
        </w:tc>
        <w:tc>
          <w:tcPr>
            <w:tcW w:w="690" w:type="dxa"/>
            <w:shd w:val="clear" w:color="auto" w:fill="auto"/>
            <w:noWrap/>
            <w:vAlign w:val="center"/>
          </w:tcPr>
          <w:p>
            <w:pPr>
              <w:pStyle w:val="22"/>
              <w:bidi w:val="0"/>
              <w:rPr>
                <w:rFonts w:hint="default"/>
              </w:rPr>
            </w:pPr>
            <w:r>
              <w:rPr>
                <w:rFonts w:hint="default"/>
                <w:lang w:val="en-US" w:eastAsia="zh-CN"/>
              </w:rPr>
              <w:t>5</w:t>
            </w:r>
          </w:p>
        </w:tc>
        <w:tc>
          <w:tcPr>
            <w:tcW w:w="730" w:type="dxa"/>
            <w:shd w:val="clear" w:color="auto" w:fill="auto"/>
            <w:noWrap/>
            <w:vAlign w:val="center"/>
          </w:tcPr>
          <w:p>
            <w:pPr>
              <w:pStyle w:val="22"/>
              <w:bidi w:val="0"/>
              <w:rPr>
                <w:rFonts w:hint="default"/>
              </w:rPr>
            </w:pPr>
            <w:r>
              <w:rPr>
                <w:rFonts w:hint="eastAsia"/>
                <w:lang w:val="en-US" w:eastAsia="zh-CN"/>
              </w:rPr>
              <w:t>/</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0.186 </w:t>
            </w:r>
          </w:p>
        </w:tc>
        <w:tc>
          <w:tcPr>
            <w:tcW w:w="870" w:type="dxa"/>
            <w:shd w:val="clear" w:color="auto" w:fill="auto"/>
            <w:noWrap/>
            <w:vAlign w:val="center"/>
          </w:tcPr>
          <w:p>
            <w:pPr>
              <w:pStyle w:val="22"/>
              <w:bidi w:val="0"/>
              <w:rPr>
                <w:rFonts w:hint="default"/>
              </w:rPr>
            </w:pPr>
            <w:r>
              <w:rPr>
                <w:rFonts w:hint="default"/>
                <w:lang w:val="en-US" w:eastAsia="zh-CN"/>
              </w:rPr>
              <w:t xml:space="preserve">30.546 </w:t>
            </w:r>
          </w:p>
        </w:tc>
        <w:tc>
          <w:tcPr>
            <w:tcW w:w="910" w:type="dxa"/>
            <w:shd w:val="clear" w:color="auto" w:fill="auto"/>
            <w:noWrap/>
            <w:vAlign w:val="center"/>
          </w:tcPr>
          <w:p>
            <w:pPr>
              <w:pStyle w:val="22"/>
              <w:bidi w:val="0"/>
              <w:rPr>
                <w:rFonts w:hint="default"/>
              </w:rPr>
            </w:pPr>
            <w:r>
              <w:rPr>
                <w:rFonts w:hint="default"/>
                <w:lang w:val="en-US" w:eastAsia="zh-CN"/>
              </w:rPr>
              <w:t xml:space="preserve">0.932 </w:t>
            </w:r>
          </w:p>
        </w:tc>
        <w:tc>
          <w:tcPr>
            <w:tcW w:w="730" w:type="dxa"/>
            <w:shd w:val="clear" w:color="auto" w:fill="auto"/>
            <w:noWrap/>
            <w:vAlign w:val="center"/>
          </w:tcPr>
          <w:p>
            <w:pPr>
              <w:pStyle w:val="22"/>
              <w:bidi w:val="0"/>
              <w:rPr>
                <w:rFonts w:hint="default"/>
              </w:rPr>
            </w:pPr>
            <w:r>
              <w:rPr>
                <w:rFonts w:hint="default"/>
                <w:lang w:val="en-US" w:eastAsia="zh-CN"/>
              </w:rPr>
              <w:t>1.5</w:t>
            </w:r>
          </w:p>
        </w:tc>
        <w:tc>
          <w:tcPr>
            <w:tcW w:w="860" w:type="dxa"/>
            <w:shd w:val="clear" w:color="auto" w:fill="auto"/>
            <w:noWrap/>
            <w:vAlign w:val="center"/>
          </w:tcPr>
          <w:p>
            <w:pPr>
              <w:pStyle w:val="22"/>
              <w:bidi w:val="0"/>
              <w:rPr>
                <w:rFonts w:hint="default"/>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液硫、二硫化碳</w:t>
            </w:r>
          </w:p>
        </w:tc>
        <w:tc>
          <w:tcPr>
            <w:tcW w:w="940" w:type="dxa"/>
            <w:shd w:val="clear" w:color="auto" w:fill="auto"/>
            <w:vAlign w:val="center"/>
          </w:tcPr>
          <w:p>
            <w:pPr>
              <w:pStyle w:val="22"/>
              <w:bidi w:val="0"/>
              <w:rPr>
                <w:rFonts w:hint="default"/>
              </w:rPr>
            </w:pPr>
            <w:r>
              <w:rPr>
                <w:rFonts w:hint="default"/>
                <w:lang w:val="en-US" w:eastAsia="zh-CN"/>
              </w:rPr>
              <w:t xml:space="preserve">9.807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9.317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1.863 </w:t>
            </w:r>
          </w:p>
        </w:tc>
        <w:tc>
          <w:tcPr>
            <w:tcW w:w="1080" w:type="dxa"/>
            <w:shd w:val="clear" w:color="auto" w:fill="auto"/>
            <w:noWrap/>
            <w:vAlign w:val="center"/>
          </w:tcPr>
          <w:p>
            <w:pPr>
              <w:pStyle w:val="22"/>
              <w:bidi w:val="0"/>
              <w:rPr>
                <w:rFonts w:hint="default"/>
              </w:rPr>
            </w:pPr>
            <w:r>
              <w:rPr>
                <w:rFonts w:hint="default"/>
                <w:lang w:val="en-US" w:eastAsia="zh-CN"/>
              </w:rPr>
              <w:t xml:space="preserve">305.462 </w:t>
            </w:r>
          </w:p>
        </w:tc>
        <w:tc>
          <w:tcPr>
            <w:tcW w:w="690" w:type="dxa"/>
            <w:shd w:val="clear" w:color="auto" w:fill="auto"/>
            <w:noWrap/>
            <w:vAlign w:val="center"/>
          </w:tcPr>
          <w:p>
            <w:pPr>
              <w:pStyle w:val="22"/>
              <w:bidi w:val="0"/>
              <w:rPr>
                <w:rFonts w:hint="default"/>
              </w:rPr>
            </w:pPr>
            <w:r>
              <w:rPr>
                <w:rFonts w:hint="default"/>
                <w:lang w:val="en-US" w:eastAsia="zh-CN"/>
              </w:rPr>
              <w:t>5</w:t>
            </w:r>
          </w:p>
        </w:tc>
        <w:tc>
          <w:tcPr>
            <w:tcW w:w="730" w:type="dxa"/>
            <w:shd w:val="clear" w:color="auto" w:fill="auto"/>
            <w:noWrap/>
            <w:vAlign w:val="center"/>
          </w:tcPr>
          <w:p>
            <w:pPr>
              <w:pStyle w:val="22"/>
              <w:bidi w:val="0"/>
              <w:rPr>
                <w:rFonts w:hint="default"/>
              </w:rPr>
            </w:pPr>
            <w:r>
              <w:rPr>
                <w:rFonts w:hint="eastAsia"/>
                <w:lang w:val="en-US" w:eastAsia="zh-CN"/>
              </w:rPr>
              <w:t>/</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0.186 </w:t>
            </w:r>
          </w:p>
        </w:tc>
        <w:tc>
          <w:tcPr>
            <w:tcW w:w="870" w:type="dxa"/>
            <w:shd w:val="clear" w:color="auto" w:fill="auto"/>
            <w:noWrap/>
            <w:vAlign w:val="center"/>
          </w:tcPr>
          <w:p>
            <w:pPr>
              <w:pStyle w:val="22"/>
              <w:bidi w:val="0"/>
              <w:rPr>
                <w:rFonts w:hint="default"/>
              </w:rPr>
            </w:pPr>
            <w:r>
              <w:rPr>
                <w:rFonts w:hint="default"/>
                <w:lang w:val="en-US" w:eastAsia="zh-CN"/>
              </w:rPr>
              <w:t xml:space="preserve">30.546 </w:t>
            </w:r>
          </w:p>
        </w:tc>
        <w:tc>
          <w:tcPr>
            <w:tcW w:w="910" w:type="dxa"/>
            <w:shd w:val="clear" w:color="auto" w:fill="auto"/>
            <w:noWrap/>
            <w:vAlign w:val="center"/>
          </w:tcPr>
          <w:p>
            <w:pPr>
              <w:pStyle w:val="22"/>
              <w:bidi w:val="0"/>
              <w:rPr>
                <w:rFonts w:hint="default"/>
              </w:rPr>
            </w:pPr>
            <w:r>
              <w:rPr>
                <w:rFonts w:hint="default"/>
                <w:lang w:val="en-US" w:eastAsia="zh-CN"/>
              </w:rPr>
              <w:t xml:space="preserve">0.932 </w:t>
            </w:r>
          </w:p>
        </w:tc>
        <w:tc>
          <w:tcPr>
            <w:tcW w:w="730" w:type="dxa"/>
            <w:shd w:val="clear" w:color="auto" w:fill="auto"/>
            <w:noWrap/>
            <w:vAlign w:val="center"/>
          </w:tcPr>
          <w:p>
            <w:pPr>
              <w:pStyle w:val="22"/>
              <w:bidi w:val="0"/>
              <w:rPr>
                <w:rFonts w:hint="default"/>
              </w:rPr>
            </w:pPr>
            <w:r>
              <w:rPr>
                <w:rFonts w:hint="default"/>
                <w:lang w:val="en-US" w:eastAsia="zh-CN"/>
              </w:rPr>
              <w:t>1.5</w:t>
            </w:r>
          </w:p>
        </w:tc>
        <w:tc>
          <w:tcPr>
            <w:tcW w:w="860" w:type="dxa"/>
            <w:shd w:val="clear" w:color="auto" w:fill="auto"/>
            <w:noWrap/>
            <w:vAlign w:val="center"/>
          </w:tcPr>
          <w:p>
            <w:pPr>
              <w:pStyle w:val="22"/>
              <w:bidi w:val="0"/>
              <w:rPr>
                <w:rFonts w:hint="default"/>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油</w:t>
            </w:r>
          </w:p>
        </w:tc>
        <w:tc>
          <w:tcPr>
            <w:tcW w:w="940" w:type="dxa"/>
            <w:shd w:val="clear" w:color="auto" w:fill="auto"/>
            <w:vAlign w:val="center"/>
          </w:tcPr>
          <w:p>
            <w:pPr>
              <w:pStyle w:val="22"/>
              <w:bidi w:val="0"/>
              <w:rPr>
                <w:rFonts w:hint="default"/>
              </w:rPr>
            </w:pPr>
            <w:r>
              <w:rPr>
                <w:rFonts w:hint="default"/>
                <w:lang w:val="en-US" w:eastAsia="zh-CN"/>
              </w:rPr>
              <w:t xml:space="preserve">40.000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38.000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1.900 </w:t>
            </w:r>
          </w:p>
        </w:tc>
        <w:tc>
          <w:tcPr>
            <w:tcW w:w="1080" w:type="dxa"/>
            <w:shd w:val="clear" w:color="auto" w:fill="auto"/>
            <w:noWrap/>
            <w:vAlign w:val="center"/>
          </w:tcPr>
          <w:p>
            <w:pPr>
              <w:pStyle w:val="22"/>
              <w:bidi w:val="0"/>
              <w:rPr>
                <w:rFonts w:hint="default"/>
              </w:rPr>
            </w:pPr>
            <w:r>
              <w:rPr>
                <w:rFonts w:hint="default"/>
                <w:lang w:val="en-US" w:eastAsia="zh-CN"/>
              </w:rPr>
              <w:t xml:space="preserve">311.475 </w:t>
            </w:r>
          </w:p>
        </w:tc>
        <w:tc>
          <w:tcPr>
            <w:tcW w:w="690" w:type="dxa"/>
            <w:shd w:val="clear" w:color="auto" w:fill="auto"/>
            <w:noWrap/>
            <w:vAlign w:val="center"/>
          </w:tcPr>
          <w:p>
            <w:pPr>
              <w:pStyle w:val="22"/>
              <w:bidi w:val="0"/>
              <w:rPr>
                <w:rFonts w:hint="default"/>
              </w:rPr>
            </w:pPr>
            <w:r>
              <w:rPr>
                <w:rFonts w:hint="default"/>
                <w:lang w:val="en-US" w:eastAsia="zh-CN"/>
              </w:rPr>
              <w:t>20</w:t>
            </w:r>
          </w:p>
        </w:tc>
        <w:tc>
          <w:tcPr>
            <w:tcW w:w="730" w:type="dxa"/>
            <w:shd w:val="clear" w:color="auto" w:fill="auto"/>
            <w:noWrap/>
            <w:vAlign w:val="center"/>
          </w:tcPr>
          <w:p>
            <w:pPr>
              <w:pStyle w:val="22"/>
              <w:bidi w:val="0"/>
              <w:rPr>
                <w:rFonts w:hint="default"/>
              </w:rPr>
            </w:pPr>
            <w:r>
              <w:rPr>
                <w:rFonts w:hint="eastAsia"/>
                <w:lang w:val="en-US" w:eastAsia="zh-CN"/>
              </w:rPr>
              <w:t>/</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0.190 </w:t>
            </w:r>
          </w:p>
        </w:tc>
        <w:tc>
          <w:tcPr>
            <w:tcW w:w="870" w:type="dxa"/>
            <w:shd w:val="clear" w:color="auto" w:fill="auto"/>
            <w:noWrap/>
            <w:vAlign w:val="center"/>
          </w:tcPr>
          <w:p>
            <w:pPr>
              <w:pStyle w:val="22"/>
              <w:bidi w:val="0"/>
              <w:rPr>
                <w:rFonts w:hint="default"/>
              </w:rPr>
            </w:pPr>
            <w:r>
              <w:rPr>
                <w:rFonts w:hint="default"/>
                <w:lang w:val="en-US" w:eastAsia="zh-CN"/>
              </w:rPr>
              <w:t xml:space="preserve">31.148 </w:t>
            </w:r>
          </w:p>
        </w:tc>
        <w:tc>
          <w:tcPr>
            <w:tcW w:w="910" w:type="dxa"/>
            <w:shd w:val="clear" w:color="auto" w:fill="auto"/>
            <w:noWrap/>
            <w:vAlign w:val="center"/>
          </w:tcPr>
          <w:p>
            <w:pPr>
              <w:pStyle w:val="22"/>
              <w:bidi w:val="0"/>
              <w:rPr>
                <w:rFonts w:hint="default"/>
              </w:rPr>
            </w:pPr>
            <w:r>
              <w:rPr>
                <w:rFonts w:hint="default"/>
                <w:lang w:val="en-US" w:eastAsia="zh-CN"/>
              </w:rPr>
              <w:t xml:space="preserve">3.800 </w:t>
            </w:r>
          </w:p>
        </w:tc>
        <w:tc>
          <w:tcPr>
            <w:tcW w:w="730" w:type="dxa"/>
            <w:shd w:val="clear" w:color="auto" w:fill="auto"/>
            <w:noWrap/>
            <w:vAlign w:val="center"/>
          </w:tcPr>
          <w:p>
            <w:pPr>
              <w:pStyle w:val="22"/>
              <w:bidi w:val="0"/>
              <w:rPr>
                <w:rFonts w:hint="default"/>
              </w:rPr>
            </w:pPr>
            <w:r>
              <w:rPr>
                <w:rFonts w:hint="default"/>
                <w:lang w:val="en-US" w:eastAsia="zh-CN"/>
              </w:rPr>
              <w:t>3.4</w:t>
            </w:r>
          </w:p>
        </w:tc>
        <w:tc>
          <w:tcPr>
            <w:tcW w:w="860" w:type="dxa"/>
            <w:shd w:val="clear" w:color="auto" w:fill="auto"/>
            <w:noWrap/>
            <w:vAlign w:val="center"/>
          </w:tcPr>
          <w:p>
            <w:pPr>
              <w:pStyle w:val="22"/>
              <w:bidi w:val="0"/>
              <w:rPr>
                <w:rFonts w:hint="default"/>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硝酸</w:t>
            </w:r>
          </w:p>
        </w:tc>
        <w:tc>
          <w:tcPr>
            <w:tcW w:w="940" w:type="dxa"/>
            <w:shd w:val="clear" w:color="auto" w:fill="auto"/>
            <w:vAlign w:val="center"/>
          </w:tcPr>
          <w:p>
            <w:pPr>
              <w:pStyle w:val="22"/>
              <w:bidi w:val="0"/>
              <w:rPr>
                <w:rFonts w:hint="default"/>
              </w:rPr>
            </w:pPr>
            <w:r>
              <w:rPr>
                <w:rFonts w:hint="default"/>
                <w:lang w:val="en-US" w:eastAsia="zh-CN"/>
              </w:rPr>
              <w:t xml:space="preserve">146.768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139.430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9.295 </w:t>
            </w:r>
          </w:p>
        </w:tc>
        <w:tc>
          <w:tcPr>
            <w:tcW w:w="1080" w:type="dxa"/>
            <w:shd w:val="clear" w:color="auto" w:fill="auto"/>
            <w:noWrap/>
            <w:vAlign w:val="center"/>
          </w:tcPr>
          <w:p>
            <w:pPr>
              <w:pStyle w:val="22"/>
              <w:bidi w:val="0"/>
              <w:rPr>
                <w:rFonts w:hint="default"/>
              </w:rPr>
            </w:pPr>
            <w:r>
              <w:rPr>
                <w:rFonts w:hint="default"/>
                <w:lang w:val="en-US" w:eastAsia="zh-CN"/>
              </w:rPr>
              <w:t xml:space="preserve">1523.820 </w:t>
            </w:r>
          </w:p>
        </w:tc>
        <w:tc>
          <w:tcPr>
            <w:tcW w:w="690" w:type="dxa"/>
            <w:shd w:val="clear" w:color="auto" w:fill="auto"/>
            <w:noWrap/>
            <w:vAlign w:val="center"/>
          </w:tcPr>
          <w:p>
            <w:pPr>
              <w:pStyle w:val="22"/>
              <w:bidi w:val="0"/>
              <w:rPr>
                <w:rFonts w:hint="default"/>
              </w:rPr>
            </w:pPr>
            <w:r>
              <w:rPr>
                <w:rFonts w:hint="default"/>
                <w:lang w:val="en-US" w:eastAsia="zh-CN"/>
              </w:rPr>
              <w:t>15</w:t>
            </w:r>
          </w:p>
        </w:tc>
        <w:tc>
          <w:tcPr>
            <w:tcW w:w="730" w:type="dxa"/>
            <w:shd w:val="clear" w:color="auto" w:fill="auto"/>
            <w:noWrap/>
            <w:vAlign w:val="center"/>
          </w:tcPr>
          <w:p>
            <w:pPr>
              <w:pStyle w:val="22"/>
              <w:bidi w:val="0"/>
              <w:rPr>
                <w:rFonts w:hint="default"/>
              </w:rPr>
            </w:pPr>
            <w:r>
              <w:rPr>
                <w:rFonts w:hint="default"/>
                <w:lang w:val="en-US" w:eastAsia="zh-CN"/>
              </w:rPr>
              <w:t>0.95</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0.046 </w:t>
            </w:r>
          </w:p>
        </w:tc>
        <w:tc>
          <w:tcPr>
            <w:tcW w:w="870" w:type="dxa"/>
            <w:shd w:val="clear" w:color="auto" w:fill="auto"/>
            <w:noWrap/>
            <w:vAlign w:val="center"/>
          </w:tcPr>
          <w:p>
            <w:pPr>
              <w:pStyle w:val="22"/>
              <w:bidi w:val="0"/>
              <w:rPr>
                <w:rFonts w:hint="default"/>
              </w:rPr>
            </w:pPr>
            <w:r>
              <w:rPr>
                <w:rFonts w:hint="default"/>
                <w:lang w:val="en-US" w:eastAsia="zh-CN"/>
              </w:rPr>
              <w:t xml:space="preserve">7.619 </w:t>
            </w:r>
          </w:p>
        </w:tc>
        <w:tc>
          <w:tcPr>
            <w:tcW w:w="910" w:type="dxa"/>
            <w:shd w:val="clear" w:color="auto" w:fill="auto"/>
            <w:noWrap/>
            <w:vAlign w:val="center"/>
          </w:tcPr>
          <w:p>
            <w:pPr>
              <w:pStyle w:val="22"/>
              <w:bidi w:val="0"/>
              <w:rPr>
                <w:rFonts w:hint="default"/>
              </w:rPr>
            </w:pPr>
            <w:r>
              <w:rPr>
                <w:rFonts w:hint="default"/>
                <w:lang w:val="en-US" w:eastAsia="zh-CN"/>
              </w:rPr>
              <w:t xml:space="preserve">0.697 </w:t>
            </w:r>
          </w:p>
        </w:tc>
        <w:tc>
          <w:tcPr>
            <w:tcW w:w="730" w:type="dxa"/>
            <w:shd w:val="clear" w:color="auto" w:fill="auto"/>
            <w:noWrap/>
            <w:vAlign w:val="center"/>
          </w:tcPr>
          <w:p>
            <w:pPr>
              <w:pStyle w:val="22"/>
              <w:bidi w:val="0"/>
              <w:rPr>
                <w:rFonts w:hint="default"/>
              </w:rPr>
            </w:pPr>
            <w:r>
              <w:rPr>
                <w:rFonts w:hint="default"/>
                <w:lang w:val="en-US" w:eastAsia="zh-CN"/>
              </w:rPr>
              <w:t>0.77</w:t>
            </w:r>
          </w:p>
        </w:tc>
        <w:tc>
          <w:tcPr>
            <w:tcW w:w="860" w:type="dxa"/>
            <w:shd w:val="clear" w:color="auto" w:fill="auto"/>
            <w:noWrap/>
            <w:vAlign w:val="center"/>
          </w:tcPr>
          <w:p>
            <w:pPr>
              <w:pStyle w:val="22"/>
              <w:bidi w:val="0"/>
              <w:rPr>
                <w:rFonts w:hint="default"/>
              </w:rPr>
            </w:pPr>
            <w:r>
              <w:rPr>
                <w:rFonts w:hint="default"/>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烧碱</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氨水</w:t>
            </w:r>
          </w:p>
        </w:tc>
        <w:tc>
          <w:tcPr>
            <w:tcW w:w="940" w:type="dxa"/>
            <w:shd w:val="clear" w:color="auto" w:fill="auto"/>
            <w:vAlign w:val="center"/>
          </w:tcPr>
          <w:p>
            <w:pPr>
              <w:pStyle w:val="22"/>
              <w:bidi w:val="0"/>
              <w:rPr>
                <w:rFonts w:hint="default"/>
              </w:rPr>
            </w:pPr>
            <w:r>
              <w:rPr>
                <w:rFonts w:hint="default"/>
                <w:lang w:val="en-US" w:eastAsia="zh-CN"/>
              </w:rPr>
              <w:t xml:space="preserve">35.400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33.630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3.363 </w:t>
            </w:r>
          </w:p>
        </w:tc>
        <w:tc>
          <w:tcPr>
            <w:tcW w:w="1080" w:type="dxa"/>
            <w:shd w:val="clear" w:color="auto" w:fill="auto"/>
            <w:noWrap/>
            <w:vAlign w:val="center"/>
          </w:tcPr>
          <w:p>
            <w:pPr>
              <w:pStyle w:val="22"/>
              <w:bidi w:val="0"/>
              <w:rPr>
                <w:rFonts w:hint="default"/>
              </w:rPr>
            </w:pPr>
            <w:r>
              <w:rPr>
                <w:rFonts w:hint="default"/>
                <w:lang w:val="en-US" w:eastAsia="zh-CN"/>
              </w:rPr>
              <w:t xml:space="preserve">551.311 </w:t>
            </w:r>
          </w:p>
        </w:tc>
        <w:tc>
          <w:tcPr>
            <w:tcW w:w="690" w:type="dxa"/>
            <w:shd w:val="clear" w:color="auto" w:fill="auto"/>
            <w:noWrap/>
            <w:vAlign w:val="center"/>
          </w:tcPr>
          <w:p>
            <w:pPr>
              <w:pStyle w:val="22"/>
              <w:bidi w:val="0"/>
              <w:rPr>
                <w:rFonts w:hint="default"/>
              </w:rPr>
            </w:pPr>
            <w:r>
              <w:rPr>
                <w:rFonts w:hint="default"/>
                <w:lang w:val="en-US" w:eastAsia="zh-CN"/>
              </w:rPr>
              <w:t>10</w:t>
            </w:r>
          </w:p>
        </w:tc>
        <w:tc>
          <w:tcPr>
            <w:tcW w:w="730" w:type="dxa"/>
            <w:shd w:val="clear" w:color="auto" w:fill="auto"/>
            <w:noWrap/>
            <w:vAlign w:val="center"/>
          </w:tcPr>
          <w:p>
            <w:pPr>
              <w:pStyle w:val="22"/>
              <w:bidi w:val="0"/>
              <w:rPr>
                <w:rFonts w:hint="default"/>
              </w:rPr>
            </w:pPr>
            <w:r>
              <w:rPr>
                <w:rFonts w:hint="default"/>
                <w:lang w:val="en-US" w:eastAsia="zh-CN"/>
              </w:rPr>
              <w:t>0.4</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0.202 </w:t>
            </w:r>
          </w:p>
        </w:tc>
        <w:tc>
          <w:tcPr>
            <w:tcW w:w="870" w:type="dxa"/>
            <w:shd w:val="clear" w:color="auto" w:fill="auto"/>
            <w:noWrap/>
            <w:vAlign w:val="center"/>
          </w:tcPr>
          <w:p>
            <w:pPr>
              <w:pStyle w:val="22"/>
              <w:bidi w:val="0"/>
              <w:rPr>
                <w:rFonts w:hint="default"/>
              </w:rPr>
            </w:pPr>
            <w:r>
              <w:rPr>
                <w:rFonts w:hint="default"/>
                <w:lang w:val="en-US" w:eastAsia="zh-CN"/>
              </w:rPr>
              <w:t xml:space="preserve">33.079 </w:t>
            </w:r>
          </w:p>
        </w:tc>
        <w:tc>
          <w:tcPr>
            <w:tcW w:w="910" w:type="dxa"/>
            <w:shd w:val="clear" w:color="auto" w:fill="auto"/>
            <w:noWrap/>
            <w:vAlign w:val="center"/>
          </w:tcPr>
          <w:p>
            <w:pPr>
              <w:pStyle w:val="22"/>
              <w:bidi w:val="0"/>
              <w:rPr>
                <w:rFonts w:hint="default"/>
              </w:rPr>
            </w:pPr>
            <w:r>
              <w:rPr>
                <w:rFonts w:hint="default"/>
                <w:lang w:val="en-US" w:eastAsia="zh-CN"/>
              </w:rPr>
              <w:t xml:space="preserve">2.018 </w:t>
            </w:r>
          </w:p>
        </w:tc>
        <w:tc>
          <w:tcPr>
            <w:tcW w:w="730" w:type="dxa"/>
            <w:shd w:val="clear" w:color="auto" w:fill="auto"/>
            <w:noWrap/>
            <w:vAlign w:val="center"/>
          </w:tcPr>
          <w:p>
            <w:pPr>
              <w:pStyle w:val="22"/>
              <w:bidi w:val="0"/>
              <w:rPr>
                <w:rFonts w:hint="default"/>
              </w:rPr>
            </w:pPr>
            <w:r>
              <w:rPr>
                <w:rFonts w:hint="default"/>
                <w:lang w:val="en-US" w:eastAsia="zh-CN"/>
              </w:rPr>
              <w:t>4.9</w:t>
            </w:r>
          </w:p>
        </w:tc>
        <w:tc>
          <w:tcPr>
            <w:tcW w:w="860" w:type="dxa"/>
            <w:shd w:val="clear" w:color="auto" w:fill="auto"/>
            <w:noWrap/>
            <w:vAlign w:val="center"/>
          </w:tcPr>
          <w:p>
            <w:pPr>
              <w:pStyle w:val="22"/>
              <w:bidi w:val="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液氮</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液氩</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电子级碳酸二甲酯</w:t>
            </w:r>
          </w:p>
        </w:tc>
        <w:tc>
          <w:tcPr>
            <w:tcW w:w="940" w:type="dxa"/>
            <w:shd w:val="clear" w:color="auto" w:fill="auto"/>
            <w:vAlign w:val="center"/>
          </w:tcPr>
          <w:p>
            <w:pPr>
              <w:pStyle w:val="22"/>
              <w:bidi w:val="0"/>
              <w:rPr>
                <w:rFonts w:hint="default"/>
              </w:rPr>
            </w:pPr>
            <w:r>
              <w:rPr>
                <w:rFonts w:hint="default"/>
                <w:lang w:val="en-US" w:eastAsia="zh-CN"/>
              </w:rPr>
              <w:t xml:space="preserve">9.920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9.424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1.885 </w:t>
            </w:r>
          </w:p>
        </w:tc>
        <w:tc>
          <w:tcPr>
            <w:tcW w:w="1080" w:type="dxa"/>
            <w:shd w:val="clear" w:color="auto" w:fill="auto"/>
            <w:noWrap/>
            <w:vAlign w:val="center"/>
          </w:tcPr>
          <w:p>
            <w:pPr>
              <w:pStyle w:val="22"/>
              <w:bidi w:val="0"/>
              <w:rPr>
                <w:rFonts w:hint="default"/>
              </w:rPr>
            </w:pPr>
            <w:r>
              <w:rPr>
                <w:rFonts w:hint="default"/>
                <w:lang w:val="en-US" w:eastAsia="zh-CN"/>
              </w:rPr>
              <w:t xml:space="preserve">308.984 </w:t>
            </w:r>
          </w:p>
        </w:tc>
        <w:tc>
          <w:tcPr>
            <w:tcW w:w="690" w:type="dxa"/>
            <w:shd w:val="clear" w:color="auto" w:fill="auto"/>
            <w:noWrap/>
            <w:vAlign w:val="center"/>
          </w:tcPr>
          <w:p>
            <w:pPr>
              <w:pStyle w:val="22"/>
              <w:bidi w:val="0"/>
              <w:rPr>
                <w:rFonts w:hint="default"/>
              </w:rPr>
            </w:pPr>
            <w:r>
              <w:rPr>
                <w:rFonts w:hint="default"/>
                <w:lang w:val="en-US" w:eastAsia="zh-CN"/>
              </w:rPr>
              <w:t>5</w:t>
            </w:r>
          </w:p>
        </w:tc>
        <w:tc>
          <w:tcPr>
            <w:tcW w:w="730" w:type="dxa"/>
            <w:shd w:val="clear" w:color="auto" w:fill="auto"/>
            <w:noWrap/>
            <w:vAlign w:val="center"/>
          </w:tcPr>
          <w:p>
            <w:pPr>
              <w:pStyle w:val="22"/>
              <w:bidi w:val="0"/>
              <w:rPr>
                <w:rFonts w:hint="default"/>
              </w:rPr>
            </w:pPr>
            <w:r>
              <w:rPr>
                <w:rFonts w:hint="eastAsia"/>
                <w:lang w:val="en-US" w:eastAsia="zh-CN"/>
              </w:rPr>
              <w:t>/</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0.188 </w:t>
            </w:r>
          </w:p>
        </w:tc>
        <w:tc>
          <w:tcPr>
            <w:tcW w:w="870" w:type="dxa"/>
            <w:shd w:val="clear" w:color="auto" w:fill="auto"/>
            <w:noWrap/>
            <w:vAlign w:val="center"/>
          </w:tcPr>
          <w:p>
            <w:pPr>
              <w:pStyle w:val="22"/>
              <w:bidi w:val="0"/>
              <w:rPr>
                <w:rFonts w:hint="default"/>
              </w:rPr>
            </w:pPr>
            <w:r>
              <w:rPr>
                <w:rFonts w:hint="default"/>
                <w:lang w:val="en-US" w:eastAsia="zh-CN"/>
              </w:rPr>
              <w:t xml:space="preserve">30.898 </w:t>
            </w:r>
          </w:p>
        </w:tc>
        <w:tc>
          <w:tcPr>
            <w:tcW w:w="910" w:type="dxa"/>
            <w:shd w:val="clear" w:color="auto" w:fill="auto"/>
            <w:noWrap/>
            <w:vAlign w:val="center"/>
          </w:tcPr>
          <w:p>
            <w:pPr>
              <w:pStyle w:val="22"/>
              <w:bidi w:val="0"/>
              <w:rPr>
                <w:rFonts w:hint="default"/>
              </w:rPr>
            </w:pPr>
            <w:r>
              <w:rPr>
                <w:rFonts w:hint="default"/>
                <w:lang w:val="en-US" w:eastAsia="zh-CN"/>
              </w:rPr>
              <w:t xml:space="preserve">0.942 </w:t>
            </w:r>
          </w:p>
        </w:tc>
        <w:tc>
          <w:tcPr>
            <w:tcW w:w="730" w:type="dxa"/>
            <w:shd w:val="clear" w:color="auto" w:fill="auto"/>
            <w:noWrap/>
            <w:vAlign w:val="center"/>
          </w:tcPr>
          <w:p>
            <w:pPr>
              <w:pStyle w:val="22"/>
              <w:bidi w:val="0"/>
              <w:rPr>
                <w:rFonts w:hint="default"/>
              </w:rPr>
            </w:pPr>
            <w:r>
              <w:rPr>
                <w:rFonts w:hint="default"/>
                <w:lang w:val="en-US" w:eastAsia="zh-CN"/>
              </w:rPr>
              <w:t>3.4</w:t>
            </w:r>
          </w:p>
        </w:tc>
        <w:tc>
          <w:tcPr>
            <w:tcW w:w="860" w:type="dxa"/>
            <w:shd w:val="clear" w:color="auto" w:fill="auto"/>
            <w:noWrap/>
            <w:vAlign w:val="center"/>
          </w:tcPr>
          <w:p>
            <w:pPr>
              <w:pStyle w:val="22"/>
              <w:bidi w:val="0"/>
              <w:rPr>
                <w:rFonts w:hint="default"/>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液氨</w:t>
            </w:r>
          </w:p>
        </w:tc>
        <w:tc>
          <w:tcPr>
            <w:tcW w:w="940" w:type="dxa"/>
            <w:shd w:val="clear" w:color="auto" w:fill="auto"/>
            <w:vAlign w:val="center"/>
          </w:tcPr>
          <w:p>
            <w:pPr>
              <w:pStyle w:val="22"/>
              <w:bidi w:val="0"/>
              <w:rPr>
                <w:rFonts w:hint="default"/>
              </w:rPr>
            </w:pPr>
            <w:r>
              <w:rPr>
                <w:rFonts w:hint="default"/>
                <w:lang w:val="en-US" w:eastAsia="zh-CN"/>
              </w:rPr>
              <w:t xml:space="preserve">21.576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20.497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4.099 </w:t>
            </w:r>
          </w:p>
        </w:tc>
        <w:tc>
          <w:tcPr>
            <w:tcW w:w="1080" w:type="dxa"/>
            <w:shd w:val="clear" w:color="auto" w:fill="auto"/>
            <w:noWrap/>
            <w:vAlign w:val="center"/>
          </w:tcPr>
          <w:p>
            <w:pPr>
              <w:pStyle w:val="22"/>
              <w:bidi w:val="0"/>
              <w:rPr>
                <w:rFonts w:hint="default"/>
              </w:rPr>
            </w:pPr>
            <w:r>
              <w:rPr>
                <w:rFonts w:hint="default"/>
                <w:lang w:val="en-US" w:eastAsia="zh-CN"/>
              </w:rPr>
              <w:t xml:space="preserve">672.049 </w:t>
            </w:r>
          </w:p>
        </w:tc>
        <w:tc>
          <w:tcPr>
            <w:tcW w:w="690" w:type="dxa"/>
            <w:shd w:val="clear" w:color="auto" w:fill="auto"/>
            <w:noWrap/>
            <w:vAlign w:val="center"/>
          </w:tcPr>
          <w:p>
            <w:pPr>
              <w:pStyle w:val="22"/>
              <w:bidi w:val="0"/>
              <w:rPr>
                <w:rFonts w:hint="default"/>
              </w:rPr>
            </w:pPr>
            <w:r>
              <w:rPr>
                <w:rFonts w:hint="default"/>
                <w:lang w:val="en-US" w:eastAsia="zh-CN"/>
              </w:rPr>
              <w:t>5</w:t>
            </w:r>
          </w:p>
        </w:tc>
        <w:tc>
          <w:tcPr>
            <w:tcW w:w="730" w:type="dxa"/>
            <w:shd w:val="clear" w:color="auto" w:fill="auto"/>
            <w:noWrap/>
            <w:vAlign w:val="center"/>
          </w:tcPr>
          <w:p>
            <w:pPr>
              <w:pStyle w:val="22"/>
              <w:bidi w:val="0"/>
              <w:rPr>
                <w:rFonts w:hint="default"/>
              </w:rPr>
            </w:pPr>
            <w:r>
              <w:rPr>
                <w:rFonts w:hint="default"/>
                <w:lang w:val="en-US" w:eastAsia="zh-CN"/>
              </w:rPr>
              <w:t>0.4</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0.246 </w:t>
            </w:r>
          </w:p>
        </w:tc>
        <w:tc>
          <w:tcPr>
            <w:tcW w:w="870" w:type="dxa"/>
            <w:shd w:val="clear" w:color="auto" w:fill="auto"/>
            <w:noWrap/>
            <w:vAlign w:val="center"/>
          </w:tcPr>
          <w:p>
            <w:pPr>
              <w:pStyle w:val="22"/>
              <w:bidi w:val="0"/>
              <w:rPr>
                <w:rFonts w:hint="default"/>
              </w:rPr>
            </w:pPr>
            <w:r>
              <w:rPr>
                <w:rFonts w:hint="default"/>
                <w:lang w:val="en-US" w:eastAsia="zh-CN"/>
              </w:rPr>
              <w:t xml:space="preserve">40.323 </w:t>
            </w:r>
          </w:p>
        </w:tc>
        <w:tc>
          <w:tcPr>
            <w:tcW w:w="910" w:type="dxa"/>
            <w:shd w:val="clear" w:color="auto" w:fill="auto"/>
            <w:noWrap/>
            <w:vAlign w:val="center"/>
          </w:tcPr>
          <w:p>
            <w:pPr>
              <w:pStyle w:val="22"/>
              <w:bidi w:val="0"/>
              <w:rPr>
                <w:rFonts w:hint="default"/>
              </w:rPr>
            </w:pPr>
            <w:r>
              <w:rPr>
                <w:rFonts w:hint="default"/>
                <w:lang w:val="en-US" w:eastAsia="zh-CN"/>
              </w:rPr>
              <w:t xml:space="preserve">1.230 </w:t>
            </w:r>
          </w:p>
        </w:tc>
        <w:tc>
          <w:tcPr>
            <w:tcW w:w="730" w:type="dxa"/>
            <w:shd w:val="clear" w:color="auto" w:fill="auto"/>
            <w:noWrap/>
            <w:vAlign w:val="center"/>
          </w:tcPr>
          <w:p>
            <w:pPr>
              <w:pStyle w:val="22"/>
              <w:bidi w:val="0"/>
              <w:rPr>
                <w:rFonts w:hint="default"/>
              </w:rPr>
            </w:pPr>
            <w:r>
              <w:rPr>
                <w:rFonts w:hint="default"/>
                <w:lang w:val="en-US" w:eastAsia="zh-CN"/>
              </w:rPr>
              <w:t>4.9</w:t>
            </w:r>
          </w:p>
        </w:tc>
        <w:tc>
          <w:tcPr>
            <w:tcW w:w="860" w:type="dxa"/>
            <w:shd w:val="clear" w:color="auto" w:fill="auto"/>
            <w:noWrap/>
            <w:vAlign w:val="center"/>
          </w:tcPr>
          <w:p>
            <w:pPr>
              <w:pStyle w:val="22"/>
              <w:bidi w:val="0"/>
              <w:rPr>
                <w:rFonts w:hint="default"/>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草酸</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lang w:val="en-US"/>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碳酸甲乙酯</w:t>
            </w:r>
          </w:p>
        </w:tc>
        <w:tc>
          <w:tcPr>
            <w:tcW w:w="940" w:type="dxa"/>
            <w:shd w:val="clear" w:color="auto" w:fill="auto"/>
            <w:vAlign w:val="center"/>
          </w:tcPr>
          <w:p>
            <w:pPr>
              <w:pStyle w:val="22"/>
              <w:bidi w:val="0"/>
              <w:rPr>
                <w:rFonts w:hint="default"/>
              </w:rPr>
            </w:pPr>
            <w:r>
              <w:rPr>
                <w:rFonts w:hint="default"/>
                <w:lang w:val="en-US" w:eastAsia="zh-CN"/>
              </w:rPr>
              <w:t xml:space="preserve">0.811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0.771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0.154 </w:t>
            </w:r>
          </w:p>
        </w:tc>
        <w:tc>
          <w:tcPr>
            <w:tcW w:w="1080" w:type="dxa"/>
            <w:shd w:val="clear" w:color="auto" w:fill="auto"/>
            <w:noWrap/>
            <w:vAlign w:val="center"/>
          </w:tcPr>
          <w:p>
            <w:pPr>
              <w:pStyle w:val="22"/>
              <w:bidi w:val="0"/>
              <w:rPr>
                <w:rFonts w:hint="default"/>
              </w:rPr>
            </w:pPr>
            <w:r>
              <w:rPr>
                <w:rFonts w:hint="default"/>
                <w:lang w:val="en-US" w:eastAsia="zh-CN"/>
              </w:rPr>
              <w:t xml:space="preserve">25.274 </w:t>
            </w:r>
          </w:p>
        </w:tc>
        <w:tc>
          <w:tcPr>
            <w:tcW w:w="690" w:type="dxa"/>
            <w:shd w:val="clear" w:color="auto" w:fill="auto"/>
            <w:noWrap/>
            <w:vAlign w:val="center"/>
          </w:tcPr>
          <w:p>
            <w:pPr>
              <w:pStyle w:val="22"/>
              <w:bidi w:val="0"/>
              <w:rPr>
                <w:rFonts w:hint="default"/>
              </w:rPr>
            </w:pPr>
            <w:r>
              <w:rPr>
                <w:rFonts w:hint="default"/>
                <w:lang w:val="en-US" w:eastAsia="zh-CN"/>
              </w:rPr>
              <w:t>5</w:t>
            </w:r>
          </w:p>
        </w:tc>
        <w:tc>
          <w:tcPr>
            <w:tcW w:w="730" w:type="dxa"/>
            <w:shd w:val="clear" w:color="auto" w:fill="auto"/>
            <w:noWrap/>
            <w:vAlign w:val="center"/>
          </w:tcPr>
          <w:p>
            <w:pPr>
              <w:pStyle w:val="22"/>
              <w:bidi w:val="0"/>
              <w:rPr>
                <w:rFonts w:hint="default"/>
              </w:rPr>
            </w:pPr>
            <w:r>
              <w:rPr>
                <w:rFonts w:hint="eastAsia"/>
                <w:lang w:val="en-US" w:eastAsia="zh-CN"/>
              </w:rPr>
              <w:t>/</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0.015 </w:t>
            </w:r>
          </w:p>
        </w:tc>
        <w:tc>
          <w:tcPr>
            <w:tcW w:w="870" w:type="dxa"/>
            <w:shd w:val="clear" w:color="auto" w:fill="auto"/>
            <w:noWrap/>
            <w:vAlign w:val="center"/>
          </w:tcPr>
          <w:p>
            <w:pPr>
              <w:pStyle w:val="22"/>
              <w:bidi w:val="0"/>
              <w:rPr>
                <w:rFonts w:hint="default"/>
              </w:rPr>
            </w:pPr>
            <w:r>
              <w:rPr>
                <w:rFonts w:hint="default"/>
                <w:lang w:val="en-US" w:eastAsia="zh-CN"/>
              </w:rPr>
              <w:t xml:space="preserve">2.527 </w:t>
            </w:r>
          </w:p>
        </w:tc>
        <w:tc>
          <w:tcPr>
            <w:tcW w:w="910" w:type="dxa"/>
            <w:shd w:val="clear" w:color="auto" w:fill="auto"/>
            <w:noWrap/>
            <w:vAlign w:val="center"/>
          </w:tcPr>
          <w:p>
            <w:pPr>
              <w:pStyle w:val="22"/>
              <w:bidi w:val="0"/>
              <w:rPr>
                <w:rFonts w:hint="default"/>
              </w:rPr>
            </w:pPr>
            <w:r>
              <w:rPr>
                <w:rFonts w:hint="default"/>
                <w:lang w:val="en-US" w:eastAsia="zh-CN"/>
              </w:rPr>
              <w:t xml:space="preserve">0.077 </w:t>
            </w:r>
          </w:p>
        </w:tc>
        <w:tc>
          <w:tcPr>
            <w:tcW w:w="730" w:type="dxa"/>
            <w:shd w:val="clear" w:color="auto" w:fill="auto"/>
            <w:noWrap/>
            <w:vAlign w:val="center"/>
          </w:tcPr>
          <w:p>
            <w:pPr>
              <w:pStyle w:val="22"/>
              <w:bidi w:val="0"/>
              <w:rPr>
                <w:rFonts w:hint="default"/>
              </w:rPr>
            </w:pPr>
            <w:r>
              <w:rPr>
                <w:rFonts w:hint="default"/>
                <w:lang w:val="en-US" w:eastAsia="zh-CN"/>
              </w:rPr>
              <w:t>3.4</w:t>
            </w:r>
          </w:p>
        </w:tc>
        <w:tc>
          <w:tcPr>
            <w:tcW w:w="860" w:type="dxa"/>
            <w:shd w:val="clear" w:color="auto" w:fill="auto"/>
            <w:noWrap/>
            <w:vAlign w:val="center"/>
          </w:tcPr>
          <w:p>
            <w:pPr>
              <w:pStyle w:val="22"/>
              <w:bidi w:val="0"/>
              <w:rPr>
                <w:rFonts w:hint="default"/>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碳酸二乙酯</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液体二氧化碳</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优级品碳酸二甲酯</w:t>
            </w:r>
          </w:p>
        </w:tc>
        <w:tc>
          <w:tcPr>
            <w:tcW w:w="940" w:type="dxa"/>
            <w:shd w:val="clear" w:color="auto" w:fill="auto"/>
            <w:vAlign w:val="center"/>
          </w:tcPr>
          <w:p>
            <w:pPr>
              <w:pStyle w:val="22"/>
              <w:bidi w:val="0"/>
              <w:rPr>
                <w:rFonts w:hint="default"/>
              </w:rPr>
            </w:pPr>
            <w:r>
              <w:rPr>
                <w:rFonts w:hint="default"/>
                <w:lang w:val="en-US" w:eastAsia="zh-CN"/>
              </w:rPr>
              <w:t xml:space="preserve">9.920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9.424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1.885 </w:t>
            </w:r>
          </w:p>
        </w:tc>
        <w:tc>
          <w:tcPr>
            <w:tcW w:w="1080" w:type="dxa"/>
            <w:shd w:val="clear" w:color="auto" w:fill="auto"/>
            <w:noWrap/>
            <w:vAlign w:val="center"/>
          </w:tcPr>
          <w:p>
            <w:pPr>
              <w:pStyle w:val="22"/>
              <w:bidi w:val="0"/>
              <w:rPr>
                <w:rFonts w:hint="default"/>
              </w:rPr>
            </w:pPr>
            <w:r>
              <w:rPr>
                <w:rFonts w:hint="default"/>
                <w:lang w:val="en-US" w:eastAsia="zh-CN"/>
              </w:rPr>
              <w:t xml:space="preserve">308.984 </w:t>
            </w:r>
          </w:p>
        </w:tc>
        <w:tc>
          <w:tcPr>
            <w:tcW w:w="690" w:type="dxa"/>
            <w:shd w:val="clear" w:color="auto" w:fill="auto"/>
            <w:noWrap/>
            <w:vAlign w:val="center"/>
          </w:tcPr>
          <w:p>
            <w:pPr>
              <w:pStyle w:val="22"/>
              <w:bidi w:val="0"/>
              <w:rPr>
                <w:rFonts w:hint="default"/>
              </w:rPr>
            </w:pPr>
            <w:r>
              <w:rPr>
                <w:rFonts w:hint="default"/>
                <w:lang w:val="en-US" w:eastAsia="zh-CN"/>
              </w:rPr>
              <w:t>5</w:t>
            </w:r>
          </w:p>
        </w:tc>
        <w:tc>
          <w:tcPr>
            <w:tcW w:w="730" w:type="dxa"/>
            <w:shd w:val="clear" w:color="auto" w:fill="auto"/>
            <w:noWrap/>
            <w:vAlign w:val="center"/>
          </w:tcPr>
          <w:p>
            <w:pPr>
              <w:pStyle w:val="22"/>
              <w:bidi w:val="0"/>
              <w:rPr>
                <w:rFonts w:hint="default"/>
              </w:rPr>
            </w:pPr>
            <w:r>
              <w:rPr>
                <w:rFonts w:hint="eastAsia"/>
                <w:lang w:val="en-US" w:eastAsia="zh-CN"/>
              </w:rPr>
              <w:t>/</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0.188 </w:t>
            </w:r>
          </w:p>
        </w:tc>
        <w:tc>
          <w:tcPr>
            <w:tcW w:w="870" w:type="dxa"/>
            <w:shd w:val="clear" w:color="auto" w:fill="auto"/>
            <w:noWrap/>
            <w:vAlign w:val="center"/>
          </w:tcPr>
          <w:p>
            <w:pPr>
              <w:pStyle w:val="22"/>
              <w:bidi w:val="0"/>
              <w:rPr>
                <w:rFonts w:hint="default"/>
              </w:rPr>
            </w:pPr>
            <w:r>
              <w:rPr>
                <w:rFonts w:hint="default"/>
                <w:lang w:val="en-US" w:eastAsia="zh-CN"/>
              </w:rPr>
              <w:t xml:space="preserve">30.898 </w:t>
            </w:r>
          </w:p>
        </w:tc>
        <w:tc>
          <w:tcPr>
            <w:tcW w:w="910" w:type="dxa"/>
            <w:shd w:val="clear" w:color="auto" w:fill="auto"/>
            <w:noWrap/>
            <w:vAlign w:val="center"/>
          </w:tcPr>
          <w:p>
            <w:pPr>
              <w:pStyle w:val="22"/>
              <w:bidi w:val="0"/>
              <w:rPr>
                <w:rFonts w:hint="default"/>
              </w:rPr>
            </w:pPr>
            <w:r>
              <w:rPr>
                <w:rFonts w:hint="default"/>
                <w:lang w:val="en-US" w:eastAsia="zh-CN"/>
              </w:rPr>
              <w:t xml:space="preserve">0.942 </w:t>
            </w:r>
          </w:p>
        </w:tc>
        <w:tc>
          <w:tcPr>
            <w:tcW w:w="730" w:type="dxa"/>
            <w:shd w:val="clear" w:color="auto" w:fill="auto"/>
            <w:noWrap/>
            <w:vAlign w:val="center"/>
          </w:tcPr>
          <w:p>
            <w:pPr>
              <w:pStyle w:val="22"/>
              <w:bidi w:val="0"/>
              <w:rPr>
                <w:rFonts w:hint="default"/>
              </w:rPr>
            </w:pPr>
            <w:r>
              <w:rPr>
                <w:rFonts w:hint="default"/>
                <w:lang w:val="en-US" w:eastAsia="zh-CN"/>
              </w:rPr>
              <w:t>3.4</w:t>
            </w:r>
          </w:p>
        </w:tc>
        <w:tc>
          <w:tcPr>
            <w:tcW w:w="860" w:type="dxa"/>
            <w:shd w:val="clear" w:color="auto" w:fill="auto"/>
            <w:noWrap/>
            <w:vAlign w:val="center"/>
          </w:tcPr>
          <w:p>
            <w:pPr>
              <w:pStyle w:val="22"/>
              <w:bidi w:val="0"/>
              <w:rPr>
                <w:rFonts w:hint="default"/>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轻质二元醇</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混合一元醇</w:t>
            </w:r>
          </w:p>
        </w:tc>
        <w:tc>
          <w:tcPr>
            <w:tcW w:w="940" w:type="dxa"/>
            <w:shd w:val="clear" w:color="auto" w:fill="auto"/>
            <w:vAlign w:val="center"/>
          </w:tcPr>
          <w:p>
            <w:pPr>
              <w:pStyle w:val="22"/>
              <w:bidi w:val="0"/>
              <w:rPr>
                <w:rFonts w:hint="default"/>
              </w:rPr>
            </w:pPr>
            <w:r>
              <w:rPr>
                <w:rFonts w:hint="default"/>
                <w:lang w:val="en-US" w:eastAsia="zh-CN"/>
              </w:rPr>
              <w:t xml:space="preserve">14.652 </w:t>
            </w:r>
          </w:p>
        </w:tc>
        <w:tc>
          <w:tcPr>
            <w:tcW w:w="640" w:type="dxa"/>
            <w:shd w:val="clear" w:color="auto" w:fill="auto"/>
            <w:noWrap/>
            <w:vAlign w:val="center"/>
          </w:tcPr>
          <w:p>
            <w:pPr>
              <w:pStyle w:val="22"/>
              <w:bidi w:val="0"/>
              <w:rPr>
                <w:rFonts w:hint="default"/>
              </w:rPr>
            </w:pPr>
            <w:r>
              <w:rPr>
                <w:rFonts w:hint="default"/>
                <w:lang w:val="en-US" w:eastAsia="zh-CN"/>
              </w:rPr>
              <w:t>95%</w:t>
            </w:r>
          </w:p>
        </w:tc>
        <w:tc>
          <w:tcPr>
            <w:tcW w:w="1040" w:type="dxa"/>
            <w:shd w:val="clear" w:color="auto" w:fill="auto"/>
            <w:noWrap/>
            <w:vAlign w:val="center"/>
          </w:tcPr>
          <w:p>
            <w:pPr>
              <w:pStyle w:val="22"/>
              <w:bidi w:val="0"/>
              <w:rPr>
                <w:rFonts w:hint="default"/>
              </w:rPr>
            </w:pPr>
            <w:r>
              <w:rPr>
                <w:rFonts w:hint="default"/>
                <w:lang w:val="en-US" w:eastAsia="zh-CN"/>
              </w:rPr>
              <w:t xml:space="preserve">13.919 </w:t>
            </w:r>
          </w:p>
        </w:tc>
        <w:tc>
          <w:tcPr>
            <w:tcW w:w="760" w:type="dxa"/>
            <w:shd w:val="clear" w:color="auto" w:fill="auto"/>
            <w:noWrap/>
            <w:vAlign w:val="center"/>
          </w:tcPr>
          <w:p>
            <w:pPr>
              <w:pStyle w:val="22"/>
              <w:bidi w:val="0"/>
              <w:rPr>
                <w:rFonts w:hint="default"/>
              </w:rPr>
            </w:pPr>
            <w:r>
              <w:rPr>
                <w:rFonts w:hint="default"/>
                <w:lang w:val="en-US" w:eastAsia="zh-CN"/>
              </w:rPr>
              <w:t>6100</w:t>
            </w:r>
          </w:p>
        </w:tc>
        <w:tc>
          <w:tcPr>
            <w:tcW w:w="800" w:type="dxa"/>
            <w:shd w:val="clear" w:color="auto" w:fill="auto"/>
            <w:noWrap/>
            <w:vAlign w:val="center"/>
          </w:tcPr>
          <w:p>
            <w:pPr>
              <w:pStyle w:val="22"/>
              <w:bidi w:val="0"/>
              <w:rPr>
                <w:rFonts w:hint="default"/>
              </w:rPr>
            </w:pPr>
            <w:r>
              <w:rPr>
                <w:rFonts w:hint="default"/>
                <w:lang w:val="en-US" w:eastAsia="zh-CN"/>
              </w:rPr>
              <w:t xml:space="preserve">2.784 </w:t>
            </w:r>
          </w:p>
        </w:tc>
        <w:tc>
          <w:tcPr>
            <w:tcW w:w="1080" w:type="dxa"/>
            <w:shd w:val="clear" w:color="auto" w:fill="auto"/>
            <w:noWrap/>
            <w:vAlign w:val="center"/>
          </w:tcPr>
          <w:p>
            <w:pPr>
              <w:pStyle w:val="22"/>
              <w:bidi w:val="0"/>
              <w:rPr>
                <w:rFonts w:hint="default"/>
              </w:rPr>
            </w:pPr>
            <w:r>
              <w:rPr>
                <w:rFonts w:hint="default"/>
                <w:lang w:val="en-US" w:eastAsia="zh-CN"/>
              </w:rPr>
              <w:t xml:space="preserve">456.374 </w:t>
            </w:r>
          </w:p>
        </w:tc>
        <w:tc>
          <w:tcPr>
            <w:tcW w:w="690" w:type="dxa"/>
            <w:shd w:val="clear" w:color="auto" w:fill="auto"/>
            <w:noWrap/>
            <w:vAlign w:val="center"/>
          </w:tcPr>
          <w:p>
            <w:pPr>
              <w:pStyle w:val="22"/>
              <w:bidi w:val="0"/>
              <w:rPr>
                <w:rFonts w:hint="default"/>
              </w:rPr>
            </w:pPr>
            <w:r>
              <w:rPr>
                <w:rFonts w:hint="default"/>
                <w:lang w:val="en-US" w:eastAsia="zh-CN"/>
              </w:rPr>
              <w:t>5</w:t>
            </w:r>
          </w:p>
        </w:tc>
        <w:tc>
          <w:tcPr>
            <w:tcW w:w="730" w:type="dxa"/>
            <w:shd w:val="clear" w:color="auto" w:fill="auto"/>
            <w:noWrap/>
            <w:vAlign w:val="center"/>
          </w:tcPr>
          <w:p>
            <w:pPr>
              <w:pStyle w:val="22"/>
              <w:bidi w:val="0"/>
              <w:rPr>
                <w:rFonts w:hint="default"/>
              </w:rPr>
            </w:pPr>
            <w:r>
              <w:rPr>
                <w:rFonts w:hint="default"/>
                <w:lang w:val="en-US" w:eastAsia="zh-CN"/>
              </w:rPr>
              <w:t>0.4</w:t>
            </w:r>
          </w:p>
        </w:tc>
        <w:tc>
          <w:tcPr>
            <w:tcW w:w="700" w:type="dxa"/>
            <w:shd w:val="clear" w:color="auto" w:fill="auto"/>
            <w:noWrap/>
            <w:vAlign w:val="center"/>
          </w:tcPr>
          <w:p>
            <w:pPr>
              <w:pStyle w:val="22"/>
              <w:bidi w:val="0"/>
              <w:rPr>
                <w:rFonts w:hint="default"/>
              </w:rPr>
            </w:pPr>
            <w:r>
              <w:rPr>
                <w:rFonts w:hint="default"/>
                <w:lang w:val="en-US" w:eastAsia="zh-CN"/>
              </w:rPr>
              <w:t>90%</w:t>
            </w:r>
          </w:p>
        </w:tc>
        <w:tc>
          <w:tcPr>
            <w:tcW w:w="770" w:type="dxa"/>
            <w:shd w:val="clear" w:color="auto" w:fill="auto"/>
            <w:noWrap/>
            <w:vAlign w:val="center"/>
          </w:tcPr>
          <w:p>
            <w:pPr>
              <w:pStyle w:val="22"/>
              <w:bidi w:val="0"/>
              <w:rPr>
                <w:rFonts w:hint="default"/>
              </w:rPr>
            </w:pPr>
            <w:r>
              <w:rPr>
                <w:rFonts w:hint="default"/>
                <w:lang w:val="en-US" w:eastAsia="zh-CN"/>
              </w:rPr>
              <w:t xml:space="preserve">0.167 </w:t>
            </w:r>
          </w:p>
        </w:tc>
        <w:tc>
          <w:tcPr>
            <w:tcW w:w="870" w:type="dxa"/>
            <w:shd w:val="clear" w:color="auto" w:fill="auto"/>
            <w:noWrap/>
            <w:vAlign w:val="center"/>
          </w:tcPr>
          <w:p>
            <w:pPr>
              <w:pStyle w:val="22"/>
              <w:bidi w:val="0"/>
              <w:rPr>
                <w:rFonts w:hint="default"/>
              </w:rPr>
            </w:pPr>
            <w:r>
              <w:rPr>
                <w:rFonts w:hint="default"/>
                <w:lang w:val="en-US" w:eastAsia="zh-CN"/>
              </w:rPr>
              <w:t xml:space="preserve">27.382 </w:t>
            </w:r>
          </w:p>
        </w:tc>
        <w:tc>
          <w:tcPr>
            <w:tcW w:w="910" w:type="dxa"/>
            <w:shd w:val="clear" w:color="auto" w:fill="auto"/>
            <w:noWrap/>
            <w:vAlign w:val="center"/>
          </w:tcPr>
          <w:p>
            <w:pPr>
              <w:pStyle w:val="22"/>
              <w:bidi w:val="0"/>
              <w:rPr>
                <w:rFonts w:hint="default"/>
              </w:rPr>
            </w:pPr>
            <w:r>
              <w:rPr>
                <w:rFonts w:hint="default"/>
                <w:lang w:val="en-US" w:eastAsia="zh-CN"/>
              </w:rPr>
              <w:t xml:space="preserve">0.835 </w:t>
            </w:r>
          </w:p>
        </w:tc>
        <w:tc>
          <w:tcPr>
            <w:tcW w:w="730" w:type="dxa"/>
            <w:shd w:val="clear" w:color="auto" w:fill="auto"/>
            <w:noWrap/>
            <w:vAlign w:val="center"/>
          </w:tcPr>
          <w:p>
            <w:pPr>
              <w:pStyle w:val="22"/>
              <w:bidi w:val="0"/>
              <w:rPr>
                <w:rFonts w:hint="default"/>
              </w:rPr>
            </w:pPr>
            <w:r>
              <w:rPr>
                <w:rFonts w:hint="default"/>
                <w:lang w:val="en-US" w:eastAsia="zh-CN"/>
              </w:rPr>
              <w:t>3.4</w:t>
            </w:r>
          </w:p>
        </w:tc>
        <w:tc>
          <w:tcPr>
            <w:tcW w:w="860" w:type="dxa"/>
            <w:shd w:val="clear" w:color="auto" w:fill="auto"/>
            <w:noWrap/>
            <w:vAlign w:val="center"/>
          </w:tcPr>
          <w:p>
            <w:pPr>
              <w:pStyle w:val="22"/>
              <w:bidi w:val="0"/>
              <w:rPr>
                <w:rFonts w:hint="default"/>
              </w:rPr>
            </w:pPr>
            <w:r>
              <w:rPr>
                <w:rFonts w:hint="default"/>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重质二元醇</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53" w:type="pct"/>
            <w:vMerge w:val="continue"/>
            <w:shd w:val="clear" w:color="auto" w:fill="auto"/>
            <w:vAlign w:val="center"/>
          </w:tcPr>
          <w:p>
            <w:pPr>
              <w:pStyle w:val="22"/>
              <w:bidi w:val="0"/>
              <w:jc w:val="center"/>
              <w:rPr>
                <w:rFonts w:hint="eastAsia"/>
              </w:rPr>
            </w:pPr>
          </w:p>
        </w:tc>
        <w:tc>
          <w:tcPr>
            <w:tcW w:w="1303" w:type="dxa"/>
            <w:shd w:val="clear" w:color="auto" w:fill="auto"/>
            <w:vAlign w:val="center"/>
          </w:tcPr>
          <w:p>
            <w:pPr>
              <w:pStyle w:val="22"/>
              <w:bidi w:val="0"/>
              <w:rPr>
                <w:rFonts w:hint="eastAsia"/>
              </w:rPr>
            </w:pPr>
            <w:r>
              <w:rPr>
                <w:rFonts w:hint="eastAsia"/>
                <w:lang w:val="en-US" w:eastAsia="zh-CN"/>
              </w:rPr>
              <w:t>乙二醇</w:t>
            </w:r>
          </w:p>
        </w:tc>
        <w:tc>
          <w:tcPr>
            <w:tcW w:w="940" w:type="dxa"/>
            <w:shd w:val="clear" w:color="auto" w:fill="auto"/>
            <w:vAlign w:val="center"/>
          </w:tcPr>
          <w:p>
            <w:pPr>
              <w:pStyle w:val="22"/>
              <w:bidi w:val="0"/>
              <w:ind w:firstLine="0" w:firstLineChars="0"/>
              <w:rPr>
                <w:rFonts w:hint="default"/>
              </w:rPr>
            </w:pPr>
            <w:r>
              <w:rPr>
                <w:rFonts w:hint="eastAsia"/>
                <w:lang w:val="en-US" w:eastAsia="zh-CN"/>
              </w:rPr>
              <w:t>/</w:t>
            </w:r>
          </w:p>
        </w:tc>
        <w:tc>
          <w:tcPr>
            <w:tcW w:w="6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4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6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108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69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0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7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91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730" w:type="dxa"/>
            <w:shd w:val="clear" w:color="auto" w:fill="auto"/>
            <w:noWrap/>
            <w:vAlign w:val="center"/>
          </w:tcPr>
          <w:p>
            <w:pPr>
              <w:pStyle w:val="22"/>
              <w:bidi w:val="0"/>
              <w:ind w:firstLine="0" w:firstLineChars="0"/>
              <w:rPr>
                <w:rFonts w:hint="default"/>
              </w:rPr>
            </w:pPr>
            <w:r>
              <w:rPr>
                <w:rFonts w:hint="eastAsia"/>
                <w:lang w:val="en-US" w:eastAsia="zh-CN"/>
              </w:rPr>
              <w:t>/</w:t>
            </w:r>
          </w:p>
        </w:tc>
        <w:tc>
          <w:tcPr>
            <w:tcW w:w="860" w:type="dxa"/>
            <w:shd w:val="clear" w:color="auto" w:fill="auto"/>
            <w:noWrap/>
            <w:vAlign w:val="center"/>
          </w:tcPr>
          <w:p>
            <w:pPr>
              <w:pStyle w:val="22"/>
              <w:bidi w:val="0"/>
              <w:ind w:firstLine="0" w:firstLineChars="0"/>
              <w:rPr>
                <w:rFonts w:hint="default"/>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0" w:type="pct"/>
            <w:gridSpan w:val="16"/>
            <w:shd w:val="clear" w:color="auto" w:fill="auto"/>
            <w:vAlign w:val="center"/>
          </w:tcPr>
          <w:p>
            <w:pPr>
              <w:pStyle w:val="22"/>
              <w:bidi w:val="0"/>
              <w:jc w:val="both"/>
              <w:rPr>
                <w:rFonts w:hint="eastAsia"/>
                <w:lang w:val="en-US" w:eastAsia="zh-CN"/>
              </w:rPr>
            </w:pPr>
            <w:r>
              <w:rPr>
                <w:rFonts w:hint="eastAsia"/>
                <w:lang w:val="en-US" w:eastAsia="zh-CN"/>
              </w:rPr>
              <w:t>注：运行时间为年清洗罐车的数量乘以每个罐体的抽气时间（0.5h）；</w:t>
            </w:r>
          </w:p>
          <w:p>
            <w:pPr>
              <w:pStyle w:val="22"/>
              <w:bidi w:val="0"/>
              <w:jc w:val="both"/>
              <w:rPr>
                <w:rFonts w:hint="default"/>
                <w:lang w:val="en-US" w:eastAsia="zh-CN"/>
              </w:rPr>
            </w:pPr>
            <w:r>
              <w:rPr>
                <w:rFonts w:hint="eastAsia"/>
                <w:lang w:val="en-US" w:eastAsia="zh-CN"/>
              </w:rPr>
              <w:t>风机风量=洗罐风机风量+危废暂存间风量</w:t>
            </w:r>
          </w:p>
        </w:tc>
      </w:tr>
    </w:tbl>
    <w:p>
      <w:pPr>
        <w:pStyle w:val="8"/>
        <w:rPr>
          <w:rFonts w:hint="default" w:ascii="Times New Roman" w:hAnsi="Times New Roman" w:cs="Times New Roman"/>
          <w:b/>
          <w:bCs/>
          <w:lang w:eastAsia="zh-CN"/>
        </w:rPr>
      </w:pPr>
      <w:r>
        <w:rPr>
          <w:rFonts w:hint="eastAsia" w:ascii="Times New Roman" w:hAnsi="Times New Roman" w:cs="Times New Roman"/>
          <w:b/>
          <w:bCs/>
          <w:lang w:eastAsia="zh-CN"/>
        </w:rPr>
        <w:t>（</w:t>
      </w:r>
      <w:r>
        <w:rPr>
          <w:rFonts w:hint="eastAsia" w:ascii="Times New Roman" w:hAnsi="Times New Roman" w:cs="Times New Roman"/>
          <w:b/>
          <w:bCs/>
          <w:lang w:val="en-US" w:eastAsia="zh-CN"/>
        </w:rPr>
        <w:t>4</w:t>
      </w:r>
      <w:r>
        <w:rPr>
          <w:rFonts w:hint="eastAsia" w:ascii="Times New Roman" w:hAnsi="Times New Roman" w:cs="Times New Roman"/>
          <w:b/>
          <w:bCs/>
          <w:lang w:eastAsia="zh-CN"/>
        </w:rPr>
        <w:t>）</w:t>
      </w:r>
      <w:r>
        <w:rPr>
          <w:rFonts w:hint="default" w:ascii="Times New Roman" w:hAnsi="Times New Roman" w:cs="Times New Roman"/>
          <w:b/>
          <w:bCs/>
          <w:lang w:eastAsia="zh-CN"/>
        </w:rPr>
        <w:t>本项目大气污染物排放量核算</w:t>
      </w:r>
    </w:p>
    <w:p>
      <w:pPr>
        <w:pStyle w:val="26"/>
        <w:bidi w:val="0"/>
        <w:rPr>
          <w:rFonts w:hint="default"/>
          <w:lang w:val="en-US" w:eastAsia="zh-CN"/>
        </w:rPr>
      </w:pPr>
      <w:r>
        <w:rPr>
          <w:rFonts w:hint="eastAsia"/>
          <w:lang w:val="en-US" w:eastAsia="zh-CN"/>
        </w:rPr>
        <w:t xml:space="preserve">表4.2-4 </w:t>
      </w:r>
      <w:r>
        <w:rPr>
          <w:rFonts w:hint="default"/>
          <w:lang w:eastAsia="zh-CN"/>
        </w:rPr>
        <w:t>项目大气污染物排放量核算</w:t>
      </w:r>
      <w:r>
        <w:rPr>
          <w:rFonts w:hint="eastAsia"/>
          <w:lang w:val="en-US" w:eastAsia="zh-CN"/>
        </w:rPr>
        <w:t>汇总表</w:t>
      </w:r>
    </w:p>
    <w:tbl>
      <w:tblPr>
        <w:tblStyle w:val="16"/>
        <w:tblW w:w="49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8"/>
        <w:gridCol w:w="741"/>
        <w:gridCol w:w="881"/>
        <w:gridCol w:w="911"/>
        <w:gridCol w:w="667"/>
        <w:gridCol w:w="757"/>
        <w:gridCol w:w="693"/>
        <w:gridCol w:w="751"/>
        <w:gridCol w:w="931"/>
        <w:gridCol w:w="931"/>
        <w:gridCol w:w="942"/>
        <w:gridCol w:w="759"/>
        <w:gridCol w:w="796"/>
        <w:gridCol w:w="762"/>
        <w:gridCol w:w="680"/>
        <w:gridCol w:w="622"/>
        <w:gridCol w:w="7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trPr>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污染物</w:t>
            </w:r>
            <w:r>
              <w:rPr>
                <w:lang w:val="en-US" w:eastAsia="zh-CN"/>
              </w:rPr>
              <w:t>类型</w:t>
            </w:r>
          </w:p>
        </w:tc>
        <w:tc>
          <w:tcPr>
            <w:tcW w:w="2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污染物种类</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核算方法</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污染物产生</w:t>
            </w:r>
            <w:r>
              <w:rPr>
                <w:lang w:val="en-US" w:eastAsia="zh-CN"/>
              </w:rPr>
              <w:t>量(</w:t>
            </w:r>
            <w:r>
              <w:rPr>
                <w:rFonts w:hint="eastAsia"/>
                <w:lang w:val="en-US" w:eastAsia="zh-CN"/>
              </w:rPr>
              <w:t>kg</w:t>
            </w:r>
            <w:r>
              <w:rPr>
                <w:lang w:val="en-US" w:eastAsia="zh-CN"/>
              </w:rPr>
              <w:t>/a)</w:t>
            </w:r>
          </w:p>
        </w:tc>
        <w:tc>
          <w:tcPr>
            <w:tcW w:w="8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治理措施</w:t>
            </w:r>
          </w:p>
        </w:tc>
        <w:tc>
          <w:tcPr>
            <w:tcW w:w="2221"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污染物排放</w:t>
            </w:r>
          </w:p>
        </w:tc>
        <w:tc>
          <w:tcPr>
            <w:tcW w:w="2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排放口编号</w:t>
            </w:r>
          </w:p>
        </w:tc>
        <w:tc>
          <w:tcPr>
            <w:tcW w:w="52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排放标准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收集效率</w:t>
            </w:r>
            <w:r>
              <w:rPr>
                <w:lang w:val="en-US" w:eastAsia="zh-CN"/>
              </w:rPr>
              <w:t>(%)</w:t>
            </w:r>
          </w:p>
        </w:tc>
        <w:tc>
          <w:tcPr>
            <w:tcW w:w="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治理工艺</w:t>
            </w:r>
          </w:p>
        </w:tc>
        <w:tc>
          <w:tcPr>
            <w:tcW w:w="2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去除效率</w:t>
            </w:r>
            <w:r>
              <w:rPr>
                <w:lang w:val="en-US" w:eastAsia="zh-CN"/>
              </w:rPr>
              <w:t>(%)</w:t>
            </w:r>
          </w:p>
        </w:tc>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废气量</w:t>
            </w:r>
            <w:r>
              <w:rPr>
                <w:lang w:val="en-US" w:eastAsia="zh-CN"/>
              </w:rPr>
              <w:t>(m</w:t>
            </w:r>
            <w:r>
              <w:rPr>
                <w:vertAlign w:val="superscript"/>
                <w:lang w:val="en-US" w:eastAsia="zh-CN"/>
              </w:rPr>
              <w:t>3</w:t>
            </w:r>
            <w:r>
              <w:rPr>
                <w:lang w:val="en-US" w:eastAsia="zh-CN"/>
              </w:rPr>
              <w:t>/h)</w:t>
            </w:r>
          </w:p>
        </w:tc>
        <w:tc>
          <w:tcPr>
            <w:tcW w:w="106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有组织</w:t>
            </w:r>
          </w:p>
        </w:tc>
        <w:tc>
          <w:tcPr>
            <w:tcW w:w="58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无组织</w:t>
            </w:r>
          </w:p>
        </w:tc>
        <w:tc>
          <w:tcPr>
            <w:tcW w:w="28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排放时间</w:t>
            </w:r>
            <w:r>
              <w:rPr>
                <w:lang w:val="en-US" w:eastAsia="zh-CN"/>
              </w:rPr>
              <w:t>(h)</w:t>
            </w: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kg/h</w:t>
            </w:r>
          </w:p>
        </w:tc>
        <w:tc>
          <w:tcPr>
            <w:tcW w:w="2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mg/m</w:t>
            </w:r>
            <w:r>
              <w:rPr>
                <w:vertAlign w:val="superscript"/>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mg/</w:t>
            </w:r>
            <w:r>
              <w:rPr>
                <w:lang w:val="en-US" w:eastAsia="zh-CN"/>
              </w:rPr>
              <w:t>m</w:t>
            </w:r>
            <w:r>
              <w:rPr>
                <w:vertAlign w:val="superscript"/>
                <w:lang w:val="en-US" w:eastAsia="zh-CN"/>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k</w:t>
            </w:r>
            <w:r>
              <w:rPr>
                <w:lang w:val="en-US" w:eastAsia="zh-CN"/>
              </w:rPr>
              <w:t>g/h</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eastAsia"/>
                <w:lang w:val="en-US" w:eastAsia="zh-CN"/>
              </w:rPr>
              <w:t>kg</w:t>
            </w:r>
            <w:r>
              <w:rPr>
                <w:rFonts w:hint="default"/>
                <w:lang w:val="en-US" w:eastAsia="zh-CN"/>
              </w:rPr>
              <w:t>/a</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k</w:t>
            </w:r>
            <w:r>
              <w:rPr>
                <w:lang w:val="en-US" w:eastAsia="zh-CN"/>
              </w:rPr>
              <w:t>g/h</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eastAsia"/>
                <w:lang w:val="en-US" w:eastAsia="zh-CN"/>
              </w:rPr>
              <w:t>kg</w:t>
            </w:r>
            <w:r>
              <w:rPr>
                <w:rFonts w:hint="default"/>
                <w:lang w:val="en-US" w:eastAsia="zh-CN"/>
              </w:rPr>
              <w:t>/a</w:t>
            </w:r>
          </w:p>
        </w:tc>
        <w:tc>
          <w:tcPr>
            <w:tcW w:w="28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p>
        </w:tc>
        <w:tc>
          <w:tcPr>
            <w:tcW w:w="2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槽罐车内残留废气</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VOCs</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产污系数法</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205.175 </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0.95</w:t>
            </w:r>
          </w:p>
        </w:tc>
        <w:tc>
          <w:tcPr>
            <w:tcW w:w="28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碱喷淋+干式过滤棉+二级蜂窝状活性炭</w:t>
            </w: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6100</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43.202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0.264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17.079 </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0.139 </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10.259 </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90</w:t>
            </w:r>
          </w:p>
        </w:tc>
        <w:tc>
          <w:tcPr>
            <w:tcW w:w="2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DA001</w:t>
            </w: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3.4</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硫酸</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产污系数法</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194.400 </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0.95</w:t>
            </w: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0.995</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6100</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7.569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0.046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0.923 </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0.486 </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9.720 </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20</w:t>
            </w: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硝酸</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产污系数法</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146.768 </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0.95</w:t>
            </w: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0.995</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6100</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7.619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0.046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0.697 </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0.489 </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7.338 </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15</w:t>
            </w: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0.77</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氢氟酸</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产污系数法</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55.880 </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0.95</w:t>
            </w: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0.995</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6100</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4.351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0.027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0.265 </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0.279 </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2.794 </w:t>
            </w:r>
          </w:p>
        </w:tc>
        <w:tc>
          <w:tcPr>
            <w:tcW w:w="28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10</w:t>
            </w: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0.1</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盐酸</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产污系数法</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rFonts w:hint="eastAsia"/>
              </w:rPr>
            </w:pPr>
            <w:r>
              <w:rPr>
                <w:rFonts w:hint="eastAsia"/>
                <w:lang w:val="en-US" w:eastAsia="zh-CN"/>
              </w:rPr>
              <w:t xml:space="preserve">70.560 </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0.95</w:t>
            </w: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rFonts w:hint="eastAsia"/>
              </w:rPr>
            </w:pPr>
            <w:r>
              <w:rPr>
                <w:rFonts w:hint="eastAsia"/>
                <w:lang w:val="en-US" w:eastAsia="zh-CN"/>
              </w:rPr>
              <w:t>0.995</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6100</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5.494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0.034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0.335 </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0.353 </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3.528 </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rFonts w:hint="eastAsia"/>
              </w:rPr>
            </w:pPr>
            <w:r>
              <w:rPr>
                <w:rFonts w:hint="eastAsia"/>
                <w:lang w:val="en-US" w:eastAsia="zh-CN"/>
              </w:rPr>
              <w:t>10</w:t>
            </w: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0.26</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二硫化碳</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产污系数法</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rFonts w:hint="eastAsia"/>
              </w:rPr>
            </w:pPr>
            <w:r>
              <w:rPr>
                <w:rFonts w:hint="eastAsia"/>
                <w:lang w:val="en-US" w:eastAsia="zh-CN"/>
              </w:rPr>
              <w:t xml:space="preserve">19.614 </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0.95</w:t>
            </w: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rFonts w:hint="eastAsia"/>
              </w:rPr>
            </w:pPr>
            <w:r>
              <w:rPr>
                <w:rFonts w:hint="eastAsia"/>
                <w:lang w:val="en-US" w:eastAsia="zh-CN"/>
              </w:rPr>
              <w:t>0.9</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6100</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30.546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0.186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1.863 </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0.098 </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0.981 </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rFonts w:hint="eastAsia"/>
              </w:rPr>
            </w:pPr>
            <w:r>
              <w:rPr>
                <w:rFonts w:hint="eastAsia"/>
                <w:lang w:val="en-US" w:eastAsia="zh-CN"/>
              </w:rPr>
              <w:t>10</w:t>
            </w: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1.5</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2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氨</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r>
              <w:rPr>
                <w:rFonts w:hint="eastAsia"/>
                <w:lang w:val="en-US" w:eastAsia="zh-CN"/>
              </w:rPr>
              <w:t>产污系数法</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rFonts w:hint="eastAsia"/>
              </w:rPr>
            </w:pPr>
            <w:r>
              <w:rPr>
                <w:rFonts w:hint="eastAsia"/>
                <w:lang w:val="en-US" w:eastAsia="zh-CN"/>
              </w:rPr>
              <w:t xml:space="preserve">56.976 </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0.95</w:t>
            </w:r>
          </w:p>
        </w:tc>
        <w:tc>
          <w:tcPr>
            <w:tcW w:w="28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rPr>
            </w:pP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rFonts w:hint="eastAsia"/>
              </w:rPr>
            </w:pPr>
            <w:r>
              <w:rPr>
                <w:rFonts w:hint="eastAsia"/>
                <w:lang w:val="en-US" w:eastAsia="zh-CN"/>
              </w:rPr>
              <w:t>0.94</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6100</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40.323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0.246 </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3.248 </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0.216 </w:t>
            </w:r>
          </w:p>
        </w:tc>
        <w:tc>
          <w:tcPr>
            <w:tcW w:w="301"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 xml:space="preserve">2.849 </w:t>
            </w:r>
          </w:p>
        </w:tc>
        <w:tc>
          <w:tcPr>
            <w:tcW w:w="2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22"/>
              <w:bidi w:val="0"/>
              <w:rPr>
                <w:rFonts w:hint="eastAsia"/>
              </w:rPr>
            </w:pPr>
            <w:r>
              <w:rPr>
                <w:rFonts w:hint="eastAsia"/>
                <w:lang w:val="en-US" w:eastAsia="zh-CN"/>
              </w:rPr>
              <w:t>15</w:t>
            </w:r>
          </w:p>
        </w:tc>
        <w:tc>
          <w:tcPr>
            <w:tcW w:w="2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p>
        </w:tc>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4.9</w:t>
            </w:r>
          </w:p>
        </w:tc>
        <w:tc>
          <w:tcPr>
            <w:tcW w:w="293"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default"/>
              </w:rPr>
            </w:pPr>
            <w:r>
              <w:rPr>
                <w:rFonts w:hint="default"/>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trPr>
        <w:tc>
          <w:tcPr>
            <w:tcW w:w="5000" w:type="pct"/>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pStyle w:val="22"/>
              <w:bidi w:val="0"/>
              <w:rPr>
                <w:rFonts w:hint="eastAsia"/>
                <w:lang w:val="en-US" w:eastAsia="zh-CN"/>
              </w:rPr>
            </w:pPr>
            <w:r>
              <w:rPr>
                <w:rFonts w:hint="eastAsia"/>
                <w:lang w:val="en-US" w:eastAsia="zh-CN"/>
              </w:rPr>
              <w:t>注：本项目同一时间只清洗1辆运输车，在清洗危化品罐车车辆时，由于危化品罐车运输物质不同，在清洗时有机废气产生浓度、产生速</w:t>
            </w:r>
          </w:p>
          <w:p>
            <w:pPr>
              <w:pStyle w:val="22"/>
              <w:bidi w:val="0"/>
              <w:rPr>
                <w:rFonts w:hint="default"/>
                <w:lang w:val="en-US" w:eastAsia="zh-CN"/>
              </w:rPr>
            </w:pPr>
            <w:r>
              <w:rPr>
                <w:rFonts w:hint="eastAsia"/>
                <w:lang w:val="en-US" w:eastAsia="zh-CN"/>
              </w:rPr>
              <w:t>率均不相同，表格中VOCs取最高排放速率；VOCs标准为</w:t>
            </w:r>
            <w:r>
              <w:rPr>
                <w:rFonts w:hint="default"/>
                <w:lang w:eastAsia="zh-CN"/>
              </w:rPr>
              <w:t>《四川省固定污染源大气挥发性有机物排放标准》(DB51/2377-2017)</w:t>
            </w:r>
            <w:r>
              <w:rPr>
                <w:rFonts w:hint="eastAsia"/>
                <w:lang w:eastAsia="zh-CN"/>
              </w:rPr>
              <w:t>；</w:t>
            </w:r>
            <w:r>
              <w:rPr>
                <w:rFonts w:hint="eastAsia"/>
                <w:lang w:val="en-US" w:eastAsia="zh-CN"/>
              </w:rPr>
              <w:t>硫酸、硝酸、氢氟酸、盐酸执行</w:t>
            </w:r>
            <w:r>
              <w:rPr>
                <w:rFonts w:hint="eastAsia" w:ascii="Times New Roman" w:hAnsi="Times New Roman" w:cs="Times New Roman"/>
                <w:lang w:val="en-US" w:eastAsia="zh-CN"/>
              </w:rPr>
              <w:t>《大气污染物综合排放标准》（GB162997-1996）二级标准限值</w:t>
            </w:r>
            <w:r>
              <w:rPr>
                <w:rFonts w:hint="eastAsia" w:cs="Times New Roman"/>
                <w:lang w:val="en-US" w:eastAsia="zh-CN"/>
              </w:rPr>
              <w:t>；二硫化碳、氨执行</w:t>
            </w:r>
            <w:r>
              <w:rPr>
                <w:rFonts w:hint="eastAsia" w:ascii="Times New Roman" w:hAnsi="Times New Roman" w:cs="Times New Roman"/>
                <w:lang w:val="en-US" w:eastAsia="zh-CN"/>
              </w:rPr>
              <w:t>《恶臭污染物排放标准》（GB14554-93）</w:t>
            </w:r>
          </w:p>
        </w:tc>
      </w:tr>
    </w:tbl>
    <w:p>
      <w:pPr>
        <w:rPr>
          <w:rFonts w:hint="eastAsia" w:ascii="Times New Roman" w:hAnsi="Times New Roman" w:cs="Times New Roman"/>
          <w:lang w:eastAsia="zh-CN"/>
        </w:rPr>
      </w:pPr>
      <w:r>
        <w:rPr>
          <w:rFonts w:hint="eastAsia" w:ascii="Times New Roman" w:hAnsi="Times New Roman" w:cs="Times New Roman"/>
          <w:lang w:val="en-US" w:eastAsia="zh-CN"/>
        </w:rPr>
        <w:t>综上可知：</w:t>
      </w:r>
      <w:r>
        <w:rPr>
          <w:rFonts w:hint="default" w:ascii="Times New Roman" w:hAnsi="Times New Roman" w:cs="Times New Roman"/>
          <w:lang w:eastAsia="zh-CN"/>
        </w:rPr>
        <w:t>罐体残留废气经</w:t>
      </w:r>
      <w:r>
        <w:rPr>
          <w:rFonts w:hint="eastAsia" w:ascii="Times New Roman" w:hAnsi="Times New Roman" w:cs="Times New Roman"/>
          <w:lang w:eastAsia="zh-CN"/>
        </w:rPr>
        <w:t>“</w:t>
      </w:r>
      <w:r>
        <w:rPr>
          <w:rFonts w:hint="eastAsia" w:ascii="Times New Roman" w:hAnsi="Times New Roman" w:cs="Times New Roman"/>
          <w:lang w:val="en-US" w:eastAsia="zh-CN"/>
        </w:rPr>
        <w:t>碱喷淋+干式过滤棉+二级蜂窝状活性炭</w:t>
      </w:r>
      <w:r>
        <w:rPr>
          <w:rFonts w:hint="eastAsia" w:ascii="Times New Roman" w:hAnsi="Times New Roman" w:cs="Times New Roman"/>
          <w:lang w:eastAsia="zh-CN"/>
        </w:rPr>
        <w:t>”</w:t>
      </w:r>
      <w:r>
        <w:rPr>
          <w:rFonts w:hint="default" w:ascii="Times New Roman" w:hAnsi="Times New Roman" w:cs="Times New Roman"/>
          <w:lang w:eastAsia="zh-CN"/>
        </w:rPr>
        <w:t>处理后经15m排气筒DA001排放</w:t>
      </w:r>
      <w:r>
        <w:rPr>
          <w:rFonts w:hint="eastAsia" w:ascii="Times New Roman" w:hAnsi="Times New Roman" w:cs="Times New Roman"/>
          <w:lang w:val="en-US" w:eastAsia="zh-CN"/>
        </w:rPr>
        <w:t>时各污染物</w:t>
      </w:r>
      <w:r>
        <w:rPr>
          <w:rFonts w:hint="eastAsia" w:cs="Times New Roman"/>
          <w:lang w:val="en-US" w:eastAsia="zh-CN"/>
        </w:rPr>
        <w:t>能做到达标排放。</w:t>
      </w: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pPr>
    </w:p>
    <w:p>
      <w:pPr>
        <w:adjustRightInd w:val="0"/>
        <w:snapToGrid w:val="0"/>
        <w:spacing w:line="360" w:lineRule="auto"/>
        <w:rPr>
          <w:rFonts w:hint="eastAsia"/>
          <w:lang w:val="en-US" w:eastAsia="zh-CN"/>
        </w:rPr>
        <w:sectPr>
          <w:pgSz w:w="16840" w:h="11907" w:orient="landscape"/>
          <w:pgMar w:top="1531" w:right="1701" w:bottom="1531" w:left="2127" w:header="851" w:footer="851" w:gutter="0"/>
          <w:pgNumType w:fmt="decimal"/>
          <w:cols w:space="720" w:num="1"/>
          <w:docGrid w:linePitch="312" w:charSpace="0"/>
        </w:sectPr>
      </w:pPr>
    </w:p>
    <w:tbl>
      <w:tblPr>
        <w:tblStyle w:val="16"/>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6"/>
        <w:gridCol w:w="8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86" w:type="dxa"/>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szCs w:val="21"/>
              </w:rPr>
            </w:pPr>
            <w:r>
              <w:rPr>
                <w:rFonts w:hint="default" w:ascii="Times New Roman" w:hAnsi="Times New Roman" w:cs="Times New Roman"/>
                <w:bCs/>
                <w:szCs w:val="21"/>
              </w:rPr>
              <w:t>运营期环境影响和保护措施</w:t>
            </w:r>
          </w:p>
        </w:tc>
        <w:tc>
          <w:tcPr>
            <w:tcW w:w="8395" w:type="dxa"/>
            <w:noWrap w:val="0"/>
            <w:vAlign w:val="top"/>
          </w:tcPr>
          <w:p>
            <w:pPr>
              <w:rPr>
                <w:rFonts w:hint="default" w:ascii="Times New Roman" w:hAnsi="Times New Roman" w:cs="Times New Roman"/>
                <w:b/>
                <w:bCs/>
                <w:lang w:eastAsia="zh-CN"/>
              </w:rPr>
            </w:pPr>
            <w:r>
              <w:rPr>
                <w:rFonts w:hint="eastAsia" w:ascii="Times New Roman" w:hAnsi="Times New Roman" w:cs="Times New Roman"/>
                <w:b/>
                <w:bCs/>
                <w:lang w:eastAsia="zh-CN"/>
              </w:rPr>
              <w:t>（</w:t>
            </w:r>
            <w:r>
              <w:rPr>
                <w:rFonts w:hint="eastAsia" w:cs="Times New Roman"/>
                <w:b/>
                <w:bCs/>
                <w:lang w:val="en-US" w:eastAsia="zh-CN"/>
              </w:rPr>
              <w:t>5</w:t>
            </w:r>
            <w:r>
              <w:rPr>
                <w:rFonts w:hint="eastAsia" w:ascii="Times New Roman" w:hAnsi="Times New Roman" w:cs="Times New Roman"/>
                <w:b/>
                <w:bCs/>
                <w:lang w:eastAsia="zh-CN"/>
              </w:rPr>
              <w:t>）</w:t>
            </w:r>
            <w:r>
              <w:rPr>
                <w:rFonts w:hint="default" w:ascii="Times New Roman" w:hAnsi="Times New Roman" w:cs="Times New Roman"/>
                <w:b/>
                <w:bCs/>
                <w:lang w:eastAsia="zh-CN"/>
              </w:rPr>
              <w:t>非正常</w:t>
            </w:r>
            <w:r>
              <w:rPr>
                <w:rFonts w:hint="eastAsia" w:cs="Times New Roman"/>
                <w:b/>
                <w:bCs/>
                <w:lang w:eastAsia="zh-CN"/>
              </w:rPr>
              <w:t>工况</w:t>
            </w:r>
            <w:r>
              <w:rPr>
                <w:rFonts w:hint="default" w:ascii="Times New Roman" w:hAnsi="Times New Roman" w:cs="Times New Roman"/>
                <w:b/>
                <w:bCs/>
                <w:lang w:eastAsia="zh-CN"/>
              </w:rPr>
              <w:t>分析</w:t>
            </w:r>
          </w:p>
          <w:p>
            <w:pPr>
              <w:rPr>
                <w:rFonts w:hint="default" w:ascii="Times New Roman" w:hAnsi="Times New Roman" w:cs="Times New Roman"/>
                <w:lang w:eastAsia="zh-CN"/>
              </w:rPr>
            </w:pPr>
            <w:r>
              <w:rPr>
                <w:rFonts w:hint="default" w:ascii="Times New Roman" w:hAnsi="Times New Roman" w:cs="Times New Roman"/>
                <w:lang w:eastAsia="zh-CN"/>
              </w:rPr>
              <w:t>本项目废气排放非正常工况主要是指活性炭吸附装置故障，导致大气污染物瞬间增加的情况。对于活性炭吸附装置环保设施故障，污染物去除率将下降甚至完全失效，在失效情况下，排污量就等于污染物产生量。非正常排放源强如下表所示，</w:t>
            </w:r>
          </w:p>
          <w:p>
            <w:pPr>
              <w:pStyle w:val="26"/>
              <w:bidi w:val="0"/>
              <w:rPr>
                <w:rFonts w:hint="default"/>
                <w:lang w:eastAsia="zh-CN"/>
              </w:rPr>
            </w:pPr>
            <w:r>
              <w:rPr>
                <w:rFonts w:hint="default"/>
                <w:lang w:eastAsia="zh-CN"/>
              </w:rPr>
              <w:t>表 4.2-</w:t>
            </w:r>
            <w:r>
              <w:rPr>
                <w:rFonts w:hint="eastAsia"/>
                <w:lang w:val="en-US" w:eastAsia="zh-CN"/>
              </w:rPr>
              <w:t>9</w:t>
            </w:r>
            <w:r>
              <w:rPr>
                <w:rFonts w:hint="default"/>
                <w:lang w:eastAsia="zh-CN"/>
              </w:rPr>
              <w:t xml:space="preserve"> 废气非正常情况排放量核算表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81"/>
              <w:gridCol w:w="2000"/>
              <w:gridCol w:w="1230"/>
              <w:gridCol w:w="1083"/>
              <w:gridCol w:w="768"/>
              <w:gridCol w:w="675"/>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2" w:type="pct"/>
                  <w:noWrap w:val="0"/>
                  <w:vAlign w:val="center"/>
                </w:tcPr>
                <w:p>
                  <w:pPr>
                    <w:pStyle w:val="22"/>
                    <w:bidi w:val="0"/>
                    <w:rPr>
                      <w:rFonts w:hint="default"/>
                      <w:lang w:val="en-US" w:eastAsia="zh-CN"/>
                    </w:rPr>
                  </w:pPr>
                  <w:r>
                    <w:rPr>
                      <w:rFonts w:hint="eastAsia"/>
                      <w:lang w:val="en-US" w:eastAsia="zh-CN"/>
                    </w:rPr>
                    <w:t>污染源</w:t>
                  </w:r>
                </w:p>
              </w:tc>
              <w:tc>
                <w:tcPr>
                  <w:tcW w:w="478" w:type="pct"/>
                  <w:noWrap w:val="0"/>
                  <w:vAlign w:val="center"/>
                </w:tcPr>
                <w:p>
                  <w:pPr>
                    <w:pStyle w:val="22"/>
                    <w:bidi w:val="0"/>
                    <w:rPr>
                      <w:rFonts w:hint="default"/>
                      <w:lang w:val="en-US" w:eastAsia="zh-CN"/>
                    </w:rPr>
                  </w:pPr>
                  <w:r>
                    <w:rPr>
                      <w:rFonts w:hint="eastAsia"/>
                      <w:lang w:val="en-US" w:eastAsia="zh-CN"/>
                    </w:rPr>
                    <w:t>非正常情况</w:t>
                  </w:r>
                </w:p>
              </w:tc>
              <w:tc>
                <w:tcPr>
                  <w:tcW w:w="1224" w:type="pct"/>
                  <w:noWrap w:val="0"/>
                  <w:vAlign w:val="center"/>
                </w:tcPr>
                <w:p>
                  <w:pPr>
                    <w:pStyle w:val="22"/>
                    <w:bidi w:val="0"/>
                    <w:rPr>
                      <w:rFonts w:hint="default"/>
                      <w:lang w:val="en-US" w:eastAsia="zh-CN"/>
                    </w:rPr>
                  </w:pPr>
                  <w:r>
                    <w:rPr>
                      <w:rFonts w:hint="eastAsia"/>
                      <w:lang w:val="en-US" w:eastAsia="zh-CN"/>
                    </w:rPr>
                    <w:t>污染物</w:t>
                  </w:r>
                </w:p>
              </w:tc>
              <w:tc>
                <w:tcPr>
                  <w:tcW w:w="753" w:type="pct"/>
                  <w:noWrap w:val="0"/>
                  <w:vAlign w:val="center"/>
                </w:tcPr>
                <w:p>
                  <w:pPr>
                    <w:pStyle w:val="22"/>
                    <w:bidi w:val="0"/>
                    <w:rPr>
                      <w:rFonts w:hint="default"/>
                      <w:lang w:val="en-US" w:eastAsia="zh-CN"/>
                    </w:rPr>
                  </w:pPr>
                  <w:r>
                    <w:rPr>
                      <w:rFonts w:hint="eastAsia"/>
                      <w:lang w:val="en-US" w:eastAsia="zh-CN"/>
                    </w:rPr>
                    <w:t>非正常排放浓度（mg/m3）</w:t>
                  </w:r>
                </w:p>
              </w:tc>
              <w:tc>
                <w:tcPr>
                  <w:tcW w:w="663" w:type="pct"/>
                  <w:noWrap w:val="0"/>
                  <w:vAlign w:val="center"/>
                </w:tcPr>
                <w:p>
                  <w:pPr>
                    <w:pStyle w:val="22"/>
                    <w:bidi w:val="0"/>
                    <w:rPr>
                      <w:rFonts w:hint="default"/>
                      <w:lang w:val="en-US" w:eastAsia="zh-CN"/>
                    </w:rPr>
                  </w:pPr>
                  <w:r>
                    <w:rPr>
                      <w:rFonts w:hint="eastAsia"/>
                      <w:lang w:val="en-US" w:eastAsia="zh-CN"/>
                    </w:rPr>
                    <w:t>非正常排放速率（kg/h）</w:t>
                  </w:r>
                </w:p>
              </w:tc>
              <w:tc>
                <w:tcPr>
                  <w:tcW w:w="470" w:type="pct"/>
                  <w:noWrap w:val="0"/>
                  <w:vAlign w:val="center"/>
                </w:tcPr>
                <w:p>
                  <w:pPr>
                    <w:pStyle w:val="22"/>
                    <w:bidi w:val="0"/>
                    <w:rPr>
                      <w:rFonts w:hint="default"/>
                      <w:lang w:val="en-US" w:eastAsia="zh-CN"/>
                    </w:rPr>
                  </w:pPr>
                  <w:r>
                    <w:rPr>
                      <w:rFonts w:hint="eastAsia"/>
                      <w:lang w:val="en-US" w:eastAsia="zh-CN"/>
                    </w:rPr>
                    <w:t>单次持续时间/h</w:t>
                  </w:r>
                </w:p>
              </w:tc>
              <w:tc>
                <w:tcPr>
                  <w:tcW w:w="413" w:type="pct"/>
                  <w:noWrap w:val="0"/>
                  <w:vAlign w:val="center"/>
                </w:tcPr>
                <w:p>
                  <w:pPr>
                    <w:pStyle w:val="22"/>
                    <w:bidi w:val="0"/>
                    <w:rPr>
                      <w:rFonts w:hint="default"/>
                      <w:lang w:val="en-US" w:eastAsia="zh-CN"/>
                    </w:rPr>
                  </w:pPr>
                  <w:r>
                    <w:rPr>
                      <w:rFonts w:hint="eastAsia"/>
                      <w:lang w:val="en-US" w:eastAsia="zh-CN"/>
                    </w:rPr>
                    <w:t>年发生频次/年</w:t>
                  </w:r>
                </w:p>
              </w:tc>
              <w:tc>
                <w:tcPr>
                  <w:tcW w:w="614" w:type="pct"/>
                  <w:noWrap w:val="0"/>
                  <w:vAlign w:val="center"/>
                </w:tcPr>
                <w:p>
                  <w:pPr>
                    <w:pStyle w:val="22"/>
                    <w:bidi w:val="0"/>
                    <w:rPr>
                      <w:rFonts w:hint="default"/>
                      <w:lang w:val="en-US" w:eastAsia="zh-CN"/>
                    </w:rPr>
                  </w:pPr>
                  <w:r>
                    <w:rPr>
                      <w:rFonts w:hint="eastAsia"/>
                      <w:lang w:val="en-US" w:eastAsia="zh-CN"/>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restart"/>
                  <w:noWrap w:val="0"/>
                  <w:vAlign w:val="center"/>
                </w:tcPr>
                <w:p>
                  <w:pPr>
                    <w:pStyle w:val="22"/>
                    <w:bidi w:val="0"/>
                    <w:rPr>
                      <w:rFonts w:hint="default"/>
                      <w:lang w:val="en-US" w:eastAsia="zh-CN"/>
                    </w:rPr>
                  </w:pPr>
                  <w:r>
                    <w:rPr>
                      <w:rFonts w:hint="eastAsia"/>
                      <w:lang w:val="en-US" w:eastAsia="zh-CN"/>
                    </w:rPr>
                    <w:t>活性炭吸附装置</w:t>
                  </w:r>
                </w:p>
              </w:tc>
              <w:tc>
                <w:tcPr>
                  <w:tcW w:w="478" w:type="pct"/>
                  <w:vMerge w:val="restart"/>
                  <w:noWrap w:val="0"/>
                  <w:vAlign w:val="center"/>
                </w:tcPr>
                <w:p>
                  <w:pPr>
                    <w:pStyle w:val="22"/>
                    <w:bidi w:val="0"/>
                    <w:rPr>
                      <w:rFonts w:hint="default"/>
                      <w:lang w:val="en-US" w:eastAsia="zh-CN"/>
                    </w:rPr>
                  </w:pPr>
                  <w:r>
                    <w:rPr>
                      <w:rFonts w:hint="eastAsia"/>
                      <w:lang w:val="en-US" w:eastAsia="zh-CN"/>
                    </w:rPr>
                    <w:t>处理设施失效，废气未经处理直接排放</w:t>
                  </w:r>
                </w:p>
              </w:tc>
              <w:tc>
                <w:tcPr>
                  <w:tcW w:w="1224" w:type="pct"/>
                  <w:noWrap w:val="0"/>
                  <w:vAlign w:val="center"/>
                </w:tcPr>
                <w:p>
                  <w:pPr>
                    <w:pStyle w:val="22"/>
                    <w:bidi w:val="0"/>
                    <w:rPr>
                      <w:rFonts w:hint="default"/>
                      <w:lang w:eastAsia="zh-CN"/>
                    </w:rPr>
                  </w:pPr>
                  <w:r>
                    <w:rPr>
                      <w:rFonts w:hint="eastAsia"/>
                      <w:lang w:val="en-US" w:eastAsia="zh-CN"/>
                    </w:rPr>
                    <w:t>VOCs（混合一元醇）</w:t>
                  </w:r>
                </w:p>
              </w:tc>
              <w:tc>
                <w:tcPr>
                  <w:tcW w:w="753" w:type="pct"/>
                  <w:noWrap w:val="0"/>
                  <w:vAlign w:val="center"/>
                </w:tcPr>
                <w:p>
                  <w:pPr>
                    <w:pStyle w:val="22"/>
                    <w:bidi w:val="0"/>
                    <w:rPr>
                      <w:rFonts w:hint="default"/>
                      <w:lang w:val="en-US" w:eastAsia="zh-CN"/>
                    </w:rPr>
                  </w:pPr>
                  <w:r>
                    <w:rPr>
                      <w:rFonts w:hint="default"/>
                      <w:lang w:val="en-US" w:eastAsia="zh-CN"/>
                    </w:rPr>
                    <w:t xml:space="preserve">347.985 </w:t>
                  </w:r>
                </w:p>
              </w:tc>
              <w:tc>
                <w:tcPr>
                  <w:tcW w:w="663" w:type="pct"/>
                  <w:noWrap w:val="0"/>
                  <w:vAlign w:val="center"/>
                </w:tcPr>
                <w:p>
                  <w:pPr>
                    <w:pStyle w:val="22"/>
                    <w:bidi w:val="0"/>
                    <w:rPr>
                      <w:rFonts w:hint="default"/>
                      <w:lang w:val="en-US" w:eastAsia="zh-CN"/>
                    </w:rPr>
                  </w:pPr>
                  <w:r>
                    <w:rPr>
                      <w:rFonts w:hint="default"/>
                      <w:lang w:val="en-US" w:eastAsia="zh-CN"/>
                    </w:rPr>
                    <w:t xml:space="preserve">2.784 </w:t>
                  </w:r>
                </w:p>
              </w:tc>
              <w:tc>
                <w:tcPr>
                  <w:tcW w:w="470" w:type="pct"/>
                  <w:vMerge w:val="restart"/>
                  <w:noWrap w:val="0"/>
                  <w:vAlign w:val="center"/>
                </w:tcPr>
                <w:p>
                  <w:pPr>
                    <w:pStyle w:val="22"/>
                    <w:bidi w:val="0"/>
                    <w:rPr>
                      <w:rFonts w:hint="default"/>
                      <w:lang w:val="en-US" w:eastAsia="zh-CN"/>
                    </w:rPr>
                  </w:pPr>
                  <w:r>
                    <w:rPr>
                      <w:rFonts w:hint="eastAsia"/>
                      <w:lang w:val="en-US" w:eastAsia="zh-CN"/>
                    </w:rPr>
                    <w:t>≤1</w:t>
                  </w:r>
                </w:p>
              </w:tc>
              <w:tc>
                <w:tcPr>
                  <w:tcW w:w="413" w:type="pct"/>
                  <w:vMerge w:val="restart"/>
                  <w:noWrap w:val="0"/>
                  <w:vAlign w:val="center"/>
                </w:tcPr>
                <w:p>
                  <w:pPr>
                    <w:pStyle w:val="22"/>
                    <w:bidi w:val="0"/>
                    <w:rPr>
                      <w:rFonts w:hint="default"/>
                      <w:lang w:eastAsia="zh-CN"/>
                    </w:rPr>
                  </w:pPr>
                  <w:r>
                    <w:rPr>
                      <w:rFonts w:hint="eastAsia"/>
                      <w:lang w:val="en-US" w:eastAsia="zh-CN"/>
                    </w:rPr>
                    <w:t>≤1</w:t>
                  </w:r>
                </w:p>
              </w:tc>
              <w:tc>
                <w:tcPr>
                  <w:tcW w:w="614" w:type="pct"/>
                  <w:vMerge w:val="restart"/>
                  <w:noWrap w:val="0"/>
                  <w:vAlign w:val="center"/>
                </w:tcPr>
                <w:p>
                  <w:pPr>
                    <w:pStyle w:val="22"/>
                    <w:bidi w:val="0"/>
                    <w:rPr>
                      <w:rFonts w:hint="default"/>
                      <w:lang w:val="en-US" w:eastAsia="zh-CN"/>
                    </w:rPr>
                  </w:pPr>
                  <w:r>
                    <w:rPr>
                      <w:rFonts w:hint="eastAsia"/>
                      <w:lang w:val="en-US" w:eastAsia="zh-CN"/>
                    </w:rPr>
                    <w:t>加强管理，发生事故排放时立即停止清洗，并进行维修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continue"/>
                  <w:noWrap w:val="0"/>
                  <w:vAlign w:val="center"/>
                </w:tcPr>
                <w:p>
                  <w:pPr>
                    <w:pStyle w:val="22"/>
                    <w:bidi w:val="0"/>
                    <w:rPr>
                      <w:rFonts w:hint="default"/>
                      <w:lang w:eastAsia="zh-CN"/>
                    </w:rPr>
                  </w:pPr>
                </w:p>
              </w:tc>
              <w:tc>
                <w:tcPr>
                  <w:tcW w:w="478" w:type="pct"/>
                  <w:vMerge w:val="continue"/>
                  <w:noWrap w:val="0"/>
                  <w:vAlign w:val="center"/>
                </w:tcPr>
                <w:p>
                  <w:pPr>
                    <w:pStyle w:val="22"/>
                    <w:bidi w:val="0"/>
                    <w:rPr>
                      <w:rFonts w:hint="default"/>
                      <w:lang w:eastAsia="zh-CN"/>
                    </w:rPr>
                  </w:pPr>
                </w:p>
              </w:tc>
              <w:tc>
                <w:tcPr>
                  <w:tcW w:w="1224" w:type="pct"/>
                  <w:noWrap w:val="0"/>
                  <w:vAlign w:val="center"/>
                </w:tcPr>
                <w:p>
                  <w:pPr>
                    <w:pStyle w:val="22"/>
                    <w:bidi w:val="0"/>
                    <w:rPr>
                      <w:rFonts w:hint="default"/>
                      <w:lang w:eastAsia="zh-CN"/>
                    </w:rPr>
                  </w:pPr>
                  <w:r>
                    <w:rPr>
                      <w:rFonts w:hint="default"/>
                      <w:lang w:val="en-US" w:eastAsia="zh-CN"/>
                    </w:rPr>
                    <w:t>硫酸</w:t>
                  </w:r>
                </w:p>
              </w:tc>
              <w:tc>
                <w:tcPr>
                  <w:tcW w:w="753" w:type="pct"/>
                  <w:noWrap w:val="0"/>
                  <w:vAlign w:val="center"/>
                </w:tcPr>
                <w:p>
                  <w:pPr>
                    <w:pStyle w:val="22"/>
                    <w:bidi w:val="0"/>
                    <w:rPr>
                      <w:rFonts w:hint="default"/>
                      <w:lang w:val="en-US" w:eastAsia="zh-CN"/>
                    </w:rPr>
                  </w:pPr>
                  <w:r>
                    <w:rPr>
                      <w:rFonts w:hint="default"/>
                      <w:lang w:val="en-US" w:eastAsia="zh-CN"/>
                    </w:rPr>
                    <w:t>1154.25</w:t>
                  </w:r>
                </w:p>
              </w:tc>
              <w:tc>
                <w:tcPr>
                  <w:tcW w:w="663" w:type="pct"/>
                  <w:noWrap w:val="0"/>
                  <w:vAlign w:val="center"/>
                </w:tcPr>
                <w:p>
                  <w:pPr>
                    <w:pStyle w:val="22"/>
                    <w:bidi w:val="0"/>
                    <w:rPr>
                      <w:rFonts w:hint="default"/>
                      <w:lang w:val="en-US" w:eastAsia="zh-CN"/>
                    </w:rPr>
                  </w:pPr>
                  <w:r>
                    <w:rPr>
                      <w:rFonts w:hint="default"/>
                      <w:lang w:val="en-US" w:eastAsia="zh-CN"/>
                    </w:rPr>
                    <w:t xml:space="preserve">9.234 </w:t>
                  </w:r>
                </w:p>
              </w:tc>
              <w:tc>
                <w:tcPr>
                  <w:tcW w:w="470" w:type="pct"/>
                  <w:vMerge w:val="continue"/>
                  <w:noWrap w:val="0"/>
                  <w:vAlign w:val="center"/>
                </w:tcPr>
                <w:p>
                  <w:pPr>
                    <w:pStyle w:val="22"/>
                    <w:bidi w:val="0"/>
                    <w:rPr>
                      <w:rFonts w:hint="default"/>
                      <w:lang w:eastAsia="zh-CN"/>
                    </w:rPr>
                  </w:pPr>
                </w:p>
              </w:tc>
              <w:tc>
                <w:tcPr>
                  <w:tcW w:w="413" w:type="pct"/>
                  <w:vMerge w:val="continue"/>
                  <w:noWrap w:val="0"/>
                  <w:vAlign w:val="center"/>
                </w:tcPr>
                <w:p>
                  <w:pPr>
                    <w:pStyle w:val="22"/>
                    <w:bidi w:val="0"/>
                    <w:rPr>
                      <w:rFonts w:hint="default"/>
                      <w:lang w:eastAsia="zh-CN"/>
                    </w:rPr>
                  </w:pPr>
                </w:p>
              </w:tc>
              <w:tc>
                <w:tcPr>
                  <w:tcW w:w="614" w:type="pct"/>
                  <w:vMerge w:val="continue"/>
                  <w:noWrap w:val="0"/>
                  <w:vAlign w:val="center"/>
                </w:tcPr>
                <w:p>
                  <w:pPr>
                    <w:pStyle w:val="22"/>
                    <w:bidi w:val="0"/>
                    <w:rPr>
                      <w:rFonts w:hint="default"/>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continue"/>
                  <w:noWrap w:val="0"/>
                  <w:vAlign w:val="center"/>
                </w:tcPr>
                <w:p>
                  <w:pPr>
                    <w:pStyle w:val="22"/>
                    <w:bidi w:val="0"/>
                    <w:rPr>
                      <w:rFonts w:hint="default"/>
                      <w:lang w:eastAsia="zh-CN"/>
                    </w:rPr>
                  </w:pPr>
                </w:p>
              </w:tc>
              <w:tc>
                <w:tcPr>
                  <w:tcW w:w="478" w:type="pct"/>
                  <w:vMerge w:val="continue"/>
                  <w:noWrap w:val="0"/>
                  <w:vAlign w:val="center"/>
                </w:tcPr>
                <w:p>
                  <w:pPr>
                    <w:pStyle w:val="22"/>
                    <w:bidi w:val="0"/>
                    <w:rPr>
                      <w:rFonts w:hint="default"/>
                      <w:lang w:eastAsia="zh-CN"/>
                    </w:rPr>
                  </w:pPr>
                </w:p>
              </w:tc>
              <w:tc>
                <w:tcPr>
                  <w:tcW w:w="1224" w:type="pct"/>
                  <w:noWrap w:val="0"/>
                  <w:vAlign w:val="center"/>
                </w:tcPr>
                <w:p>
                  <w:pPr>
                    <w:pStyle w:val="22"/>
                    <w:bidi w:val="0"/>
                    <w:rPr>
                      <w:rFonts w:hint="default"/>
                      <w:lang w:eastAsia="zh-CN"/>
                    </w:rPr>
                  </w:pPr>
                  <w:r>
                    <w:rPr>
                      <w:rFonts w:hint="default"/>
                      <w:lang w:val="en-US" w:eastAsia="zh-CN"/>
                    </w:rPr>
                    <w:t>硝酸</w:t>
                  </w:r>
                </w:p>
              </w:tc>
              <w:tc>
                <w:tcPr>
                  <w:tcW w:w="753" w:type="pct"/>
                  <w:noWrap w:val="0"/>
                  <w:vAlign w:val="center"/>
                </w:tcPr>
                <w:p>
                  <w:pPr>
                    <w:pStyle w:val="22"/>
                    <w:bidi w:val="0"/>
                    <w:rPr>
                      <w:rFonts w:hint="default"/>
                      <w:lang w:val="en-US" w:eastAsia="zh-CN"/>
                    </w:rPr>
                  </w:pPr>
                  <w:r>
                    <w:rPr>
                      <w:rFonts w:hint="default"/>
                      <w:lang w:val="en-US" w:eastAsia="zh-CN"/>
                    </w:rPr>
                    <w:t xml:space="preserve">1161.913 </w:t>
                  </w:r>
                </w:p>
              </w:tc>
              <w:tc>
                <w:tcPr>
                  <w:tcW w:w="663" w:type="pct"/>
                  <w:noWrap w:val="0"/>
                  <w:vAlign w:val="center"/>
                </w:tcPr>
                <w:p>
                  <w:pPr>
                    <w:pStyle w:val="22"/>
                    <w:bidi w:val="0"/>
                    <w:rPr>
                      <w:rFonts w:hint="default"/>
                      <w:lang w:val="en-US" w:eastAsia="zh-CN"/>
                    </w:rPr>
                  </w:pPr>
                  <w:r>
                    <w:rPr>
                      <w:rFonts w:hint="default"/>
                      <w:lang w:val="en-US" w:eastAsia="zh-CN"/>
                    </w:rPr>
                    <w:t xml:space="preserve">9.295 </w:t>
                  </w:r>
                </w:p>
              </w:tc>
              <w:tc>
                <w:tcPr>
                  <w:tcW w:w="470" w:type="pct"/>
                  <w:vMerge w:val="continue"/>
                  <w:noWrap w:val="0"/>
                  <w:vAlign w:val="center"/>
                </w:tcPr>
                <w:p>
                  <w:pPr>
                    <w:pStyle w:val="22"/>
                    <w:bidi w:val="0"/>
                    <w:rPr>
                      <w:rFonts w:hint="default"/>
                      <w:lang w:eastAsia="zh-CN"/>
                    </w:rPr>
                  </w:pPr>
                </w:p>
              </w:tc>
              <w:tc>
                <w:tcPr>
                  <w:tcW w:w="413" w:type="pct"/>
                  <w:vMerge w:val="continue"/>
                  <w:noWrap w:val="0"/>
                  <w:vAlign w:val="center"/>
                </w:tcPr>
                <w:p>
                  <w:pPr>
                    <w:pStyle w:val="22"/>
                    <w:bidi w:val="0"/>
                    <w:rPr>
                      <w:rFonts w:hint="default"/>
                      <w:lang w:eastAsia="zh-CN"/>
                    </w:rPr>
                  </w:pPr>
                </w:p>
              </w:tc>
              <w:tc>
                <w:tcPr>
                  <w:tcW w:w="614" w:type="pct"/>
                  <w:vMerge w:val="continue"/>
                  <w:noWrap w:val="0"/>
                  <w:vAlign w:val="center"/>
                </w:tcPr>
                <w:p>
                  <w:pPr>
                    <w:pStyle w:val="22"/>
                    <w:bidi w:val="0"/>
                    <w:rPr>
                      <w:rFonts w:hint="default"/>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continue"/>
                  <w:noWrap w:val="0"/>
                  <w:vAlign w:val="center"/>
                </w:tcPr>
                <w:p>
                  <w:pPr>
                    <w:pStyle w:val="22"/>
                    <w:bidi w:val="0"/>
                    <w:rPr>
                      <w:rFonts w:hint="default"/>
                      <w:lang w:eastAsia="zh-CN"/>
                    </w:rPr>
                  </w:pPr>
                </w:p>
              </w:tc>
              <w:tc>
                <w:tcPr>
                  <w:tcW w:w="478" w:type="pct"/>
                  <w:vMerge w:val="continue"/>
                  <w:noWrap w:val="0"/>
                  <w:vAlign w:val="center"/>
                </w:tcPr>
                <w:p>
                  <w:pPr>
                    <w:pStyle w:val="22"/>
                    <w:bidi w:val="0"/>
                    <w:rPr>
                      <w:rFonts w:hint="default"/>
                      <w:lang w:eastAsia="zh-CN"/>
                    </w:rPr>
                  </w:pPr>
                </w:p>
              </w:tc>
              <w:tc>
                <w:tcPr>
                  <w:tcW w:w="1224" w:type="pct"/>
                  <w:noWrap w:val="0"/>
                  <w:vAlign w:val="center"/>
                </w:tcPr>
                <w:p>
                  <w:pPr>
                    <w:pStyle w:val="22"/>
                    <w:bidi w:val="0"/>
                    <w:rPr>
                      <w:rFonts w:hint="default"/>
                      <w:lang w:eastAsia="zh-CN"/>
                    </w:rPr>
                  </w:pPr>
                  <w:r>
                    <w:rPr>
                      <w:rFonts w:hint="default"/>
                      <w:lang w:val="en-US" w:eastAsia="zh-CN"/>
                    </w:rPr>
                    <w:t>二硫化碳</w:t>
                  </w:r>
                </w:p>
              </w:tc>
              <w:tc>
                <w:tcPr>
                  <w:tcW w:w="753" w:type="pct"/>
                  <w:noWrap w:val="0"/>
                  <w:vAlign w:val="center"/>
                </w:tcPr>
                <w:p>
                  <w:pPr>
                    <w:pStyle w:val="22"/>
                    <w:bidi w:val="0"/>
                    <w:rPr>
                      <w:rFonts w:hint="default"/>
                      <w:lang w:val="en-US" w:eastAsia="zh-CN"/>
                    </w:rPr>
                  </w:pPr>
                  <w:r>
                    <w:rPr>
                      <w:rFonts w:hint="default"/>
                      <w:lang w:val="en-US" w:eastAsia="zh-CN"/>
                    </w:rPr>
                    <w:t xml:space="preserve">232.915 </w:t>
                  </w:r>
                </w:p>
              </w:tc>
              <w:tc>
                <w:tcPr>
                  <w:tcW w:w="663" w:type="pct"/>
                  <w:noWrap w:val="0"/>
                  <w:vAlign w:val="center"/>
                </w:tcPr>
                <w:p>
                  <w:pPr>
                    <w:pStyle w:val="22"/>
                    <w:bidi w:val="0"/>
                    <w:rPr>
                      <w:rFonts w:hint="default"/>
                      <w:lang w:val="en-US" w:eastAsia="zh-CN"/>
                    </w:rPr>
                  </w:pPr>
                  <w:r>
                    <w:rPr>
                      <w:rFonts w:hint="default"/>
                      <w:lang w:val="en-US" w:eastAsia="zh-CN"/>
                    </w:rPr>
                    <w:t xml:space="preserve">1.863 </w:t>
                  </w:r>
                </w:p>
              </w:tc>
              <w:tc>
                <w:tcPr>
                  <w:tcW w:w="470" w:type="pct"/>
                  <w:vMerge w:val="continue"/>
                  <w:noWrap w:val="0"/>
                  <w:vAlign w:val="center"/>
                </w:tcPr>
                <w:p>
                  <w:pPr>
                    <w:pStyle w:val="22"/>
                    <w:bidi w:val="0"/>
                    <w:rPr>
                      <w:rFonts w:hint="default"/>
                      <w:lang w:eastAsia="zh-CN"/>
                    </w:rPr>
                  </w:pPr>
                </w:p>
              </w:tc>
              <w:tc>
                <w:tcPr>
                  <w:tcW w:w="413" w:type="pct"/>
                  <w:vMerge w:val="continue"/>
                  <w:noWrap w:val="0"/>
                  <w:vAlign w:val="center"/>
                </w:tcPr>
                <w:p>
                  <w:pPr>
                    <w:pStyle w:val="22"/>
                    <w:bidi w:val="0"/>
                    <w:rPr>
                      <w:rFonts w:hint="default"/>
                      <w:lang w:eastAsia="zh-CN"/>
                    </w:rPr>
                  </w:pPr>
                </w:p>
              </w:tc>
              <w:tc>
                <w:tcPr>
                  <w:tcW w:w="614" w:type="pct"/>
                  <w:vMerge w:val="continue"/>
                  <w:noWrap w:val="0"/>
                  <w:vAlign w:val="center"/>
                </w:tcPr>
                <w:p>
                  <w:pPr>
                    <w:pStyle w:val="22"/>
                    <w:bidi w:val="0"/>
                    <w:rPr>
                      <w:rFonts w:hint="default"/>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continue"/>
                  <w:noWrap w:val="0"/>
                  <w:vAlign w:val="center"/>
                </w:tcPr>
                <w:p>
                  <w:pPr>
                    <w:pStyle w:val="22"/>
                    <w:bidi w:val="0"/>
                    <w:rPr>
                      <w:rFonts w:hint="default"/>
                      <w:lang w:eastAsia="zh-CN"/>
                    </w:rPr>
                  </w:pPr>
                </w:p>
              </w:tc>
              <w:tc>
                <w:tcPr>
                  <w:tcW w:w="478" w:type="pct"/>
                  <w:vMerge w:val="continue"/>
                  <w:noWrap w:val="0"/>
                  <w:vAlign w:val="center"/>
                </w:tcPr>
                <w:p>
                  <w:pPr>
                    <w:pStyle w:val="22"/>
                    <w:bidi w:val="0"/>
                    <w:rPr>
                      <w:rFonts w:hint="default"/>
                      <w:lang w:eastAsia="zh-CN"/>
                    </w:rPr>
                  </w:pPr>
                </w:p>
              </w:tc>
              <w:tc>
                <w:tcPr>
                  <w:tcW w:w="1224" w:type="pct"/>
                  <w:noWrap w:val="0"/>
                  <w:vAlign w:val="center"/>
                </w:tcPr>
                <w:p>
                  <w:pPr>
                    <w:pStyle w:val="22"/>
                    <w:bidi w:val="0"/>
                    <w:rPr>
                      <w:rFonts w:hint="default"/>
                      <w:lang w:eastAsia="zh-CN"/>
                    </w:rPr>
                  </w:pPr>
                  <w:r>
                    <w:rPr>
                      <w:rFonts w:hint="default"/>
                      <w:lang w:val="en-US" w:eastAsia="zh-CN"/>
                    </w:rPr>
                    <w:t>氨</w:t>
                  </w:r>
                </w:p>
              </w:tc>
              <w:tc>
                <w:tcPr>
                  <w:tcW w:w="753" w:type="pct"/>
                  <w:noWrap w:val="0"/>
                  <w:vAlign w:val="center"/>
                </w:tcPr>
                <w:p>
                  <w:pPr>
                    <w:pStyle w:val="22"/>
                    <w:bidi w:val="0"/>
                    <w:rPr>
                      <w:rFonts w:hint="default"/>
                      <w:lang w:val="en-US" w:eastAsia="zh-CN"/>
                    </w:rPr>
                  </w:pPr>
                  <w:r>
                    <w:rPr>
                      <w:rFonts w:hint="default"/>
                      <w:lang w:val="en-US" w:eastAsia="zh-CN"/>
                    </w:rPr>
                    <w:t xml:space="preserve">512.437 </w:t>
                  </w:r>
                </w:p>
              </w:tc>
              <w:tc>
                <w:tcPr>
                  <w:tcW w:w="663" w:type="pct"/>
                  <w:noWrap w:val="0"/>
                  <w:vAlign w:val="center"/>
                </w:tcPr>
                <w:p>
                  <w:pPr>
                    <w:pStyle w:val="22"/>
                    <w:bidi w:val="0"/>
                    <w:rPr>
                      <w:rFonts w:hint="default"/>
                      <w:lang w:val="en-US" w:eastAsia="zh-CN"/>
                    </w:rPr>
                  </w:pPr>
                  <w:r>
                    <w:rPr>
                      <w:rFonts w:hint="default"/>
                      <w:lang w:val="en-US" w:eastAsia="zh-CN"/>
                    </w:rPr>
                    <w:t xml:space="preserve">4.099 </w:t>
                  </w:r>
                </w:p>
              </w:tc>
              <w:tc>
                <w:tcPr>
                  <w:tcW w:w="470" w:type="pct"/>
                  <w:vMerge w:val="continue"/>
                  <w:noWrap w:val="0"/>
                  <w:vAlign w:val="center"/>
                </w:tcPr>
                <w:p>
                  <w:pPr>
                    <w:pStyle w:val="22"/>
                    <w:bidi w:val="0"/>
                    <w:rPr>
                      <w:rFonts w:hint="default"/>
                      <w:lang w:eastAsia="zh-CN"/>
                    </w:rPr>
                  </w:pPr>
                </w:p>
              </w:tc>
              <w:tc>
                <w:tcPr>
                  <w:tcW w:w="413" w:type="pct"/>
                  <w:vMerge w:val="continue"/>
                  <w:noWrap w:val="0"/>
                  <w:vAlign w:val="center"/>
                </w:tcPr>
                <w:p>
                  <w:pPr>
                    <w:pStyle w:val="22"/>
                    <w:bidi w:val="0"/>
                    <w:rPr>
                      <w:rFonts w:hint="default"/>
                      <w:lang w:eastAsia="zh-CN"/>
                    </w:rPr>
                  </w:pPr>
                </w:p>
              </w:tc>
              <w:tc>
                <w:tcPr>
                  <w:tcW w:w="614" w:type="pct"/>
                  <w:vMerge w:val="continue"/>
                  <w:noWrap w:val="0"/>
                  <w:vAlign w:val="center"/>
                </w:tcPr>
                <w:p>
                  <w:pPr>
                    <w:pStyle w:val="22"/>
                    <w:bidi w:val="0"/>
                    <w:rPr>
                      <w:rFonts w:hint="default"/>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continue"/>
                  <w:noWrap w:val="0"/>
                  <w:vAlign w:val="center"/>
                </w:tcPr>
                <w:p>
                  <w:pPr>
                    <w:pStyle w:val="22"/>
                    <w:bidi w:val="0"/>
                    <w:rPr>
                      <w:rFonts w:hint="default"/>
                      <w:lang w:eastAsia="zh-CN"/>
                    </w:rPr>
                  </w:pPr>
                </w:p>
              </w:tc>
              <w:tc>
                <w:tcPr>
                  <w:tcW w:w="478" w:type="pct"/>
                  <w:vMerge w:val="continue"/>
                  <w:noWrap w:val="0"/>
                  <w:vAlign w:val="center"/>
                </w:tcPr>
                <w:p>
                  <w:pPr>
                    <w:pStyle w:val="22"/>
                    <w:bidi w:val="0"/>
                    <w:rPr>
                      <w:rFonts w:hint="default"/>
                      <w:lang w:eastAsia="zh-CN"/>
                    </w:rPr>
                  </w:pPr>
                </w:p>
              </w:tc>
              <w:tc>
                <w:tcPr>
                  <w:tcW w:w="1224" w:type="pct"/>
                  <w:noWrap w:val="0"/>
                  <w:vAlign w:val="center"/>
                </w:tcPr>
                <w:p>
                  <w:pPr>
                    <w:pStyle w:val="22"/>
                    <w:bidi w:val="0"/>
                    <w:rPr>
                      <w:rFonts w:hint="default"/>
                      <w:lang w:eastAsia="zh-CN"/>
                    </w:rPr>
                  </w:pPr>
                  <w:r>
                    <w:rPr>
                      <w:rFonts w:hint="default"/>
                      <w:lang w:val="en-US" w:eastAsia="zh-CN"/>
                    </w:rPr>
                    <w:t>氢氟酸</w:t>
                  </w:r>
                </w:p>
              </w:tc>
              <w:tc>
                <w:tcPr>
                  <w:tcW w:w="753" w:type="pct"/>
                  <w:noWrap w:val="0"/>
                  <w:vAlign w:val="center"/>
                </w:tcPr>
                <w:p>
                  <w:pPr>
                    <w:pStyle w:val="22"/>
                    <w:bidi w:val="0"/>
                    <w:rPr>
                      <w:rFonts w:hint="default"/>
                      <w:lang w:val="en-US" w:eastAsia="zh-CN"/>
                    </w:rPr>
                  </w:pPr>
                  <w:r>
                    <w:rPr>
                      <w:rFonts w:hint="default"/>
                      <w:lang w:val="en-US" w:eastAsia="zh-CN"/>
                    </w:rPr>
                    <w:t xml:space="preserve">663.575 </w:t>
                  </w:r>
                </w:p>
              </w:tc>
              <w:tc>
                <w:tcPr>
                  <w:tcW w:w="663" w:type="pct"/>
                  <w:noWrap w:val="0"/>
                  <w:vAlign w:val="center"/>
                </w:tcPr>
                <w:p>
                  <w:pPr>
                    <w:pStyle w:val="22"/>
                    <w:bidi w:val="0"/>
                    <w:rPr>
                      <w:rFonts w:hint="default"/>
                      <w:lang w:val="en-US" w:eastAsia="zh-CN"/>
                    </w:rPr>
                  </w:pPr>
                  <w:r>
                    <w:rPr>
                      <w:rFonts w:hint="default"/>
                      <w:lang w:val="en-US" w:eastAsia="zh-CN"/>
                    </w:rPr>
                    <w:t xml:space="preserve">5.309 </w:t>
                  </w:r>
                </w:p>
              </w:tc>
              <w:tc>
                <w:tcPr>
                  <w:tcW w:w="470" w:type="pct"/>
                  <w:vMerge w:val="continue"/>
                  <w:noWrap w:val="0"/>
                  <w:vAlign w:val="center"/>
                </w:tcPr>
                <w:p>
                  <w:pPr>
                    <w:pStyle w:val="22"/>
                    <w:bidi w:val="0"/>
                    <w:rPr>
                      <w:rFonts w:hint="default"/>
                      <w:lang w:eastAsia="zh-CN"/>
                    </w:rPr>
                  </w:pPr>
                </w:p>
              </w:tc>
              <w:tc>
                <w:tcPr>
                  <w:tcW w:w="413" w:type="pct"/>
                  <w:vMerge w:val="continue"/>
                  <w:noWrap w:val="0"/>
                  <w:vAlign w:val="center"/>
                </w:tcPr>
                <w:p>
                  <w:pPr>
                    <w:pStyle w:val="22"/>
                    <w:bidi w:val="0"/>
                    <w:rPr>
                      <w:rFonts w:hint="default"/>
                      <w:lang w:eastAsia="zh-CN"/>
                    </w:rPr>
                  </w:pPr>
                </w:p>
              </w:tc>
              <w:tc>
                <w:tcPr>
                  <w:tcW w:w="614" w:type="pct"/>
                  <w:vMerge w:val="continue"/>
                  <w:noWrap w:val="0"/>
                  <w:vAlign w:val="center"/>
                </w:tcPr>
                <w:p>
                  <w:pPr>
                    <w:pStyle w:val="22"/>
                    <w:bidi w:val="0"/>
                    <w:rPr>
                      <w:rFonts w:hint="default"/>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 w:type="pct"/>
                  <w:vMerge w:val="continue"/>
                  <w:noWrap w:val="0"/>
                  <w:vAlign w:val="center"/>
                </w:tcPr>
                <w:p>
                  <w:pPr>
                    <w:pStyle w:val="22"/>
                    <w:bidi w:val="0"/>
                    <w:rPr>
                      <w:rFonts w:hint="default"/>
                      <w:lang w:eastAsia="zh-CN"/>
                    </w:rPr>
                  </w:pPr>
                </w:p>
              </w:tc>
              <w:tc>
                <w:tcPr>
                  <w:tcW w:w="478" w:type="pct"/>
                  <w:vMerge w:val="continue"/>
                  <w:noWrap w:val="0"/>
                  <w:vAlign w:val="center"/>
                </w:tcPr>
                <w:p>
                  <w:pPr>
                    <w:pStyle w:val="22"/>
                    <w:bidi w:val="0"/>
                    <w:rPr>
                      <w:rFonts w:hint="default"/>
                      <w:lang w:eastAsia="zh-CN"/>
                    </w:rPr>
                  </w:pPr>
                </w:p>
              </w:tc>
              <w:tc>
                <w:tcPr>
                  <w:tcW w:w="1224" w:type="pct"/>
                  <w:noWrap w:val="0"/>
                  <w:vAlign w:val="center"/>
                </w:tcPr>
                <w:p>
                  <w:pPr>
                    <w:pStyle w:val="22"/>
                    <w:bidi w:val="0"/>
                    <w:rPr>
                      <w:rFonts w:hint="default"/>
                      <w:lang w:eastAsia="zh-CN"/>
                    </w:rPr>
                  </w:pPr>
                  <w:r>
                    <w:rPr>
                      <w:rFonts w:hint="default"/>
                      <w:lang w:val="en-US" w:eastAsia="zh-CN"/>
                    </w:rPr>
                    <w:t>盐酸</w:t>
                  </w:r>
                </w:p>
              </w:tc>
              <w:tc>
                <w:tcPr>
                  <w:tcW w:w="753" w:type="pct"/>
                  <w:noWrap w:val="0"/>
                  <w:vAlign w:val="center"/>
                </w:tcPr>
                <w:p>
                  <w:pPr>
                    <w:pStyle w:val="22"/>
                    <w:bidi w:val="0"/>
                    <w:rPr>
                      <w:rFonts w:hint="default"/>
                      <w:lang w:val="en-US" w:eastAsia="zh-CN"/>
                    </w:rPr>
                  </w:pPr>
                  <w:r>
                    <w:rPr>
                      <w:rFonts w:hint="default"/>
                      <w:lang w:val="en-US" w:eastAsia="zh-CN"/>
                    </w:rPr>
                    <w:t>837.9</w:t>
                  </w:r>
                </w:p>
              </w:tc>
              <w:tc>
                <w:tcPr>
                  <w:tcW w:w="663" w:type="pct"/>
                  <w:noWrap w:val="0"/>
                  <w:vAlign w:val="center"/>
                </w:tcPr>
                <w:p>
                  <w:pPr>
                    <w:pStyle w:val="22"/>
                    <w:bidi w:val="0"/>
                    <w:rPr>
                      <w:rFonts w:hint="default"/>
                      <w:lang w:val="en-US" w:eastAsia="zh-CN"/>
                    </w:rPr>
                  </w:pPr>
                  <w:r>
                    <w:rPr>
                      <w:rFonts w:hint="default"/>
                      <w:lang w:val="en-US" w:eastAsia="zh-CN"/>
                    </w:rPr>
                    <w:t xml:space="preserve">6.703 </w:t>
                  </w:r>
                </w:p>
              </w:tc>
              <w:tc>
                <w:tcPr>
                  <w:tcW w:w="470" w:type="pct"/>
                  <w:vMerge w:val="continue"/>
                  <w:noWrap w:val="0"/>
                  <w:vAlign w:val="center"/>
                </w:tcPr>
                <w:p>
                  <w:pPr>
                    <w:pStyle w:val="22"/>
                    <w:bidi w:val="0"/>
                    <w:rPr>
                      <w:rFonts w:hint="default"/>
                      <w:lang w:eastAsia="zh-CN"/>
                    </w:rPr>
                  </w:pPr>
                </w:p>
              </w:tc>
              <w:tc>
                <w:tcPr>
                  <w:tcW w:w="413" w:type="pct"/>
                  <w:vMerge w:val="continue"/>
                  <w:noWrap w:val="0"/>
                  <w:vAlign w:val="center"/>
                </w:tcPr>
                <w:p>
                  <w:pPr>
                    <w:pStyle w:val="22"/>
                    <w:bidi w:val="0"/>
                    <w:rPr>
                      <w:rFonts w:hint="default"/>
                      <w:lang w:eastAsia="zh-CN"/>
                    </w:rPr>
                  </w:pPr>
                </w:p>
              </w:tc>
              <w:tc>
                <w:tcPr>
                  <w:tcW w:w="614" w:type="pct"/>
                  <w:vMerge w:val="continue"/>
                  <w:noWrap w:val="0"/>
                  <w:vAlign w:val="center"/>
                </w:tcPr>
                <w:p>
                  <w:pPr>
                    <w:pStyle w:val="22"/>
                    <w:bidi w:val="0"/>
                    <w:rPr>
                      <w:rFonts w:hint="default"/>
                      <w:lang w:eastAsia="zh-CN"/>
                    </w:rPr>
                  </w:pPr>
                </w:p>
              </w:tc>
            </w:tr>
          </w:tbl>
          <w:p>
            <w:pPr>
              <w:pStyle w:val="8"/>
              <w:rPr>
                <w:rFonts w:hint="default" w:ascii="Times New Roman" w:hAnsi="Times New Roman" w:cs="Times New Roman"/>
                <w:b/>
                <w:bCs/>
                <w:lang w:eastAsia="zh-CN"/>
              </w:rPr>
            </w:pPr>
            <w:r>
              <w:rPr>
                <w:rFonts w:hint="eastAsia" w:ascii="Times New Roman" w:hAnsi="Times New Roman" w:cs="Times New Roman"/>
                <w:b/>
                <w:bCs/>
                <w:lang w:val="en-US" w:eastAsia="zh-CN"/>
              </w:rPr>
              <w:t>（5）</w:t>
            </w:r>
            <w:r>
              <w:rPr>
                <w:rFonts w:hint="default" w:ascii="Times New Roman" w:hAnsi="Times New Roman" w:cs="Times New Roman"/>
                <w:b/>
                <w:bCs/>
                <w:lang w:eastAsia="zh-CN"/>
              </w:rPr>
              <w:t>废气污染防治可行性分析</w:t>
            </w:r>
          </w:p>
          <w:p>
            <w:pPr>
              <w:pStyle w:val="8"/>
              <w:rPr>
                <w:rFonts w:hint="default" w:ascii="Times New Roman" w:hAnsi="Times New Roman" w:cs="Times New Roman"/>
                <w:lang w:eastAsia="zh-CN"/>
              </w:rPr>
            </w:pPr>
            <w:r>
              <w:rPr>
                <w:rFonts w:hint="default" w:ascii="Times New Roman" w:hAnsi="Times New Roman" w:cs="Times New Roman"/>
                <w:lang w:eastAsia="zh-CN"/>
              </w:rPr>
              <w:t>本项目清洗化学品槽罐车罐体，废气污染源主要为部分盛装挥发性物质的槽罐车内残留的废气。</w:t>
            </w:r>
          </w:p>
          <w:p>
            <w:pPr>
              <w:pStyle w:val="8"/>
              <w:rPr>
                <w:rFonts w:hint="default" w:ascii="Times New Roman" w:hAnsi="Times New Roman" w:cs="Times New Roman"/>
                <w:lang w:eastAsia="zh-CN"/>
              </w:rPr>
            </w:pPr>
            <w:r>
              <w:rPr>
                <w:rFonts w:hint="default" w:ascii="Times New Roman" w:hAnsi="Times New Roman" w:cs="Times New Roman"/>
                <w:lang w:eastAsia="zh-CN"/>
              </w:rPr>
              <w:t>槽罐车内残留的有机废气采用</w:t>
            </w:r>
            <w:r>
              <w:rPr>
                <w:rFonts w:hint="eastAsia" w:ascii="Times New Roman" w:hAnsi="Times New Roman" w:cs="Times New Roman"/>
                <w:lang w:eastAsia="zh-CN"/>
              </w:rPr>
              <w:t>“</w:t>
            </w:r>
            <w:r>
              <w:rPr>
                <w:rFonts w:hint="eastAsia" w:ascii="Times New Roman" w:hAnsi="Times New Roman" w:cs="Times New Roman"/>
                <w:lang w:val="en-US" w:eastAsia="zh-CN"/>
              </w:rPr>
              <w:t>碱喷淋+干式过滤棉+二级蜂窝状活性炭</w:t>
            </w:r>
            <w:r>
              <w:rPr>
                <w:rFonts w:hint="eastAsia" w:ascii="Times New Roman" w:hAnsi="Times New Roman" w:cs="Times New Roman"/>
                <w:lang w:eastAsia="zh-CN"/>
              </w:rPr>
              <w:t>”</w:t>
            </w:r>
            <w:r>
              <w:rPr>
                <w:rFonts w:hint="default" w:ascii="Times New Roman" w:hAnsi="Times New Roman" w:cs="Times New Roman"/>
                <w:lang w:eastAsia="zh-CN"/>
              </w:rPr>
              <w:t>处理后经15m排气筒DA001排放。</w:t>
            </w:r>
          </w:p>
          <w:p>
            <w:pPr>
              <w:rPr>
                <w:rFonts w:hint="eastAsia" w:ascii="Times New Roman" w:hAnsi="Times New Roman" w:cs="Times New Roman"/>
                <w:lang w:val="en-US" w:eastAsia="zh-CN"/>
              </w:rPr>
            </w:pPr>
            <w:r>
              <w:rPr>
                <w:rFonts w:hint="eastAsia" w:ascii="Times New Roman" w:hAnsi="Times New Roman" w:cs="Times New Roman"/>
                <w:lang w:val="en-US" w:eastAsia="zh-CN"/>
              </w:rPr>
              <w:t>碱喷淋：碱喷淋系统主要由喷淋塔、‌喷淋系统等组成。‌当含有酸性物质的废气进入喷淋塔时，‌喷淋系统将碱液喷洒到废气中，‌碱液中的碱性物质与废气中的酸性物质发生中和反应，‌生成盐和水。‌这些生成物被带出喷淋塔，‌从而净化了废气。‌在这个过程中，‌碱液起到了中和剂的作用，‌通过化学反应将废气中的有害物质转化为无害的盐类和水，‌有效去除废气中的有害物质，‌减少环境污染。‌</w:t>
            </w:r>
          </w:p>
          <w:p>
            <w:pPr>
              <w:rPr>
                <w:rFonts w:hint="default" w:ascii="Times New Roman" w:hAnsi="Times New Roman" w:cs="Times New Roman"/>
                <w:lang w:eastAsia="zh-CN"/>
              </w:rPr>
            </w:pPr>
            <w:r>
              <w:rPr>
                <w:rFonts w:hint="default" w:ascii="Times New Roman" w:hAnsi="Times New Roman" w:cs="Times New Roman"/>
                <w:lang w:eastAsia="zh-CN"/>
              </w:rPr>
              <w:t>活性炭吸附装置原理:活性炭材料中有大量肉眼看不见的微孔，1g活性炭材料中微孔的总内表面积可达700~2300m</w:t>
            </w:r>
            <w:r>
              <w:rPr>
                <w:rFonts w:hint="default" w:ascii="Times New Roman" w:hAnsi="Times New Roman" w:cs="Times New Roman"/>
                <w:vertAlign w:val="superscript"/>
                <w:lang w:val="en-US" w:eastAsia="zh-CN"/>
              </w:rPr>
              <w:t>2</w:t>
            </w:r>
            <w:r>
              <w:rPr>
                <w:rFonts w:hint="default" w:ascii="Times New Roman" w:hAnsi="Times New Roman" w:cs="Times New Roman"/>
                <w:lang w:eastAsia="zh-CN"/>
              </w:rPr>
              <w:t>。正是这些微孔使得活性炭能“捕捉各种有毒有害气体和杂质。由于气相分子和吸附表面分子之间的吸引力，使气相分子吸附在吸附剂表面。建议项目采用蜂窝状活性炭，比表面积900~1500m</w:t>
            </w:r>
            <w:r>
              <w:rPr>
                <w:rFonts w:hint="default" w:ascii="Times New Roman" w:hAnsi="Times New Roman" w:cs="Times New Roman"/>
                <w:vertAlign w:val="superscript"/>
                <w:lang w:val="en-US" w:eastAsia="zh-CN"/>
              </w:rPr>
              <w:t>2</w:t>
            </w:r>
            <w:r>
              <w:rPr>
                <w:rFonts w:hint="default" w:ascii="Times New Roman" w:hAnsi="Times New Roman" w:cs="Times New Roman"/>
                <w:lang w:eastAsia="zh-CN"/>
              </w:rPr>
              <w:t>/g,具有良好的吸附特性,其吸附量比活性炭颗粒一般大20~100 倍，吸附容量为 25%。</w:t>
            </w:r>
          </w:p>
          <w:p>
            <w:pPr>
              <w:rPr>
                <w:rFonts w:hint="default" w:ascii="Times New Roman" w:hAnsi="Times New Roman" w:cs="Times New Roman"/>
                <w:lang w:val="en-US" w:eastAsia="zh-CN"/>
              </w:rPr>
            </w:pPr>
            <w:r>
              <w:rPr>
                <w:rFonts w:hint="default" w:ascii="Times New Roman" w:hAnsi="Times New Roman" w:cs="Times New Roman"/>
                <w:lang w:val="en-US" w:eastAsia="zh-CN"/>
              </w:rPr>
              <w:t>本项目活性炭吸装置</w:t>
            </w:r>
            <w:r>
              <w:rPr>
                <w:rFonts w:hint="eastAsia" w:ascii="Times New Roman" w:hAnsi="Times New Roman" w:cs="Times New Roman"/>
                <w:lang w:val="en-US" w:eastAsia="zh-CN"/>
              </w:rPr>
              <w:t>对废气的吸附量约</w:t>
            </w:r>
            <w:r>
              <w:rPr>
                <w:rFonts w:hint="default" w:ascii="Times New Roman" w:hAnsi="Times New Roman" w:cs="Times New Roman"/>
                <w:lang w:val="en-US" w:eastAsia="zh-CN"/>
              </w:rPr>
              <w:t>为</w:t>
            </w:r>
            <w:r>
              <w:rPr>
                <w:rFonts w:hint="eastAsia" w:ascii="Times New Roman" w:hAnsi="Times New Roman" w:cs="Times New Roman"/>
                <w:lang w:val="en-US" w:eastAsia="zh-CN"/>
              </w:rPr>
              <w:t>219.7kg/</w:t>
            </w:r>
            <w:r>
              <w:rPr>
                <w:rFonts w:hint="default" w:ascii="Times New Roman" w:hAnsi="Times New Roman" w:cs="Times New Roman"/>
                <w:lang w:val="en-US" w:eastAsia="zh-CN"/>
              </w:rPr>
              <w:t>a。</w:t>
            </w:r>
            <w:r>
              <w:rPr>
                <w:rFonts w:hint="eastAsia" w:ascii="Times New Roman" w:hAnsi="Times New Roman" w:cs="Times New Roman"/>
                <w:lang w:val="en-US" w:eastAsia="zh-CN"/>
              </w:rPr>
              <w:t>本项目设置2个活性炭吸附箱，每个吸附箱装碳量为1m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r>
              <w:rPr>
                <w:rFonts w:hint="default" w:ascii="Times New Roman" w:hAnsi="Times New Roman" w:cs="Times New Roman"/>
                <w:lang w:val="en-US" w:eastAsia="zh-CN"/>
              </w:rPr>
              <w:t>密度按450kg/m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，因此单个活性炭吸附箱内需填装活性炭量为</w:t>
            </w:r>
            <w:r>
              <w:rPr>
                <w:rFonts w:hint="eastAsia" w:ascii="Times New Roman" w:hAnsi="Times New Roman" w:cs="Times New Roman"/>
                <w:lang w:val="en-US" w:eastAsia="zh-CN"/>
              </w:rPr>
              <w:t>0.45</w:t>
            </w:r>
            <w:r>
              <w:rPr>
                <w:rFonts w:hint="default" w:ascii="Times New Roman" w:hAnsi="Times New Roman" w:cs="Times New Roman"/>
                <w:lang w:val="en-US" w:eastAsia="zh-CN"/>
              </w:rPr>
              <w:t>t</w:t>
            </w:r>
            <w:r>
              <w:rPr>
                <w:rFonts w:hint="eastAsia" w:ascii="Times New Roman" w:hAnsi="Times New Roman" w:cs="Times New Roman"/>
                <w:lang w:val="en-US" w:eastAsia="zh-CN"/>
              </w:rPr>
              <w:t>，总装填量为0.9t</w:t>
            </w:r>
            <w:r>
              <w:rPr>
                <w:rFonts w:hint="default" w:ascii="Times New Roman" w:hAnsi="Times New Roman" w:cs="Times New Roman"/>
                <w:lang w:val="en-US" w:eastAsia="zh-CN"/>
              </w:rPr>
              <w:t>。为保证活性炭处理效率，根据《简明通风设计手册》，活性炭的有效吸附量为qe=0.2kg/kg活性炭，因此，</w:t>
            </w:r>
            <w:r>
              <w:rPr>
                <w:rFonts w:hint="eastAsia" w:ascii="Times New Roman" w:hAnsi="Times New Roman" w:cs="Times New Roman"/>
                <w:lang w:val="en-US" w:eastAsia="zh-CN"/>
              </w:rPr>
              <w:t>项目活性炭吸附箱可吸附180kg废气，则</w:t>
            </w:r>
            <w:r>
              <w:rPr>
                <w:rFonts w:hint="default" w:ascii="Times New Roman" w:hAnsi="Times New Roman" w:cs="Times New Roman"/>
                <w:lang w:val="en-US" w:eastAsia="zh-CN"/>
              </w:rPr>
              <w:t>一年</w:t>
            </w:r>
            <w:r>
              <w:rPr>
                <w:rFonts w:hint="eastAsia" w:ascii="Times New Roman" w:hAnsi="Times New Roman" w:cs="Times New Roman"/>
                <w:lang w:val="en-US" w:eastAsia="zh-CN"/>
              </w:rPr>
              <w:t>需</w:t>
            </w:r>
            <w:r>
              <w:rPr>
                <w:rFonts w:hint="default" w:ascii="Times New Roman" w:hAnsi="Times New Roman" w:cs="Times New Roman"/>
                <w:lang w:val="en-US" w:eastAsia="zh-CN"/>
              </w:rPr>
              <w:t>更换</w:t>
            </w:r>
            <w:r>
              <w:rPr>
                <w:rFonts w:hint="eastAsia" w:ascii="Times New Roman" w:hAnsi="Times New Roman" w:cs="Times New Roman"/>
                <w:lang w:val="en-US" w:eastAsia="zh-CN"/>
              </w:rPr>
              <w:t>2</w:t>
            </w:r>
            <w:r>
              <w:rPr>
                <w:rFonts w:hint="default" w:ascii="Times New Roman" w:hAnsi="Times New Roman" w:cs="Times New Roman"/>
                <w:lang w:val="en-US" w:eastAsia="zh-CN"/>
              </w:rPr>
              <w:t>次活性炭。废活性炭产生量</w:t>
            </w:r>
            <w:r>
              <w:rPr>
                <w:rFonts w:hint="eastAsia" w:ascii="Times New Roman" w:hAnsi="Times New Roman" w:cs="Times New Roman"/>
                <w:lang w:val="en-US" w:eastAsia="zh-CN"/>
              </w:rPr>
              <w:t>约</w:t>
            </w:r>
            <w:r>
              <w:rPr>
                <w:rFonts w:hint="default" w:ascii="Times New Roman" w:hAnsi="Times New Roman" w:cs="Times New Roman"/>
                <w:lang w:val="en-US" w:eastAsia="zh-CN"/>
              </w:rPr>
              <w:t>为</w:t>
            </w:r>
            <w:r>
              <w:rPr>
                <w:rFonts w:hint="eastAsia" w:ascii="Times New Roman" w:hAnsi="Times New Roman" w:cs="Times New Roman"/>
                <w:lang w:val="en-US" w:eastAsia="zh-CN"/>
              </w:rPr>
              <w:t>1.12</w:t>
            </w:r>
            <w:r>
              <w:rPr>
                <w:rFonts w:hint="default" w:ascii="Times New Roman" w:hAnsi="Times New Roman" w:cs="Times New Roman"/>
                <w:lang w:val="en-US" w:eastAsia="zh-CN"/>
              </w:rPr>
              <w:t>t/a</w:t>
            </w:r>
            <w:r>
              <w:rPr>
                <w:rFonts w:hint="eastAsia" w:cs="Times New Roman"/>
                <w:lang w:val="en-US" w:eastAsia="zh-CN"/>
              </w:rPr>
              <w:t>。同时</w:t>
            </w:r>
            <w:r>
              <w:rPr>
                <w:rFonts w:hint="eastAsia"/>
                <w:b w:val="0"/>
                <w:bCs w:val="0"/>
                <w:color w:val="auto"/>
                <w:sz w:val="24"/>
                <w:lang w:val="en-US" w:eastAsia="zh-CN"/>
              </w:rPr>
              <w:t>根据《关于加快解决当前挥发性有机物治理突出问题的通知》（环大气〔2021〕65号），项目采用颗粒活性炭作为吸附剂时，其碘值不宜低于800mg/g；采用蜂窝活性炭作为吸附剂时，其碘值不宜低于650mg/g；采用活性炭纤维作为吸附剂时，其比表面积不低于1100m</w:t>
            </w:r>
            <w:r>
              <w:rPr>
                <w:rFonts w:hint="eastAsia"/>
                <w:b w:val="0"/>
                <w:bCs w:val="0"/>
                <w:color w:val="auto"/>
                <w:sz w:val="24"/>
                <w:vertAlign w:val="superscript"/>
                <w:lang w:val="en-US" w:eastAsia="zh-CN"/>
              </w:rPr>
              <w:t>2</w:t>
            </w:r>
            <w:r>
              <w:rPr>
                <w:rFonts w:hint="eastAsia"/>
                <w:b w:val="0"/>
                <w:bCs w:val="0"/>
                <w:color w:val="auto"/>
                <w:sz w:val="24"/>
                <w:lang w:val="en-US" w:eastAsia="zh-CN"/>
              </w:rPr>
              <w:t>/g（BET法）。</w:t>
            </w:r>
            <w:r>
              <w:rPr>
                <w:rFonts w:hint="eastAsia"/>
                <w:b/>
                <w:bCs/>
                <w:color w:val="auto"/>
                <w:sz w:val="24"/>
                <w:lang w:val="en-US" w:eastAsia="zh-CN"/>
              </w:rPr>
              <w:t>本环评要求：</w:t>
            </w:r>
            <w:r>
              <w:rPr>
                <w:rFonts w:hint="eastAsia"/>
                <w:b w:val="0"/>
                <w:bCs w:val="0"/>
                <w:color w:val="auto"/>
                <w:sz w:val="24"/>
                <w:lang w:val="en-US" w:eastAsia="zh-CN"/>
              </w:rPr>
              <w:t>建设单位在选取不同种类活性炭时，应严格按照该文件要求，选择合适碘值和比表面积的活性炭。</w:t>
            </w:r>
          </w:p>
          <w:p>
            <w:pPr>
              <w:pStyle w:val="8"/>
              <w:rPr>
                <w:rFonts w:hint="eastAsia" w:ascii="Times New Roman" w:hAnsi="Times New Roman" w:cs="Times New Roman"/>
                <w:lang w:val="en-US" w:eastAsia="zh-CN"/>
              </w:rPr>
            </w:pPr>
            <w:r>
              <w:rPr>
                <w:rFonts w:hint="eastAsia" w:ascii="Times New Roman" w:hAnsi="Times New Roman" w:cs="Times New Roman"/>
                <w:lang w:val="en-US" w:eastAsia="zh-CN"/>
              </w:rPr>
              <w:t>根据表4.2-4计算结果可知，经</w:t>
            </w:r>
            <w:r>
              <w:rPr>
                <w:rFonts w:hint="eastAsia" w:ascii="Times New Roman" w:hAnsi="Times New Roman" w:cs="Times New Roman"/>
                <w:lang w:eastAsia="zh-CN"/>
              </w:rPr>
              <w:t>“</w:t>
            </w:r>
            <w:r>
              <w:rPr>
                <w:rFonts w:hint="eastAsia" w:ascii="Times New Roman" w:hAnsi="Times New Roman" w:cs="Times New Roman"/>
                <w:lang w:val="en-US" w:eastAsia="zh-CN"/>
              </w:rPr>
              <w:t>碱喷淋+干式过滤棉+二级蜂窝状活性炭</w:t>
            </w:r>
            <w:r>
              <w:rPr>
                <w:rFonts w:hint="eastAsia" w:ascii="Times New Roman" w:hAnsi="Times New Roman" w:cs="Times New Roman"/>
                <w:lang w:eastAsia="zh-CN"/>
              </w:rPr>
              <w:t>”</w:t>
            </w:r>
            <w:r>
              <w:rPr>
                <w:rFonts w:hint="eastAsia" w:ascii="Times New Roman" w:hAnsi="Times New Roman" w:cs="Times New Roman"/>
                <w:lang w:val="en-US" w:eastAsia="zh-CN"/>
              </w:rPr>
              <w:t>处理后VOCs排放速率及浓度满足</w:t>
            </w:r>
            <w:r>
              <w:rPr>
                <w:rFonts w:hint="default"/>
                <w:lang w:eastAsia="zh-CN"/>
              </w:rPr>
              <w:t>《四川省固定污染源大气挥发性有机物排放标准》(DB51/2377-2017)</w:t>
            </w:r>
            <w:r>
              <w:rPr>
                <w:rFonts w:hint="eastAsia"/>
                <w:lang w:val="en-US" w:eastAsia="zh-CN"/>
              </w:rPr>
              <w:t>标准限值，硫酸、硝酸、氢氟酸、盐酸排放速率及浓度满足</w:t>
            </w:r>
            <w:r>
              <w:rPr>
                <w:rFonts w:hint="eastAsia" w:ascii="Times New Roman" w:hAnsi="Times New Roman" w:cs="Times New Roman"/>
                <w:lang w:val="en-US" w:eastAsia="zh-CN"/>
              </w:rPr>
              <w:t>《大气污染物综合排放标准》（GB162997-1996）二级标准限值，二硫化碳、氨排放速率满足《恶臭污染物排放标准》（GB14554-93）标准限值；因此本项目废气采用</w:t>
            </w:r>
            <w:r>
              <w:rPr>
                <w:rFonts w:hint="eastAsia" w:ascii="Times New Roman" w:hAnsi="Times New Roman" w:cs="Times New Roman"/>
                <w:lang w:eastAsia="zh-CN"/>
              </w:rPr>
              <w:t>“</w:t>
            </w:r>
            <w:r>
              <w:rPr>
                <w:rFonts w:hint="eastAsia" w:ascii="Times New Roman" w:hAnsi="Times New Roman" w:cs="Times New Roman"/>
                <w:lang w:val="en-US" w:eastAsia="zh-CN"/>
              </w:rPr>
              <w:t>碱喷淋+干式过滤棉+二级蜂窝状活性炭</w:t>
            </w:r>
            <w:r>
              <w:rPr>
                <w:rFonts w:hint="eastAsia" w:ascii="Times New Roman" w:hAnsi="Times New Roman" w:cs="Times New Roman"/>
                <w:lang w:eastAsia="zh-CN"/>
              </w:rPr>
              <w:t>”</w:t>
            </w:r>
            <w:r>
              <w:rPr>
                <w:rFonts w:hint="eastAsia" w:ascii="Times New Roman" w:hAnsi="Times New Roman" w:cs="Times New Roman"/>
                <w:lang w:val="en-US" w:eastAsia="zh-CN"/>
              </w:rPr>
              <w:t>处理后通过15m排气筒排放能做到达标排放，处置措施可行，对周边环境及敏感点的影响较小。</w:t>
            </w:r>
          </w:p>
          <w:p>
            <w:pPr>
              <w:rPr>
                <w:rFonts w:hint="eastAsia"/>
                <w:b/>
                <w:bCs/>
                <w:lang w:val="en-US" w:eastAsia="zh-CN"/>
              </w:rPr>
            </w:pPr>
            <w:r>
              <w:rPr>
                <w:rFonts w:hint="eastAsia"/>
                <w:b/>
                <w:bCs/>
                <w:lang w:val="en-US" w:eastAsia="zh-CN"/>
              </w:rPr>
              <w:t>2、停车场车辆尾气</w:t>
            </w:r>
          </w:p>
          <w:p>
            <w:pPr>
              <w:rPr>
                <w:rFonts w:hint="default"/>
                <w:lang w:val="en-US" w:eastAsia="zh-CN"/>
              </w:rPr>
            </w:pPr>
            <w:r>
              <w:rPr>
                <w:rFonts w:hint="default"/>
                <w:lang w:val="en-US" w:eastAsia="zh-CN"/>
              </w:rPr>
              <w:t>本项目运输车辆尾气主要是运输车辆进入停车场内停车区域及在停车场内行驶时，车辆总速及慢速(&lt;5km</w:t>
            </w:r>
            <w:r>
              <w:rPr>
                <w:rFonts w:hint="eastAsia"/>
                <w:lang w:val="en-US" w:eastAsia="zh-CN"/>
              </w:rPr>
              <w:t>/</w:t>
            </w:r>
            <w:r>
              <w:rPr>
                <w:rFonts w:hint="default"/>
                <w:lang w:val="en-US" w:eastAsia="zh-CN"/>
              </w:rPr>
              <w:t>h)状态下的尾气排放，包括排气管尾气、曲轴箱漏气以及油箱等燃料系统的泄漏。车辆尾气中主要污染因子为 CO、HC、NOx 等。</w:t>
            </w:r>
          </w:p>
          <w:p>
            <w:pPr>
              <w:rPr>
                <w:rFonts w:hint="default"/>
                <w:lang w:val="en-US" w:eastAsia="zh-CN"/>
              </w:rPr>
            </w:pPr>
            <w:r>
              <w:rPr>
                <w:rFonts w:hint="default"/>
                <w:lang w:val="en-US" w:eastAsia="zh-CN"/>
              </w:rPr>
              <w:t>本项目车辆尾气排放量量较小，停车场</w:t>
            </w:r>
            <w:r>
              <w:rPr>
                <w:rFonts w:hint="eastAsia"/>
                <w:lang w:val="en-US" w:eastAsia="zh-CN"/>
              </w:rPr>
              <w:t>四周</w:t>
            </w:r>
            <w:r>
              <w:rPr>
                <w:rFonts w:hint="default"/>
                <w:lang w:val="en-US" w:eastAsia="zh-CN"/>
              </w:rPr>
              <w:t>设有绿化，正常情况下停车场不会出现满负荷车辆同时出入的情况，且建设项目场地开阔，空气流动畅通，尾气排放浓度较小，扩散速度较快，不会产生累计影响。因此，本项目运营期产生的无组织废气对环境影响较小。项目内停车区场地开阔、通风情况良好，产生的废气能够有效的得到稀释，汽车尾气对周边</w:t>
            </w:r>
            <w:r>
              <w:rPr>
                <w:rFonts w:hint="eastAsia"/>
                <w:lang w:val="en-US" w:eastAsia="zh-CN"/>
              </w:rPr>
              <w:t>影响</w:t>
            </w:r>
            <w:r>
              <w:rPr>
                <w:rFonts w:hint="default"/>
                <w:lang w:val="en-US" w:eastAsia="zh-CN"/>
              </w:rPr>
              <w:t>较小，措施可行。</w:t>
            </w:r>
          </w:p>
          <w:p>
            <w:pPr>
              <w:bidi w:val="0"/>
              <w:rPr>
                <w:rFonts w:hint="eastAsia"/>
                <w:b/>
                <w:bCs/>
                <w:lang w:val="en-US" w:eastAsia="zh-CN"/>
              </w:rPr>
            </w:pPr>
            <w:r>
              <w:rPr>
                <w:rFonts w:hint="eastAsia"/>
                <w:b/>
                <w:bCs/>
                <w:lang w:val="en-US" w:eastAsia="zh-CN"/>
              </w:rPr>
              <w:t>3、备用发电机废气</w:t>
            </w:r>
          </w:p>
          <w:p>
            <w:pPr>
              <w:rPr>
                <w:rFonts w:hint="default"/>
                <w:lang w:val="en-US" w:eastAsia="zh-CN"/>
              </w:rPr>
            </w:pPr>
            <w:r>
              <w:rPr>
                <w:rFonts w:hint="eastAsia"/>
                <w:lang w:val="en-US" w:eastAsia="zh-CN"/>
              </w:rPr>
              <w:t>本项目停车场及消防站均设置有备用发电机，</w:t>
            </w:r>
            <w:r>
              <w:rPr>
                <w:rFonts w:hint="default"/>
                <w:lang w:val="en-US" w:eastAsia="zh-CN"/>
              </w:rPr>
              <w:t>并设置于专用机房内，电源停电时15秒内自动启动。柴油发电机组使用的柴油置于专门的防渗油桶内，油桶容积为300L(0.25t)。储油间应采用防火墙与发电机间隔开</w:t>
            </w:r>
            <w:r>
              <w:rPr>
                <w:rFonts w:hint="eastAsia"/>
                <w:lang w:val="en-US" w:eastAsia="zh-CN"/>
              </w:rPr>
              <w:t>；</w:t>
            </w:r>
            <w:r>
              <w:rPr>
                <w:rFonts w:hint="default"/>
                <w:lang w:val="en-US" w:eastAsia="zh-CN"/>
              </w:rPr>
              <w:t>当必须在防火墙上开门时，应设置能自行关闭的甲级防火门。</w:t>
            </w:r>
          </w:p>
          <w:p>
            <w:pPr>
              <w:bidi w:val="0"/>
              <w:rPr>
                <w:rFonts w:hint="default"/>
                <w:lang w:val="en-US" w:eastAsia="zh-CN"/>
              </w:rPr>
            </w:pPr>
            <w:r>
              <w:rPr>
                <w:rFonts w:hint="default"/>
                <w:lang w:val="en-US" w:eastAsia="zh-CN"/>
              </w:rPr>
              <w:t>柴油发电机在使用过程中会产生发电机烟气，与汽车尾气相似，其主要成分为CO、THC、NO</w:t>
            </w:r>
            <w:r>
              <w:rPr>
                <w:rFonts w:hint="eastAsia"/>
                <w:vertAlign w:val="subscript"/>
                <w:lang w:val="en-US" w:eastAsia="zh-CN"/>
              </w:rPr>
              <w:t>X</w:t>
            </w:r>
            <w:r>
              <w:rPr>
                <w:rFonts w:hint="default"/>
                <w:lang w:val="en-US" w:eastAsia="zh-CN"/>
              </w:rPr>
              <w:t>，发电机房采用机械送、排风的形式，发电机房内保持着良好的通风性，柴油发电机产生的废气先由自身携带的废气净化装置处理，处理后经抽排风系统抽至机房顶排放，排风口应朝向绿地，避开</w:t>
            </w:r>
            <w:r>
              <w:rPr>
                <w:rFonts w:hint="eastAsia"/>
                <w:lang w:val="en-US" w:eastAsia="zh-CN"/>
              </w:rPr>
              <w:t>人行通道</w:t>
            </w:r>
            <w:r>
              <w:rPr>
                <w:rFonts w:hint="default"/>
                <w:lang w:val="en-US" w:eastAsia="zh-CN"/>
              </w:rPr>
              <w:t>。由于应急柴油发电机只有在停电时使用，使用的频率很小、排放量少、排放间断性强，采用上述措施后完全能够做到达标排放，对周围环境影响很小。同时，环评要求</w:t>
            </w:r>
            <w:r>
              <w:rPr>
                <w:rFonts w:hint="eastAsia"/>
                <w:lang w:val="en-US" w:eastAsia="zh-CN"/>
              </w:rPr>
              <w:t>：</w:t>
            </w:r>
            <w:r>
              <w:rPr>
                <w:rFonts w:hint="default"/>
                <w:lang w:val="en-US" w:eastAsia="zh-CN"/>
              </w:rPr>
              <w:t>项目使用0#号柴油，0#柴油属于清洁能源，其燃烧产生的废气污染物较少，可进一步降低对外环境的不良影响。</w:t>
            </w:r>
          </w:p>
          <w:p>
            <w:pPr>
              <w:bidi w:val="0"/>
              <w:rPr>
                <w:rFonts w:hint="eastAsia"/>
                <w:b/>
                <w:bCs/>
                <w:lang w:val="en-US" w:eastAsia="zh-CN"/>
              </w:rPr>
            </w:pPr>
            <w:r>
              <w:rPr>
                <w:rFonts w:hint="eastAsia"/>
                <w:b/>
                <w:bCs/>
                <w:lang w:val="en-US" w:eastAsia="zh-CN"/>
              </w:rPr>
              <w:t>4、食堂油烟</w:t>
            </w:r>
          </w:p>
          <w:p>
            <w:pPr>
              <w:rPr>
                <w:rFonts w:hint="default"/>
                <w:lang w:val="en-US" w:eastAsia="zh-CN"/>
              </w:rPr>
            </w:pPr>
            <w:r>
              <w:rPr>
                <w:rFonts w:hint="default"/>
                <w:lang w:val="en-US" w:eastAsia="zh-CN"/>
              </w:rPr>
              <w:t>①产生情况</w:t>
            </w:r>
          </w:p>
          <w:p>
            <w:pPr>
              <w:rPr>
                <w:rFonts w:hint="default"/>
                <w:lang w:val="en-US" w:eastAsia="zh-CN"/>
              </w:rPr>
            </w:pPr>
            <w:r>
              <w:rPr>
                <w:rFonts w:hint="default"/>
                <w:lang w:val="en-US" w:eastAsia="zh-CN"/>
              </w:rPr>
              <w:t>本项目</w:t>
            </w:r>
            <w:r>
              <w:rPr>
                <w:rFonts w:hint="eastAsia"/>
                <w:lang w:val="en-US" w:eastAsia="zh-CN"/>
              </w:rPr>
              <w:t>停车场及消防站均设置有食堂，为</w:t>
            </w:r>
            <w:r>
              <w:rPr>
                <w:rFonts w:hint="default"/>
                <w:lang w:val="en-US" w:eastAsia="zh-CN"/>
              </w:rPr>
              <w:t>职工</w:t>
            </w:r>
            <w:r>
              <w:rPr>
                <w:rFonts w:hint="eastAsia"/>
                <w:lang w:val="en-US" w:eastAsia="zh-CN"/>
              </w:rPr>
              <w:t>提供</w:t>
            </w:r>
            <w:r>
              <w:rPr>
                <w:rFonts w:hint="default"/>
                <w:lang w:val="en-US" w:eastAsia="zh-CN"/>
              </w:rPr>
              <w:t>一日三餐，</w:t>
            </w:r>
            <w:r>
              <w:rPr>
                <w:rFonts w:hint="eastAsia"/>
                <w:lang w:val="en-US" w:eastAsia="zh-CN"/>
              </w:rPr>
              <w:t>其中停车场</w:t>
            </w:r>
            <w:r>
              <w:rPr>
                <w:rFonts w:hint="default"/>
                <w:lang w:val="en-US" w:eastAsia="zh-CN"/>
              </w:rPr>
              <w:t>就餐人数为</w:t>
            </w:r>
            <w:r>
              <w:rPr>
                <w:rFonts w:hint="eastAsia"/>
                <w:lang w:val="en-US" w:eastAsia="zh-CN"/>
              </w:rPr>
              <w:t>40</w:t>
            </w:r>
            <w:r>
              <w:rPr>
                <w:rFonts w:hint="default"/>
                <w:lang w:val="en-US" w:eastAsia="zh-CN"/>
              </w:rPr>
              <w:t>人，设置一个灶头。</w:t>
            </w:r>
            <w:r>
              <w:rPr>
                <w:rFonts w:hint="eastAsia"/>
                <w:lang w:val="en-US" w:eastAsia="zh-CN"/>
              </w:rPr>
              <w:t>消防站就餐人数57人，设置一个灶头。</w:t>
            </w:r>
            <w:r>
              <w:rPr>
                <w:rFonts w:hint="default"/>
                <w:lang w:val="en-US" w:eastAsia="zh-CN"/>
              </w:rPr>
              <w:t>根据生态环境部《排放源统计调查产排污核算方法和系数手册》(公告2021年第24号)中生活源产排污系数手册，本项目位于四川省</w:t>
            </w:r>
            <w:r>
              <w:rPr>
                <w:rFonts w:hint="eastAsia"/>
                <w:lang w:val="en-US" w:eastAsia="zh-CN"/>
              </w:rPr>
              <w:t>达州市宣汉县</w:t>
            </w:r>
            <w:r>
              <w:rPr>
                <w:rFonts w:hint="default"/>
                <w:lang w:val="en-US" w:eastAsia="zh-CN"/>
              </w:rPr>
              <w:t>，属于其中的三区,食堂油烟排放系数为301g/(人·年)，每</w:t>
            </w:r>
            <w:r>
              <w:rPr>
                <w:rFonts w:hint="eastAsia"/>
                <w:lang w:val="en-US" w:eastAsia="zh-CN"/>
              </w:rPr>
              <w:t>天制餐时间约3h</w:t>
            </w:r>
            <w:r>
              <w:rPr>
                <w:rFonts w:hint="default"/>
                <w:lang w:val="en-US" w:eastAsia="zh-CN"/>
              </w:rPr>
              <w:t>，</w:t>
            </w:r>
            <w:r>
              <w:rPr>
                <w:rFonts w:hint="eastAsia"/>
                <w:lang w:val="en-US" w:eastAsia="zh-CN"/>
              </w:rPr>
              <w:t>则停车场</w:t>
            </w:r>
            <w:r>
              <w:rPr>
                <w:rFonts w:hint="default"/>
                <w:lang w:val="en-US" w:eastAsia="zh-CN"/>
              </w:rPr>
              <w:t>全年</w:t>
            </w:r>
            <w:r>
              <w:rPr>
                <w:rFonts w:hint="eastAsia"/>
                <w:lang w:val="en-US" w:eastAsia="zh-CN"/>
              </w:rPr>
              <w:t>制餐时间约为900</w:t>
            </w:r>
            <w:r>
              <w:rPr>
                <w:rFonts w:hint="default"/>
                <w:lang w:val="en-US" w:eastAsia="zh-CN"/>
              </w:rPr>
              <w:t>h</w:t>
            </w:r>
            <w:r>
              <w:rPr>
                <w:rFonts w:hint="eastAsia"/>
                <w:lang w:val="en-US" w:eastAsia="zh-CN"/>
              </w:rPr>
              <w:t>/</w:t>
            </w:r>
            <w:r>
              <w:rPr>
                <w:rFonts w:hint="default"/>
                <w:lang w:val="en-US" w:eastAsia="zh-CN"/>
              </w:rPr>
              <w:t>a，</w:t>
            </w:r>
            <w:r>
              <w:rPr>
                <w:rFonts w:hint="eastAsia"/>
                <w:lang w:val="en-US" w:eastAsia="zh-CN"/>
              </w:rPr>
              <w:t>消防站全年制餐时间约为1095h/a。</w:t>
            </w:r>
            <w:r>
              <w:rPr>
                <w:rFonts w:hint="default"/>
                <w:lang w:val="en-US" w:eastAsia="zh-CN"/>
              </w:rPr>
              <w:t>则</w:t>
            </w:r>
            <w:r>
              <w:rPr>
                <w:rFonts w:hint="eastAsia"/>
                <w:lang w:val="en-US" w:eastAsia="zh-CN"/>
              </w:rPr>
              <w:t>本项目停车场</w:t>
            </w:r>
            <w:r>
              <w:rPr>
                <w:rFonts w:hint="default"/>
                <w:lang w:val="en-US" w:eastAsia="zh-CN"/>
              </w:rPr>
              <w:t>食堂油烟产生速率为0.0</w:t>
            </w:r>
            <w:r>
              <w:rPr>
                <w:rFonts w:hint="eastAsia"/>
                <w:lang w:val="en-US" w:eastAsia="zh-CN"/>
              </w:rPr>
              <w:t>13</w:t>
            </w:r>
            <w:r>
              <w:rPr>
                <w:rFonts w:hint="default"/>
                <w:lang w:val="en-US" w:eastAsia="zh-CN"/>
              </w:rPr>
              <w:t>kg</w:t>
            </w:r>
            <w:r>
              <w:rPr>
                <w:rFonts w:hint="eastAsia"/>
                <w:lang w:val="en-US" w:eastAsia="zh-CN"/>
              </w:rPr>
              <w:t>/</w:t>
            </w:r>
            <w:r>
              <w:rPr>
                <w:rFonts w:hint="default"/>
                <w:lang w:val="en-US" w:eastAsia="zh-CN"/>
              </w:rPr>
              <w:t>h</w:t>
            </w:r>
            <w:r>
              <w:rPr>
                <w:rFonts w:hint="eastAsia"/>
                <w:lang w:val="en-US" w:eastAsia="zh-CN"/>
              </w:rPr>
              <w:t>（12.04kg/a），消防站食堂油烟产生速率为0.016kg/h（17.157kg/a）</w:t>
            </w:r>
            <w:r>
              <w:rPr>
                <w:rFonts w:hint="default"/>
                <w:lang w:val="en-US" w:eastAsia="zh-CN"/>
              </w:rPr>
              <w:t>。</w:t>
            </w:r>
          </w:p>
          <w:p>
            <w:pPr>
              <w:rPr>
                <w:rFonts w:hint="default"/>
                <w:lang w:val="en-US" w:eastAsia="zh-CN"/>
              </w:rPr>
            </w:pPr>
            <w:r>
              <w:rPr>
                <w:rFonts w:hint="default"/>
                <w:lang w:val="en-US" w:eastAsia="zh-CN"/>
              </w:rPr>
              <w:t>②治理措施</w:t>
            </w:r>
          </w:p>
          <w:p>
            <w:pPr>
              <w:rPr>
                <w:rFonts w:hint="default"/>
                <w:lang w:val="en-US" w:eastAsia="zh-CN"/>
              </w:rPr>
            </w:pPr>
            <w:r>
              <w:rPr>
                <w:rFonts w:hint="default"/>
                <w:lang w:val="en-US" w:eastAsia="zh-CN"/>
              </w:rPr>
              <w:t>经油烟净化设备</w:t>
            </w:r>
            <w:r>
              <w:rPr>
                <w:rFonts w:hint="eastAsia"/>
                <w:lang w:val="en-US" w:eastAsia="zh-CN"/>
              </w:rPr>
              <w:t>收集</w:t>
            </w:r>
            <w:r>
              <w:rPr>
                <w:rFonts w:hint="default"/>
                <w:lang w:val="en-US" w:eastAsia="zh-CN"/>
              </w:rPr>
              <w:t>处理，处理后经过专用排气房顶排放，风机风量为2000m</w:t>
            </w:r>
            <w:r>
              <w:rPr>
                <w:rFonts w:hint="eastAsia"/>
                <w:vertAlign w:val="superscript"/>
                <w:lang w:val="en-US" w:eastAsia="zh-CN"/>
              </w:rPr>
              <w:t>3</w:t>
            </w:r>
            <w:r>
              <w:rPr>
                <w:rFonts w:hint="default"/>
                <w:lang w:val="en-US" w:eastAsia="zh-CN"/>
              </w:rPr>
              <w:t>/h。</w:t>
            </w:r>
          </w:p>
          <w:p>
            <w:pPr>
              <w:rPr>
                <w:rFonts w:hint="default"/>
                <w:lang w:val="en-US" w:eastAsia="zh-CN"/>
              </w:rPr>
            </w:pPr>
            <w:r>
              <w:rPr>
                <w:rFonts w:hint="default"/>
                <w:lang w:val="en-US" w:eastAsia="zh-CN"/>
              </w:rPr>
              <w:t>油烟的净化率可达</w:t>
            </w:r>
            <w:r>
              <w:rPr>
                <w:rFonts w:hint="eastAsia"/>
                <w:lang w:val="en-US" w:eastAsia="zh-CN"/>
              </w:rPr>
              <w:t>80</w:t>
            </w:r>
            <w:r>
              <w:rPr>
                <w:rFonts w:hint="default"/>
                <w:lang w:val="en-US" w:eastAsia="zh-CN"/>
              </w:rPr>
              <w:t>%以上，治理后</w:t>
            </w:r>
            <w:r>
              <w:rPr>
                <w:rFonts w:hint="eastAsia"/>
                <w:lang w:val="en-US" w:eastAsia="zh-CN"/>
              </w:rPr>
              <w:t>停车场食堂</w:t>
            </w:r>
            <w:r>
              <w:rPr>
                <w:rFonts w:hint="default"/>
                <w:lang w:val="en-US" w:eastAsia="zh-CN"/>
              </w:rPr>
              <w:t>油烟的排放浓度为</w:t>
            </w:r>
            <w:r>
              <w:rPr>
                <w:rFonts w:hint="eastAsia"/>
                <w:lang w:val="en-US" w:eastAsia="zh-CN"/>
              </w:rPr>
              <w:t>1.34</w:t>
            </w:r>
            <w:r>
              <w:rPr>
                <w:rFonts w:hint="default"/>
                <w:lang w:val="en-US" w:eastAsia="zh-CN"/>
              </w:rPr>
              <w:t>mg</w:t>
            </w:r>
            <w:r>
              <w:rPr>
                <w:rFonts w:hint="eastAsia"/>
                <w:lang w:val="en-US" w:eastAsia="zh-CN"/>
              </w:rPr>
              <w:t>/</w:t>
            </w:r>
            <w:r>
              <w:rPr>
                <w:rFonts w:hint="default"/>
                <w:lang w:val="en-US" w:eastAsia="zh-CN"/>
              </w:rPr>
              <w:t>Nm</w:t>
            </w:r>
            <w:r>
              <w:rPr>
                <w:rFonts w:hint="eastAsia"/>
                <w:vertAlign w:val="superscript"/>
                <w:lang w:val="en-US" w:eastAsia="zh-CN"/>
              </w:rPr>
              <w:t>3</w:t>
            </w:r>
            <w:r>
              <w:rPr>
                <w:rFonts w:hint="default"/>
                <w:lang w:val="en-US" w:eastAsia="zh-CN"/>
              </w:rPr>
              <w:t>，排放速率为</w:t>
            </w:r>
            <w:r>
              <w:rPr>
                <w:rFonts w:hint="eastAsia"/>
                <w:lang w:val="en-US" w:eastAsia="zh-CN"/>
              </w:rPr>
              <w:t>0.0027</w:t>
            </w:r>
            <w:r>
              <w:rPr>
                <w:rFonts w:hint="default"/>
                <w:lang w:val="en-US" w:eastAsia="zh-CN"/>
              </w:rPr>
              <w:t>kg/</w:t>
            </w:r>
            <w:r>
              <w:rPr>
                <w:rFonts w:hint="eastAsia"/>
                <w:lang w:val="en-US" w:eastAsia="zh-CN"/>
              </w:rPr>
              <w:t>h</w:t>
            </w:r>
            <w:r>
              <w:rPr>
                <w:rFonts w:hint="default"/>
                <w:lang w:val="en-US" w:eastAsia="zh-CN"/>
              </w:rPr>
              <w:t>，年排放量为0.00</w:t>
            </w:r>
            <w:r>
              <w:rPr>
                <w:rFonts w:hint="eastAsia"/>
                <w:lang w:val="en-US" w:eastAsia="zh-CN"/>
              </w:rPr>
              <w:t>24</w:t>
            </w:r>
            <w:r>
              <w:rPr>
                <w:rFonts w:hint="default"/>
                <w:lang w:val="en-US" w:eastAsia="zh-CN"/>
              </w:rPr>
              <w:t>t</w:t>
            </w:r>
            <w:r>
              <w:rPr>
                <w:rFonts w:hint="eastAsia"/>
                <w:lang w:val="en-US" w:eastAsia="zh-CN"/>
              </w:rPr>
              <w:t>/</w:t>
            </w:r>
            <w:r>
              <w:rPr>
                <w:rFonts w:hint="default"/>
                <w:lang w:val="en-US" w:eastAsia="zh-CN"/>
              </w:rPr>
              <w:t>a</w:t>
            </w:r>
            <w:r>
              <w:rPr>
                <w:rFonts w:hint="eastAsia"/>
                <w:lang w:val="en-US" w:eastAsia="zh-CN"/>
              </w:rPr>
              <w:t>；消防站食堂</w:t>
            </w:r>
            <w:r>
              <w:rPr>
                <w:rFonts w:hint="default"/>
                <w:lang w:val="en-US" w:eastAsia="zh-CN"/>
              </w:rPr>
              <w:t>油烟的排放浓度为</w:t>
            </w:r>
            <w:r>
              <w:rPr>
                <w:rFonts w:hint="eastAsia"/>
                <w:lang w:val="en-US" w:eastAsia="zh-CN"/>
              </w:rPr>
              <w:t>1.57</w:t>
            </w:r>
            <w:r>
              <w:rPr>
                <w:rFonts w:hint="default"/>
                <w:lang w:val="en-US" w:eastAsia="zh-CN"/>
              </w:rPr>
              <w:t>mg</w:t>
            </w:r>
            <w:r>
              <w:rPr>
                <w:rFonts w:hint="eastAsia"/>
                <w:lang w:val="en-US" w:eastAsia="zh-CN"/>
              </w:rPr>
              <w:t>/</w:t>
            </w:r>
            <w:r>
              <w:rPr>
                <w:rFonts w:hint="default"/>
                <w:lang w:val="en-US" w:eastAsia="zh-CN"/>
              </w:rPr>
              <w:t>Nm</w:t>
            </w:r>
            <w:r>
              <w:rPr>
                <w:rFonts w:hint="eastAsia"/>
                <w:vertAlign w:val="superscript"/>
                <w:lang w:val="en-US" w:eastAsia="zh-CN"/>
              </w:rPr>
              <w:t>3</w:t>
            </w:r>
            <w:r>
              <w:rPr>
                <w:rFonts w:hint="default"/>
                <w:lang w:val="en-US" w:eastAsia="zh-CN"/>
              </w:rPr>
              <w:t>，排放速率为</w:t>
            </w:r>
            <w:r>
              <w:rPr>
                <w:rFonts w:hint="eastAsia"/>
                <w:lang w:val="en-US" w:eastAsia="zh-CN"/>
              </w:rPr>
              <w:t>0.0031</w:t>
            </w:r>
            <w:r>
              <w:rPr>
                <w:rFonts w:hint="default"/>
                <w:lang w:val="en-US" w:eastAsia="zh-CN"/>
              </w:rPr>
              <w:t>kg/</w:t>
            </w:r>
            <w:r>
              <w:rPr>
                <w:rFonts w:hint="eastAsia"/>
                <w:lang w:val="en-US" w:eastAsia="zh-CN"/>
              </w:rPr>
              <w:t>h</w:t>
            </w:r>
            <w:r>
              <w:rPr>
                <w:rFonts w:hint="default"/>
                <w:lang w:val="en-US" w:eastAsia="zh-CN"/>
              </w:rPr>
              <w:t>，年排放量为</w:t>
            </w:r>
            <w:r>
              <w:rPr>
                <w:rFonts w:hint="eastAsia"/>
                <w:lang w:val="en-US" w:eastAsia="zh-CN"/>
              </w:rPr>
              <w:t>1.57</w:t>
            </w:r>
            <w:r>
              <w:rPr>
                <w:rFonts w:hint="default"/>
                <w:lang w:val="en-US" w:eastAsia="zh-CN"/>
              </w:rPr>
              <w:t>t</w:t>
            </w:r>
            <w:r>
              <w:rPr>
                <w:rFonts w:hint="eastAsia"/>
                <w:lang w:val="en-US" w:eastAsia="zh-CN"/>
              </w:rPr>
              <w:t>/</w:t>
            </w:r>
            <w:r>
              <w:rPr>
                <w:rFonts w:hint="default"/>
                <w:lang w:val="en-US" w:eastAsia="zh-CN"/>
              </w:rPr>
              <w:t>a，处理后油烟排放的浓度能达到《饮食业油烟排放标准(试行)》(GB18483-2001)小型规模标准</w:t>
            </w:r>
            <w:r>
              <w:rPr>
                <w:rFonts w:hint="eastAsia"/>
                <w:lang w:val="en-US" w:eastAsia="zh-CN"/>
              </w:rPr>
              <w:t>。</w:t>
            </w:r>
          </w:p>
          <w:p>
            <w:pPr>
              <w:pStyle w:val="26"/>
              <w:bidi w:val="0"/>
              <w:rPr>
                <w:rFonts w:hint="default"/>
                <w:lang w:val="en-US" w:eastAsia="zh-CN"/>
              </w:rPr>
            </w:pPr>
            <w:r>
              <w:t xml:space="preserve">表 </w:t>
            </w:r>
            <w:r>
              <w:rPr>
                <w:rFonts w:hint="eastAsia"/>
                <w:lang w:val="en-US" w:eastAsia="zh-CN"/>
              </w:rPr>
              <w:t>4.2</w:t>
            </w:r>
            <w:r>
              <w:rPr>
                <w:rFonts w:hint="eastAsia"/>
                <w:lang w:eastAsia="zh-CN"/>
              </w:rPr>
              <w:t>-</w:t>
            </w:r>
            <w:r>
              <w:rPr>
                <w:rFonts w:hint="eastAsia"/>
                <w:lang w:val="en-US" w:eastAsia="zh-CN"/>
              </w:rPr>
              <w:t>10</w:t>
            </w:r>
            <w:r>
              <w:rPr>
                <w:rFonts w:hint="default"/>
                <w:lang w:val="en-US" w:eastAsia="zh-CN"/>
              </w:rPr>
              <w:t>项目食堂油烟产生治理措施及排放情况</w:t>
            </w:r>
          </w:p>
          <w:tbl>
            <w:tblPr>
              <w:tblStyle w:val="1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475"/>
              <w:gridCol w:w="688"/>
              <w:gridCol w:w="1037"/>
              <w:gridCol w:w="850"/>
              <w:gridCol w:w="675"/>
              <w:gridCol w:w="650"/>
              <w:gridCol w:w="1063"/>
              <w:gridCol w:w="887"/>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429"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产生位置</w:t>
                  </w:r>
                </w:p>
              </w:tc>
              <w:tc>
                <w:tcPr>
                  <w:tcW w:w="290"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人数</w:t>
                  </w:r>
                </w:p>
              </w:tc>
              <w:tc>
                <w:tcPr>
                  <w:tcW w:w="421"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排污系数</w:t>
                  </w:r>
                </w:p>
              </w:tc>
              <w:tc>
                <w:tcPr>
                  <w:tcW w:w="635"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产生速率（kg/h）</w:t>
                  </w:r>
                </w:p>
              </w:tc>
              <w:tc>
                <w:tcPr>
                  <w:tcW w:w="520"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产生量（t/a）</w:t>
                  </w:r>
                </w:p>
              </w:tc>
              <w:tc>
                <w:tcPr>
                  <w:tcW w:w="413"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治理措施</w:t>
                  </w:r>
                </w:p>
              </w:tc>
              <w:tc>
                <w:tcPr>
                  <w:tcW w:w="398"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处理效率</w:t>
                  </w:r>
                </w:p>
              </w:tc>
              <w:tc>
                <w:tcPr>
                  <w:tcW w:w="651"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排放速率（kg/h）</w:t>
                  </w:r>
                </w:p>
              </w:tc>
              <w:tc>
                <w:tcPr>
                  <w:tcW w:w="543"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排放量（t/a）</w:t>
                  </w:r>
                </w:p>
              </w:tc>
              <w:tc>
                <w:tcPr>
                  <w:tcW w:w="696"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排放浓度（mg/m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29"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停车场食堂</w:t>
                  </w:r>
                </w:p>
              </w:tc>
              <w:tc>
                <w:tcPr>
                  <w:tcW w:w="290"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40</w:t>
                  </w:r>
                </w:p>
              </w:tc>
              <w:tc>
                <w:tcPr>
                  <w:tcW w:w="421" w:type="pct"/>
                  <w:vMerge w:val="restar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301g/（人·年）</w:t>
                  </w:r>
                </w:p>
              </w:tc>
              <w:tc>
                <w:tcPr>
                  <w:tcW w:w="635"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0.013</w:t>
                  </w:r>
                </w:p>
              </w:tc>
              <w:tc>
                <w:tcPr>
                  <w:tcW w:w="520"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0.012</w:t>
                  </w:r>
                </w:p>
              </w:tc>
              <w:tc>
                <w:tcPr>
                  <w:tcW w:w="413" w:type="pct"/>
                  <w:vMerge w:val="restar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经油烟净化器处理后引至楼顶排放</w:t>
                  </w:r>
                </w:p>
              </w:tc>
              <w:tc>
                <w:tcPr>
                  <w:tcW w:w="398" w:type="pct"/>
                  <w:vMerge w:val="restar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80%</w:t>
                  </w:r>
                </w:p>
              </w:tc>
              <w:tc>
                <w:tcPr>
                  <w:tcW w:w="651"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0.0027</w:t>
                  </w:r>
                </w:p>
              </w:tc>
              <w:tc>
                <w:tcPr>
                  <w:tcW w:w="543"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0.0024</w:t>
                  </w:r>
                </w:p>
              </w:tc>
              <w:tc>
                <w:tcPr>
                  <w:tcW w:w="696"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29"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消防站食堂</w:t>
                  </w:r>
                </w:p>
              </w:tc>
              <w:tc>
                <w:tcPr>
                  <w:tcW w:w="290"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57</w:t>
                  </w:r>
                </w:p>
              </w:tc>
              <w:tc>
                <w:tcPr>
                  <w:tcW w:w="421" w:type="pct"/>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p>
              </w:tc>
              <w:tc>
                <w:tcPr>
                  <w:tcW w:w="635"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0.016</w:t>
                  </w:r>
                </w:p>
              </w:tc>
              <w:tc>
                <w:tcPr>
                  <w:tcW w:w="520"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0.017</w:t>
                  </w:r>
                </w:p>
              </w:tc>
              <w:tc>
                <w:tcPr>
                  <w:tcW w:w="413" w:type="pct"/>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p>
              </w:tc>
              <w:tc>
                <w:tcPr>
                  <w:tcW w:w="398" w:type="pct"/>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sz w:val="21"/>
                      <w:szCs w:val="21"/>
                      <w:lang w:val="en-US" w:eastAsia="zh-CN"/>
                    </w:rPr>
                  </w:pPr>
                </w:p>
              </w:tc>
              <w:tc>
                <w:tcPr>
                  <w:tcW w:w="651"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0.0031</w:t>
                  </w:r>
                </w:p>
              </w:tc>
              <w:tc>
                <w:tcPr>
                  <w:tcW w:w="543"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0.0034</w:t>
                  </w:r>
                </w:p>
              </w:tc>
              <w:tc>
                <w:tcPr>
                  <w:tcW w:w="696"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1.57</w:t>
                  </w:r>
                </w:p>
              </w:tc>
            </w:tr>
          </w:tbl>
          <w:p>
            <w:pPr>
              <w:bidi w:val="0"/>
              <w:rPr>
                <w:rFonts w:hint="eastAsia" w:ascii="Times New Roman" w:hAnsi="Times New Roman" w:cs="Times New Roman"/>
                <w:b/>
                <w:bCs/>
                <w:sz w:val="24"/>
                <w:szCs w:val="24"/>
                <w:lang w:val="en-US" w:eastAsia="zh-CN"/>
              </w:rPr>
            </w:pPr>
            <w:r>
              <w:rPr>
                <w:rFonts w:hint="eastAsia" w:cs="Times New Roman"/>
                <w:b/>
                <w:bCs/>
                <w:sz w:val="24"/>
                <w:szCs w:val="24"/>
                <w:lang w:val="en-US" w:eastAsia="zh-CN"/>
              </w:rPr>
              <w:t>5、</w:t>
            </w:r>
            <w:r>
              <w:rPr>
                <w:rFonts w:hint="eastAsia" w:ascii="Times New Roman" w:hAnsi="Times New Roman" w:cs="Times New Roman"/>
                <w:b/>
                <w:bCs/>
                <w:sz w:val="24"/>
                <w:szCs w:val="24"/>
                <w:lang w:val="en-US" w:eastAsia="zh-CN"/>
              </w:rPr>
              <w:t>污水处理站废气</w:t>
            </w:r>
          </w:p>
          <w:p>
            <w:pPr>
              <w:bidi w:val="0"/>
              <w:rPr>
                <w:rFonts w:hint="eastAsia" w:ascii="Times New Roman" w:hAnsi="Times New Roman" w:cs="Times New Roman"/>
                <w:sz w:val="24"/>
                <w:szCs w:val="24"/>
                <w:lang w:val="en-US" w:eastAsia="zh-CN"/>
              </w:rPr>
            </w:pPr>
            <w:r>
              <w:rPr>
                <w:rFonts w:hint="eastAsia" w:cs="Times New Roman"/>
                <w:sz w:val="24"/>
                <w:szCs w:val="24"/>
                <w:lang w:val="en-US" w:eastAsia="zh-CN"/>
              </w:rPr>
              <w:t>本项目设置有一体化污水处理设施，对项目废水进行处理，废水处理过程中将产生少量有机废气及恶臭（硫化氢、氨）。本项目一体化污水处理设施属于密闭设备，仅换气口有少量废气排放。因此，</w:t>
            </w:r>
            <w:r>
              <w:rPr>
                <w:rFonts w:hint="eastAsia" w:cs="Times New Roman"/>
                <w:b/>
                <w:bCs/>
                <w:sz w:val="24"/>
                <w:szCs w:val="24"/>
                <w:lang w:val="en-US" w:eastAsia="zh-CN"/>
              </w:rPr>
              <w:t>环评要求：</w:t>
            </w:r>
            <w:r>
              <w:rPr>
                <w:rFonts w:hint="eastAsia" w:cs="Times New Roman"/>
                <w:sz w:val="24"/>
                <w:szCs w:val="24"/>
                <w:lang w:val="en-US" w:eastAsia="zh-CN"/>
              </w:rPr>
              <w:t>设置一套活性炭吸附装置，将污水处理站废气引入活性炭吸附装置处理后，可无组织排放，对周围环境影响较小。</w:t>
            </w:r>
          </w:p>
          <w:p>
            <w:pPr>
              <w:bidi w:val="0"/>
              <w:rPr>
                <w:rFonts w:hint="default"/>
                <w:b/>
                <w:bCs/>
                <w:lang w:eastAsia="zh-CN"/>
              </w:rPr>
            </w:pPr>
            <w:r>
              <w:rPr>
                <w:rFonts w:hint="eastAsia" w:cs="Times New Roman"/>
                <w:b/>
                <w:bCs/>
                <w:sz w:val="24"/>
                <w:szCs w:val="24"/>
                <w:lang w:val="en-US" w:eastAsia="zh-CN"/>
              </w:rPr>
              <w:t>6、</w:t>
            </w:r>
            <w:r>
              <w:rPr>
                <w:rFonts w:hint="eastAsia" w:ascii="Times New Roman" w:hAnsi="Times New Roman" w:cs="Times New Roman"/>
                <w:b/>
                <w:bCs/>
                <w:sz w:val="24"/>
                <w:szCs w:val="24"/>
                <w:lang w:val="en-US" w:eastAsia="zh-CN"/>
              </w:rPr>
              <w:t>危废暂存间废气</w:t>
            </w:r>
          </w:p>
          <w:p>
            <w:pPr>
              <w:bidi w:val="0"/>
              <w:rPr>
                <w:rFonts w:hint="default"/>
                <w:lang w:val="en-US" w:eastAsia="zh-CN"/>
              </w:rPr>
            </w:pPr>
            <w:r>
              <w:rPr>
                <w:rFonts w:hint="eastAsia"/>
                <w:lang w:val="en-US" w:eastAsia="zh-CN"/>
              </w:rPr>
              <w:t>本项目设置有危废暂存间，位于洗罐车间内，主要用于储存项目产生的危险废物，包括罐车残留液、蒸汽清洗废液、废活性炭以及维修产生的废机油、含油抹布手套等。</w:t>
            </w:r>
          </w:p>
          <w:p>
            <w:pPr>
              <w:bidi w:val="0"/>
              <w:rPr>
                <w:rFonts w:hint="default"/>
                <w:lang w:val="en-US" w:eastAsia="zh-CN"/>
              </w:rPr>
            </w:pPr>
            <w:r>
              <w:rPr>
                <w:rFonts w:hint="eastAsia"/>
                <w:lang w:val="en-US" w:eastAsia="zh-CN"/>
              </w:rPr>
              <w:t>残留液、清洗废液包括有机溶剂、废酸、废碱等，在储存过程将会产生有机废气、酸雾、氨等废气，由于项目残留液、清洗废液均采用密闭管储存，因此废气产生量较小。</w:t>
            </w:r>
            <w:r>
              <w:rPr>
                <w:rFonts w:hint="eastAsia"/>
                <w:b/>
                <w:bCs/>
                <w:lang w:val="en-US" w:eastAsia="zh-CN"/>
              </w:rPr>
              <w:t>环评要求：</w:t>
            </w:r>
            <w:r>
              <w:rPr>
                <w:rFonts w:hint="eastAsia"/>
                <w:lang w:val="en-US" w:eastAsia="zh-CN"/>
              </w:rPr>
              <w:t>于危废暂存间内设置负压吸风设施，将废气引至废气处理系统（</w:t>
            </w:r>
            <w:r>
              <w:rPr>
                <w:rFonts w:hint="eastAsia" w:ascii="Times New Roman" w:hAnsi="Times New Roman" w:cs="Times New Roman"/>
                <w:lang w:val="en-US" w:eastAsia="zh-CN"/>
              </w:rPr>
              <w:t>碱喷淋+干式过滤棉+二级蜂窝状活性炭</w:t>
            </w:r>
            <w:r>
              <w:rPr>
                <w:rFonts w:hint="eastAsia"/>
                <w:lang w:val="en-US" w:eastAsia="zh-CN"/>
              </w:rPr>
              <w:t>）处理后通过排气筒（DA001）排放。参考《工业建筑供暖通风与空气调节设计规范》(GB5019-2015)和《化工采暖通风和空气调节设计规范》(HG/T20698-2009)等相关规范，并结合本项目实际情况，项目危废暂存间设计换气次数不得低于1次/1小时。危废间大小为10m</w:t>
            </w:r>
            <w:r>
              <w:rPr>
                <w:rFonts w:hint="eastAsia"/>
                <w:vertAlign w:val="superscript"/>
                <w:lang w:val="en-US" w:eastAsia="zh-CN"/>
              </w:rPr>
              <w:t>2</w:t>
            </w:r>
            <w:r>
              <w:rPr>
                <w:rFonts w:hint="eastAsia"/>
                <w:lang w:val="en-US" w:eastAsia="zh-CN"/>
              </w:rPr>
              <w:t>，高度为10m，则危废暂存间换气量不得低于100m</w:t>
            </w:r>
            <w:r>
              <w:rPr>
                <w:rFonts w:hint="eastAsia"/>
                <w:vertAlign w:val="superscript"/>
                <w:lang w:val="en-US" w:eastAsia="zh-CN"/>
              </w:rPr>
              <w:t>3</w:t>
            </w:r>
            <w:r>
              <w:rPr>
                <w:rFonts w:hint="eastAsia"/>
                <w:lang w:val="en-US" w:eastAsia="zh-CN"/>
              </w:rPr>
              <w:t>/h。</w:t>
            </w:r>
          </w:p>
          <w:p>
            <w:pPr>
              <w:pStyle w:val="8"/>
              <w:rPr>
                <w:rFonts w:hint="default" w:ascii="Times New Roman" w:hAnsi="Times New Roman" w:cs="Times New Roman"/>
                <w:b/>
                <w:bCs/>
                <w:lang w:eastAsia="zh-CN"/>
              </w:rPr>
            </w:pPr>
            <w:r>
              <w:rPr>
                <w:rFonts w:hint="eastAsia" w:ascii="Times New Roman" w:hAnsi="Times New Roman" w:cs="Times New Roman"/>
                <w:b/>
                <w:bCs/>
                <w:lang w:val="en-US" w:eastAsia="zh-CN"/>
              </w:rPr>
              <w:t>7、</w:t>
            </w:r>
            <w:r>
              <w:rPr>
                <w:rFonts w:hint="default" w:ascii="Times New Roman" w:hAnsi="Times New Roman" w:cs="Times New Roman"/>
                <w:b/>
                <w:bCs/>
                <w:lang w:eastAsia="zh-CN"/>
              </w:rPr>
              <w:t>废气排放口设置情况及监测计划</w:t>
            </w:r>
          </w:p>
          <w:p>
            <w:pPr>
              <w:pStyle w:val="8"/>
              <w:rPr>
                <w:rFonts w:hint="default" w:ascii="Times New Roman" w:hAnsi="Times New Roman" w:cs="Times New Roman"/>
                <w:lang w:val="en-US"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eastAsia" w:ascii="Times New Roman" w:hAnsi="Times New Roman" w:cs="Times New Roman"/>
                <w:lang w:val="en-US" w:eastAsia="zh-CN"/>
              </w:rPr>
              <w:t>废气排放口设置情况</w:t>
            </w:r>
          </w:p>
          <w:p>
            <w:pPr>
              <w:pStyle w:val="8"/>
              <w:rPr>
                <w:rFonts w:hint="default" w:ascii="Times New Roman" w:hAnsi="Times New Roman" w:cs="Times New Roman"/>
                <w:lang w:eastAsia="zh-CN"/>
              </w:rPr>
            </w:pPr>
            <w:r>
              <w:rPr>
                <w:rFonts w:hint="default" w:ascii="Times New Roman" w:hAnsi="Times New Roman" w:cs="Times New Roman"/>
                <w:lang w:eastAsia="zh-CN"/>
              </w:rPr>
              <w:t>本项目排气筒设置情况如下表。</w:t>
            </w:r>
          </w:p>
          <w:p>
            <w:pPr>
              <w:pStyle w:val="26"/>
              <w:bidi w:val="0"/>
              <w:rPr>
                <w:rFonts w:hint="default"/>
                <w:lang w:eastAsia="zh-CN"/>
              </w:rPr>
            </w:pPr>
            <w:r>
              <w:rPr>
                <w:rFonts w:hint="default"/>
                <w:lang w:eastAsia="zh-CN"/>
              </w:rPr>
              <w:t>表 4.2-</w:t>
            </w:r>
            <w:r>
              <w:rPr>
                <w:rFonts w:hint="eastAsia"/>
                <w:lang w:val="en-US" w:eastAsia="zh-CN"/>
              </w:rPr>
              <w:t>7</w:t>
            </w:r>
            <w:r>
              <w:rPr>
                <w:rFonts w:hint="default"/>
                <w:lang w:eastAsia="zh-CN"/>
              </w:rPr>
              <w:t xml:space="preserve"> 本项目排气简设置参数表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617"/>
              <w:gridCol w:w="1675"/>
              <w:gridCol w:w="975"/>
              <w:gridCol w:w="521"/>
              <w:gridCol w:w="521"/>
              <w:gridCol w:w="521"/>
              <w:gridCol w:w="662"/>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排放口</w:t>
                  </w:r>
                </w:p>
              </w:tc>
              <w:tc>
                <w:tcPr>
                  <w:tcW w:w="990" w:type="pct"/>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污染物</w:t>
                  </w:r>
                </w:p>
              </w:tc>
              <w:tc>
                <w:tcPr>
                  <w:tcW w:w="1025" w:type="pct"/>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排放口位置坐标</w:t>
                  </w:r>
                </w:p>
              </w:tc>
              <w:tc>
                <w:tcPr>
                  <w:tcW w:w="596" w:type="pct"/>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设计风量（m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/h）</w:t>
                  </w:r>
                </w:p>
              </w:tc>
              <w:tc>
                <w:tcPr>
                  <w:tcW w:w="1362" w:type="pct"/>
                  <w:gridSpan w:val="4"/>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排气筒参数</w:t>
                  </w:r>
                </w:p>
              </w:tc>
              <w:tc>
                <w:tcPr>
                  <w:tcW w:w="390" w:type="pct"/>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年排放小时数/h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vMerge w:val="continue"/>
                  <w:noWrap w:val="0"/>
                  <w:vAlign w:val="center"/>
                </w:tcPr>
                <w:p>
                  <w:pPr>
                    <w:pStyle w:val="28"/>
                    <w:bidi w:val="0"/>
                    <w:jc w:val="center"/>
                    <w:rPr>
                      <w:rFonts w:hint="default" w:ascii="Times New Roman" w:hAnsi="Times New Roman" w:cs="Times New Roman"/>
                      <w:lang w:eastAsia="zh-CN"/>
                    </w:rPr>
                  </w:pPr>
                </w:p>
              </w:tc>
              <w:tc>
                <w:tcPr>
                  <w:tcW w:w="990" w:type="pct"/>
                  <w:vMerge w:val="continue"/>
                  <w:noWrap w:val="0"/>
                  <w:vAlign w:val="center"/>
                </w:tcPr>
                <w:p>
                  <w:pPr>
                    <w:pStyle w:val="28"/>
                    <w:bidi w:val="0"/>
                    <w:jc w:val="center"/>
                    <w:rPr>
                      <w:rFonts w:hint="default" w:ascii="Times New Roman" w:hAnsi="Times New Roman" w:cs="Times New Roman"/>
                      <w:lang w:eastAsia="zh-CN"/>
                    </w:rPr>
                  </w:pPr>
                </w:p>
              </w:tc>
              <w:tc>
                <w:tcPr>
                  <w:tcW w:w="1025" w:type="pct"/>
                  <w:vMerge w:val="continue"/>
                  <w:noWrap w:val="0"/>
                  <w:vAlign w:val="center"/>
                </w:tcPr>
                <w:p>
                  <w:pPr>
                    <w:pStyle w:val="28"/>
                    <w:bidi w:val="0"/>
                    <w:jc w:val="center"/>
                    <w:rPr>
                      <w:rFonts w:hint="default" w:ascii="Times New Roman" w:hAnsi="Times New Roman" w:cs="Times New Roman"/>
                      <w:lang w:eastAsia="zh-CN"/>
                    </w:rPr>
                  </w:pPr>
                </w:p>
              </w:tc>
              <w:tc>
                <w:tcPr>
                  <w:tcW w:w="596" w:type="pct"/>
                  <w:vMerge w:val="continue"/>
                  <w:noWrap w:val="0"/>
                  <w:vAlign w:val="center"/>
                </w:tcPr>
                <w:p>
                  <w:pPr>
                    <w:pStyle w:val="28"/>
                    <w:bidi w:val="0"/>
                    <w:jc w:val="center"/>
                    <w:rPr>
                      <w:rFonts w:hint="default" w:ascii="Times New Roman" w:hAnsi="Times New Roman" w:cs="Times New Roman"/>
                      <w:lang w:eastAsia="zh-CN"/>
                    </w:rPr>
                  </w:pPr>
                </w:p>
              </w:tc>
              <w:tc>
                <w:tcPr>
                  <w:tcW w:w="319" w:type="pc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高度</w:t>
                  </w:r>
                </w:p>
              </w:tc>
              <w:tc>
                <w:tcPr>
                  <w:tcW w:w="319" w:type="pc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内径</w:t>
                  </w:r>
                </w:p>
              </w:tc>
              <w:tc>
                <w:tcPr>
                  <w:tcW w:w="319" w:type="pc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温度</w:t>
                  </w:r>
                </w:p>
              </w:tc>
              <w:tc>
                <w:tcPr>
                  <w:tcW w:w="405" w:type="pc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类型</w:t>
                  </w:r>
                </w:p>
              </w:tc>
              <w:tc>
                <w:tcPr>
                  <w:tcW w:w="390" w:type="pct"/>
                  <w:vMerge w:val="continue"/>
                  <w:noWrap w:val="0"/>
                  <w:vAlign w:val="center"/>
                </w:tcPr>
                <w:p>
                  <w:pPr>
                    <w:pStyle w:val="28"/>
                    <w:bidi w:val="0"/>
                    <w:jc w:val="center"/>
                    <w:rPr>
                      <w:rFonts w:hint="default" w:ascii="Times New Roman" w:hAnsi="Times New Roman" w:cs="Times New Roman"/>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pct"/>
                  <w:noWrap w:val="0"/>
                  <w:vAlign w:val="center"/>
                </w:tcPr>
                <w:p>
                  <w:pPr>
                    <w:pStyle w:val="28"/>
                    <w:bidi w:val="0"/>
                    <w:jc w:val="center"/>
                    <w:rPr>
                      <w:rFonts w:hint="default" w:ascii="Times New Roman" w:hAnsi="Times New Roman" w:cs="Times New Roman"/>
                      <w:lang w:val="en-US" w:eastAsia="zh-CN"/>
                    </w:rPr>
                  </w:pPr>
                  <w:r>
                    <w:rPr>
                      <w:rFonts w:hint="eastAsia" w:cs="Times New Roman"/>
                      <w:lang w:val="en-US" w:eastAsia="zh-CN"/>
                    </w:rPr>
                    <w:t>停车场废气排放口</w:t>
                  </w:r>
                  <w:r>
                    <w:rPr>
                      <w:rFonts w:hint="default" w:ascii="Times New Roman" w:hAnsi="Times New Roman" w:cs="Times New Roman"/>
                      <w:lang w:val="en-US" w:eastAsia="zh-CN"/>
                    </w:rPr>
                    <w:t>DA001</w:t>
                  </w:r>
                </w:p>
              </w:tc>
              <w:tc>
                <w:tcPr>
                  <w:tcW w:w="990" w:type="pc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lang w:val="en-US" w:eastAsia="zh-CN"/>
                    </w:rPr>
                  </w:pPr>
                  <w:r>
                    <w:rPr>
                      <w:rFonts w:hint="eastAsia" w:ascii="Times New Roman" w:hAnsi="Times New Roman" w:eastAsia="宋体" w:cs="Times New Roman"/>
                      <w:sz w:val="21"/>
                      <w:szCs w:val="21"/>
                      <w:lang w:val="en-US" w:eastAsia="zh-CN"/>
                    </w:rPr>
                    <w:t>VOCs、</w:t>
                  </w:r>
                  <w:r>
                    <w:rPr>
                      <w:rFonts w:hint="default" w:ascii="Times New Roman" w:hAnsi="Times New Roman" w:eastAsia="宋体" w:cs="Times New Roman"/>
                      <w:sz w:val="21"/>
                      <w:szCs w:val="21"/>
                      <w:lang w:val="en-US" w:eastAsia="zh-CN"/>
                    </w:rPr>
                    <w:t>硫酸</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硝酸</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二硫化碳</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氢氟酸</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盐酸</w:t>
                  </w:r>
                </w:p>
              </w:tc>
              <w:tc>
                <w:tcPr>
                  <w:tcW w:w="1025" w:type="pct"/>
                  <w:noWrap w:val="0"/>
                  <w:vAlign w:val="center"/>
                </w:tcPr>
                <w:p>
                  <w:pPr>
                    <w:pStyle w:val="28"/>
                    <w:bidi w:val="0"/>
                    <w:jc w:val="center"/>
                    <w:rPr>
                      <w:rFonts w:hint="default" w:ascii="Times New Roman" w:hAnsi="Times New Roman" w:cs="Times New Roman"/>
                      <w:lang w:eastAsia="zh-CN"/>
                    </w:rPr>
                  </w:pPr>
                  <w:r>
                    <w:rPr>
                      <w:rFonts w:hint="eastAsia" w:ascii="Times New Roman" w:hAnsi="Times New Roman" w:cs="Times New Roman"/>
                      <w:lang w:val="en-US" w:eastAsia="zh-CN"/>
                    </w:rPr>
                    <w:t>107.692884042,31.515190833</w:t>
                  </w:r>
                </w:p>
              </w:tc>
              <w:tc>
                <w:tcPr>
                  <w:tcW w:w="596" w:type="pct"/>
                  <w:noWrap w:val="0"/>
                  <w:vAlign w:val="center"/>
                </w:tcPr>
                <w:p>
                  <w:pPr>
                    <w:pStyle w:val="28"/>
                    <w:bidi w:val="0"/>
                    <w:jc w:val="center"/>
                    <w:rPr>
                      <w:rFonts w:hint="default" w:ascii="Times New Roman" w:hAnsi="Times New Roman" w:cs="Times New Roman"/>
                      <w:lang w:val="en-US" w:eastAsia="zh-CN"/>
                    </w:rPr>
                  </w:pPr>
                  <w:r>
                    <w:rPr>
                      <w:rFonts w:hint="eastAsia" w:cs="Times New Roman"/>
                      <w:lang w:val="en-US" w:eastAsia="zh-CN"/>
                    </w:rPr>
                    <w:t>61</w:t>
                  </w:r>
                  <w:r>
                    <w:rPr>
                      <w:rFonts w:hint="eastAsia" w:ascii="Times New Roman" w:hAnsi="Times New Roman" w:cs="Times New Roman"/>
                      <w:lang w:val="en-US" w:eastAsia="zh-CN"/>
                    </w:rPr>
                    <w:t>00</w:t>
                  </w:r>
                </w:p>
              </w:tc>
              <w:tc>
                <w:tcPr>
                  <w:tcW w:w="319" w:type="pc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15</w:t>
                  </w:r>
                </w:p>
              </w:tc>
              <w:tc>
                <w:tcPr>
                  <w:tcW w:w="319" w:type="pc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0.57</w:t>
                  </w:r>
                </w:p>
              </w:tc>
              <w:tc>
                <w:tcPr>
                  <w:tcW w:w="319" w:type="pc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25</w:t>
                  </w:r>
                </w:p>
              </w:tc>
              <w:tc>
                <w:tcPr>
                  <w:tcW w:w="405" w:type="pc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一般排放口</w:t>
                  </w:r>
                </w:p>
              </w:tc>
              <w:tc>
                <w:tcPr>
                  <w:tcW w:w="390" w:type="pct"/>
                  <w:noWrap w:val="0"/>
                  <w:vAlign w:val="center"/>
                </w:tcPr>
                <w:p>
                  <w:pPr>
                    <w:pStyle w:val="28"/>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17</w:t>
                  </w:r>
                  <w:r>
                    <w:rPr>
                      <w:rFonts w:hint="eastAsia"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9"/>
                  <w:noWrap w:val="0"/>
                  <w:vAlign w:val="center"/>
                </w:tcPr>
                <w:p>
                  <w:pPr>
                    <w:pStyle w:val="28"/>
                    <w:bidi w:val="0"/>
                    <w:jc w:val="both"/>
                    <w:rPr>
                      <w:rFonts w:hint="default" w:ascii="Times New Roman" w:hAnsi="Times New Roman" w:cs="Times New Roman"/>
                      <w:lang w:val="en-US" w:eastAsia="zh-CN"/>
                    </w:rPr>
                  </w:pPr>
                  <w:r>
                    <w:rPr>
                      <w:rFonts w:hint="eastAsia" w:cs="Times New Roman"/>
                      <w:lang w:val="en-US" w:eastAsia="zh-CN"/>
                    </w:rPr>
                    <w:t>注：年排放小时数为所有罐体抽气时间总和</w:t>
                  </w:r>
                </w:p>
              </w:tc>
            </w:tr>
          </w:tbl>
          <w:p>
            <w:pPr>
              <w:rPr>
                <w:rFonts w:hint="default" w:ascii="Times New Roman" w:hAnsi="Times New Roman" w:cs="Times New Roman"/>
                <w:lang w:val="en-US" w:eastAsia="zh-C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eastAsia" w:cs="Times New Roman"/>
                <w:lang w:val="en-US" w:eastAsia="zh-CN"/>
              </w:rPr>
              <w:t>监测计划</w:t>
            </w:r>
          </w:p>
          <w:p>
            <w:pPr>
              <w:rPr>
                <w:rFonts w:hint="default" w:ascii="Times New Roman" w:hAnsi="Times New Roman" w:cs="Times New Roman"/>
                <w:lang w:eastAsia="zh-CN"/>
              </w:rPr>
            </w:pPr>
            <w:r>
              <w:rPr>
                <w:rFonts w:hint="default" w:ascii="Times New Roman" w:hAnsi="Times New Roman" w:cs="Times New Roman"/>
                <w:lang w:eastAsia="zh-CN"/>
              </w:rPr>
              <w:t>根据《建设项目竣工环境保护验收暂行办法》(国环规环评[201714号)《排污单位自行监测技术指南 总则》(HJ819-2017)和《建设项目竣工环境保护验收技术指南 污染影响类》(生态环境部公告 2018年第9号)相关要求本项目废气监测计划如下:</w:t>
            </w:r>
          </w:p>
          <w:p>
            <w:pPr>
              <w:pStyle w:val="26"/>
              <w:bidi w:val="0"/>
              <w:rPr>
                <w:rFonts w:hint="default"/>
                <w:lang w:eastAsia="zh-CN"/>
              </w:rPr>
            </w:pPr>
            <w:r>
              <w:rPr>
                <w:rFonts w:hint="default"/>
                <w:lang w:eastAsia="zh-CN"/>
              </w:rPr>
              <w:t>表 4.2-</w:t>
            </w:r>
            <w:r>
              <w:rPr>
                <w:rFonts w:hint="eastAsia"/>
                <w:lang w:val="en-US" w:eastAsia="zh-CN"/>
              </w:rPr>
              <w:t>8</w:t>
            </w:r>
            <w:r>
              <w:rPr>
                <w:rFonts w:hint="default"/>
                <w:lang w:eastAsia="zh-CN"/>
              </w:rPr>
              <w:t>大气环境监测计划一览表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586"/>
              <w:gridCol w:w="1426"/>
              <w:gridCol w:w="3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61" w:type="pct"/>
                  <w:noWrap w:val="0"/>
                  <w:vAlign w:val="center"/>
                </w:tcPr>
                <w:p>
                  <w:pPr>
                    <w:pStyle w:val="22"/>
                    <w:bidi w:val="0"/>
                    <w:rPr>
                      <w:rFonts w:hint="default"/>
                      <w:lang w:val="en-US" w:eastAsia="zh-CN"/>
                    </w:rPr>
                  </w:pPr>
                  <w:r>
                    <w:rPr>
                      <w:rFonts w:hint="default"/>
                      <w:lang w:val="en-US" w:eastAsia="zh-CN"/>
                    </w:rPr>
                    <w:t>监测点位</w:t>
                  </w:r>
                </w:p>
              </w:tc>
              <w:tc>
                <w:tcPr>
                  <w:tcW w:w="971" w:type="pct"/>
                  <w:noWrap w:val="0"/>
                  <w:vAlign w:val="center"/>
                </w:tcPr>
                <w:p>
                  <w:pPr>
                    <w:pStyle w:val="22"/>
                    <w:bidi w:val="0"/>
                    <w:rPr>
                      <w:rFonts w:hint="default"/>
                      <w:lang w:val="en-US" w:eastAsia="zh-CN"/>
                    </w:rPr>
                  </w:pPr>
                  <w:r>
                    <w:rPr>
                      <w:rFonts w:hint="default"/>
                      <w:lang w:val="en-US" w:eastAsia="zh-CN"/>
                    </w:rPr>
                    <w:t>监测指标</w:t>
                  </w:r>
                </w:p>
              </w:tc>
              <w:tc>
                <w:tcPr>
                  <w:tcW w:w="873" w:type="pct"/>
                  <w:noWrap w:val="0"/>
                  <w:vAlign w:val="center"/>
                </w:tcPr>
                <w:p>
                  <w:pPr>
                    <w:pStyle w:val="22"/>
                    <w:bidi w:val="0"/>
                    <w:rPr>
                      <w:rFonts w:hint="default"/>
                      <w:lang w:val="en-US" w:eastAsia="zh-CN"/>
                    </w:rPr>
                  </w:pPr>
                  <w:r>
                    <w:rPr>
                      <w:rFonts w:hint="default"/>
                      <w:lang w:val="en-US" w:eastAsia="zh-CN"/>
                    </w:rPr>
                    <w:t>监测频次</w:t>
                  </w:r>
                </w:p>
              </w:tc>
              <w:tc>
                <w:tcPr>
                  <w:tcW w:w="2393" w:type="pct"/>
                  <w:noWrap w:val="0"/>
                  <w:vAlign w:val="center"/>
                </w:tcPr>
                <w:p>
                  <w:pPr>
                    <w:pStyle w:val="22"/>
                    <w:bidi w:val="0"/>
                    <w:rPr>
                      <w:rFonts w:hint="default"/>
                      <w:lang w:val="en-US" w:eastAsia="zh-CN"/>
                    </w:rPr>
                  </w:pPr>
                  <w:r>
                    <w:rPr>
                      <w:rFonts w:hint="default"/>
                      <w:lang w:val="en-US" w:eastAsia="zh-CN"/>
                    </w:rPr>
                    <w:t>执行环境质量标准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1" w:type="pct"/>
                  <w:vMerge w:val="restart"/>
                  <w:noWrap w:val="0"/>
                  <w:vAlign w:val="center"/>
                </w:tcPr>
                <w:p>
                  <w:pPr>
                    <w:pStyle w:val="22"/>
                    <w:bidi w:val="0"/>
                    <w:rPr>
                      <w:rFonts w:hint="default"/>
                      <w:lang w:val="en-US" w:eastAsia="zh-CN"/>
                    </w:rPr>
                  </w:pPr>
                  <w:r>
                    <w:rPr>
                      <w:rFonts w:hint="eastAsia"/>
                      <w:lang w:val="en-US" w:eastAsia="zh-CN"/>
                    </w:rPr>
                    <w:t>停车场</w:t>
                  </w:r>
                  <w:r>
                    <w:rPr>
                      <w:rFonts w:hint="default"/>
                      <w:lang w:val="en-US" w:eastAsia="zh-CN"/>
                    </w:rPr>
                    <w:t>废气排放口DA001</w:t>
                  </w:r>
                </w:p>
              </w:tc>
              <w:tc>
                <w:tcPr>
                  <w:tcW w:w="971" w:type="pct"/>
                  <w:noWrap w:val="0"/>
                  <w:vAlign w:val="center"/>
                </w:tcPr>
                <w:p>
                  <w:pPr>
                    <w:pStyle w:val="22"/>
                    <w:bidi w:val="0"/>
                    <w:rPr>
                      <w:rFonts w:hint="default"/>
                      <w:lang w:val="en-US" w:eastAsia="zh-CN"/>
                    </w:rPr>
                  </w:pPr>
                  <w:r>
                    <w:rPr>
                      <w:rFonts w:hint="eastAsia"/>
                      <w:lang w:val="en-US" w:eastAsia="zh-CN"/>
                    </w:rPr>
                    <w:t>VOCs</w:t>
                  </w:r>
                </w:p>
              </w:tc>
              <w:tc>
                <w:tcPr>
                  <w:tcW w:w="873" w:type="pct"/>
                  <w:noWrap w:val="0"/>
                  <w:vAlign w:val="center"/>
                </w:tcPr>
                <w:p>
                  <w:pPr>
                    <w:pStyle w:val="22"/>
                    <w:bidi w:val="0"/>
                    <w:rPr>
                      <w:rFonts w:hint="default"/>
                      <w:lang w:val="en-US" w:eastAsia="zh-CN"/>
                    </w:rPr>
                  </w:pPr>
                  <w:r>
                    <w:rPr>
                      <w:rFonts w:hint="default"/>
                      <w:lang w:val="en-US" w:eastAsia="zh-CN"/>
                    </w:rPr>
                    <w:t>1次/年</w:t>
                  </w:r>
                </w:p>
              </w:tc>
              <w:tc>
                <w:tcPr>
                  <w:tcW w:w="2393" w:type="pct"/>
                  <w:noWrap w:val="0"/>
                  <w:vAlign w:val="center"/>
                </w:tcPr>
                <w:p>
                  <w:pPr>
                    <w:pStyle w:val="22"/>
                    <w:bidi w:val="0"/>
                    <w:rPr>
                      <w:rFonts w:hint="default"/>
                      <w:lang w:eastAsia="zh-CN"/>
                    </w:rPr>
                  </w:pPr>
                  <w:r>
                    <w:rPr>
                      <w:rFonts w:hint="default"/>
                      <w:lang w:eastAsia="zh-CN"/>
                    </w:rPr>
                    <w:t>《四川省固定污染源大气挥发性有机物排放标准》(DB</w:t>
                  </w:r>
                  <w:r>
                    <w:rPr>
                      <w:rFonts w:hint="default"/>
                      <w:lang w:val="en-US" w:eastAsia="zh-CN"/>
                    </w:rPr>
                    <w:t>51/2377-2017</w:t>
                  </w: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1" w:type="pct"/>
                  <w:vMerge w:val="continue"/>
                  <w:noWrap w:val="0"/>
                  <w:vAlign w:val="center"/>
                </w:tcPr>
                <w:p>
                  <w:pPr>
                    <w:pStyle w:val="22"/>
                    <w:bidi w:val="0"/>
                    <w:rPr>
                      <w:rFonts w:hint="default"/>
                      <w:lang w:val="en-US" w:eastAsia="zh-CN"/>
                    </w:rPr>
                  </w:pPr>
                </w:p>
              </w:tc>
              <w:tc>
                <w:tcPr>
                  <w:tcW w:w="971" w:type="pct"/>
                  <w:noWrap w:val="0"/>
                  <w:vAlign w:val="center"/>
                </w:tcPr>
                <w:p>
                  <w:pPr>
                    <w:pStyle w:val="22"/>
                    <w:bidi w:val="0"/>
                    <w:rPr>
                      <w:rFonts w:hint="eastAsia"/>
                      <w:lang w:val="en-US" w:eastAsia="zh-CN"/>
                    </w:rPr>
                  </w:pPr>
                  <w:r>
                    <w:rPr>
                      <w:rFonts w:hint="default"/>
                      <w:lang w:val="en-US" w:eastAsia="zh-CN"/>
                    </w:rPr>
                    <w:t>硫酸</w:t>
                  </w:r>
                  <w:r>
                    <w:rPr>
                      <w:rFonts w:hint="eastAsia"/>
                      <w:lang w:val="en-US" w:eastAsia="zh-CN"/>
                    </w:rPr>
                    <w:t>、</w:t>
                  </w:r>
                  <w:r>
                    <w:rPr>
                      <w:rFonts w:hint="default"/>
                      <w:lang w:val="en-US" w:eastAsia="zh-CN"/>
                    </w:rPr>
                    <w:t>硝酸</w:t>
                  </w:r>
                  <w:r>
                    <w:rPr>
                      <w:rFonts w:hint="eastAsia"/>
                      <w:lang w:val="en-US" w:eastAsia="zh-CN"/>
                    </w:rPr>
                    <w:t>、</w:t>
                  </w:r>
                  <w:r>
                    <w:rPr>
                      <w:rFonts w:hint="default"/>
                      <w:lang w:val="en-US" w:eastAsia="zh-CN"/>
                    </w:rPr>
                    <w:t>氢氟酸</w:t>
                  </w:r>
                  <w:r>
                    <w:rPr>
                      <w:rFonts w:hint="eastAsia"/>
                      <w:lang w:val="en-US" w:eastAsia="zh-CN"/>
                    </w:rPr>
                    <w:t>、</w:t>
                  </w:r>
                  <w:r>
                    <w:rPr>
                      <w:rFonts w:hint="default"/>
                      <w:lang w:val="en-US" w:eastAsia="zh-CN"/>
                    </w:rPr>
                    <w:t>盐酸</w:t>
                  </w:r>
                </w:p>
              </w:tc>
              <w:tc>
                <w:tcPr>
                  <w:tcW w:w="873" w:type="pct"/>
                  <w:noWrap w:val="0"/>
                  <w:vAlign w:val="center"/>
                </w:tcPr>
                <w:p>
                  <w:pPr>
                    <w:pStyle w:val="22"/>
                    <w:bidi w:val="0"/>
                    <w:rPr>
                      <w:rFonts w:hint="default"/>
                      <w:lang w:val="en-US" w:eastAsia="zh-CN"/>
                    </w:rPr>
                  </w:pPr>
                  <w:r>
                    <w:rPr>
                      <w:rFonts w:hint="default"/>
                      <w:lang w:val="en-US" w:eastAsia="zh-CN"/>
                    </w:rPr>
                    <w:t>1次/年</w:t>
                  </w:r>
                </w:p>
              </w:tc>
              <w:tc>
                <w:tcPr>
                  <w:tcW w:w="2393" w:type="pct"/>
                  <w:noWrap w:val="0"/>
                  <w:vAlign w:val="center"/>
                </w:tcPr>
                <w:p>
                  <w:pPr>
                    <w:pStyle w:val="22"/>
                    <w:bidi w:val="0"/>
                    <w:rPr>
                      <w:rFonts w:hint="default"/>
                      <w:lang w:eastAsia="zh-CN"/>
                    </w:rPr>
                  </w:pPr>
                  <w:r>
                    <w:rPr>
                      <w:rFonts w:hint="eastAsia"/>
                      <w:lang w:val="en-US" w:eastAsia="zh-CN"/>
                    </w:rPr>
                    <w:t>《大气污染物综合排放标准》（GB162997-1996）二级标准限值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1" w:type="pct"/>
                  <w:vMerge w:val="continue"/>
                  <w:noWrap w:val="0"/>
                  <w:vAlign w:val="center"/>
                </w:tcPr>
                <w:p>
                  <w:pPr>
                    <w:pStyle w:val="22"/>
                    <w:bidi w:val="0"/>
                    <w:rPr>
                      <w:rFonts w:hint="default"/>
                      <w:lang w:val="en-US" w:eastAsia="zh-CN"/>
                    </w:rPr>
                  </w:pPr>
                </w:p>
              </w:tc>
              <w:tc>
                <w:tcPr>
                  <w:tcW w:w="971" w:type="pct"/>
                  <w:noWrap w:val="0"/>
                  <w:vAlign w:val="center"/>
                </w:tcPr>
                <w:p>
                  <w:pPr>
                    <w:pStyle w:val="22"/>
                    <w:bidi w:val="0"/>
                    <w:rPr>
                      <w:rFonts w:hint="eastAsia"/>
                      <w:lang w:val="en-US" w:eastAsia="zh-CN"/>
                    </w:rPr>
                  </w:pPr>
                  <w:r>
                    <w:rPr>
                      <w:rFonts w:hint="default"/>
                      <w:lang w:val="en-US" w:eastAsia="zh-CN"/>
                    </w:rPr>
                    <w:t>二硫化碳</w:t>
                  </w:r>
                  <w:r>
                    <w:rPr>
                      <w:rFonts w:hint="eastAsia"/>
                      <w:lang w:val="en-US" w:eastAsia="zh-CN"/>
                    </w:rPr>
                    <w:t>、</w:t>
                  </w:r>
                  <w:r>
                    <w:rPr>
                      <w:rFonts w:hint="default"/>
                      <w:lang w:val="en-US" w:eastAsia="zh-CN"/>
                    </w:rPr>
                    <w:t>氨</w:t>
                  </w:r>
                </w:p>
              </w:tc>
              <w:tc>
                <w:tcPr>
                  <w:tcW w:w="873" w:type="pct"/>
                  <w:noWrap w:val="0"/>
                  <w:vAlign w:val="center"/>
                </w:tcPr>
                <w:p>
                  <w:pPr>
                    <w:pStyle w:val="22"/>
                    <w:bidi w:val="0"/>
                    <w:rPr>
                      <w:rFonts w:hint="default"/>
                      <w:lang w:val="en-US" w:eastAsia="zh-CN"/>
                    </w:rPr>
                  </w:pPr>
                  <w:r>
                    <w:rPr>
                      <w:rFonts w:hint="default"/>
                      <w:lang w:val="en-US" w:eastAsia="zh-CN"/>
                    </w:rPr>
                    <w:t>1次/年</w:t>
                  </w:r>
                </w:p>
              </w:tc>
              <w:tc>
                <w:tcPr>
                  <w:tcW w:w="2393" w:type="pct"/>
                  <w:noWrap w:val="0"/>
                  <w:vAlign w:val="center"/>
                </w:tcPr>
                <w:p>
                  <w:pPr>
                    <w:pStyle w:val="22"/>
                    <w:bidi w:val="0"/>
                    <w:rPr>
                      <w:rFonts w:hint="default"/>
                      <w:lang w:eastAsia="zh-CN"/>
                    </w:rPr>
                  </w:pPr>
                  <w:r>
                    <w:rPr>
                      <w:rFonts w:hint="eastAsia"/>
                      <w:lang w:val="en-US" w:eastAsia="zh-CN"/>
                    </w:rPr>
                    <w:t>《恶臭污染物排放标准》（GB14554-93）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1" w:type="pct"/>
                  <w:vMerge w:val="restart"/>
                  <w:noWrap w:val="0"/>
                  <w:vAlign w:val="center"/>
                </w:tcPr>
                <w:p>
                  <w:pPr>
                    <w:pStyle w:val="22"/>
                    <w:bidi w:val="0"/>
                    <w:rPr>
                      <w:rFonts w:hint="default"/>
                      <w:lang w:val="en-US" w:eastAsia="zh-CN"/>
                    </w:rPr>
                  </w:pPr>
                  <w:r>
                    <w:rPr>
                      <w:rFonts w:hint="eastAsia"/>
                      <w:lang w:val="en-US" w:eastAsia="zh-CN"/>
                    </w:rPr>
                    <w:t>停车场</w:t>
                  </w:r>
                  <w:r>
                    <w:rPr>
                      <w:rFonts w:hint="default"/>
                      <w:lang w:val="en-US" w:eastAsia="zh-CN"/>
                    </w:rPr>
                    <w:t>厂界上风向监测点、厂界下风向</w:t>
                  </w:r>
                  <w:r>
                    <w:rPr>
                      <w:rFonts w:hint="eastAsia"/>
                      <w:lang w:val="en-US" w:eastAsia="zh-CN"/>
                    </w:rPr>
                    <w:t>2</w:t>
                  </w:r>
                  <w:r>
                    <w:rPr>
                      <w:rFonts w:hint="default"/>
                      <w:lang w:val="en-US" w:eastAsia="zh-CN"/>
                    </w:rPr>
                    <w:t>个监测点</w:t>
                  </w:r>
                </w:p>
              </w:tc>
              <w:tc>
                <w:tcPr>
                  <w:tcW w:w="971" w:type="pct"/>
                  <w:noWrap w:val="0"/>
                  <w:vAlign w:val="center"/>
                </w:tcPr>
                <w:p>
                  <w:pPr>
                    <w:pStyle w:val="22"/>
                    <w:bidi w:val="0"/>
                    <w:rPr>
                      <w:rFonts w:hint="default"/>
                      <w:lang w:val="en-US" w:eastAsia="zh-CN"/>
                    </w:rPr>
                  </w:pPr>
                  <w:r>
                    <w:rPr>
                      <w:rFonts w:hint="eastAsia"/>
                      <w:lang w:val="en-US" w:eastAsia="zh-CN"/>
                    </w:rPr>
                    <w:t>VOCs</w:t>
                  </w:r>
                </w:p>
              </w:tc>
              <w:tc>
                <w:tcPr>
                  <w:tcW w:w="873" w:type="pct"/>
                  <w:noWrap w:val="0"/>
                  <w:vAlign w:val="center"/>
                </w:tcPr>
                <w:p>
                  <w:pPr>
                    <w:pStyle w:val="22"/>
                    <w:bidi w:val="0"/>
                    <w:rPr>
                      <w:rFonts w:hint="default"/>
                      <w:lang w:eastAsia="zh-CN"/>
                    </w:rPr>
                  </w:pPr>
                  <w:r>
                    <w:rPr>
                      <w:rFonts w:hint="default"/>
                      <w:lang w:val="en-US" w:eastAsia="zh-CN"/>
                    </w:rPr>
                    <w:t>1次/年</w:t>
                  </w:r>
                </w:p>
              </w:tc>
              <w:tc>
                <w:tcPr>
                  <w:tcW w:w="2393" w:type="pct"/>
                  <w:noWrap w:val="0"/>
                  <w:vAlign w:val="center"/>
                </w:tcPr>
                <w:p>
                  <w:pPr>
                    <w:pStyle w:val="22"/>
                    <w:bidi w:val="0"/>
                    <w:rPr>
                      <w:rFonts w:hint="default"/>
                      <w:lang w:eastAsia="zh-CN"/>
                    </w:rPr>
                  </w:pPr>
                  <w:r>
                    <w:rPr>
                      <w:rFonts w:hint="default"/>
                      <w:lang w:eastAsia="zh-CN"/>
                    </w:rPr>
                    <w:t>《四川省固定污染源大气挥发性有机物排放标准》(DB</w:t>
                  </w:r>
                  <w:r>
                    <w:rPr>
                      <w:rFonts w:hint="default"/>
                      <w:lang w:val="en-US" w:eastAsia="zh-CN"/>
                    </w:rPr>
                    <w:t>51/2377-2017</w:t>
                  </w:r>
                  <w:r>
                    <w:rPr>
                      <w:rFonts w:hint="default"/>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1" w:type="pct"/>
                  <w:vMerge w:val="continue"/>
                  <w:noWrap w:val="0"/>
                  <w:vAlign w:val="center"/>
                </w:tcPr>
                <w:p>
                  <w:pPr>
                    <w:pStyle w:val="22"/>
                    <w:bidi w:val="0"/>
                    <w:rPr>
                      <w:rFonts w:hint="default"/>
                      <w:lang w:val="en-US" w:eastAsia="zh-CN"/>
                    </w:rPr>
                  </w:pPr>
                </w:p>
              </w:tc>
              <w:tc>
                <w:tcPr>
                  <w:tcW w:w="971" w:type="pct"/>
                  <w:noWrap w:val="0"/>
                  <w:vAlign w:val="center"/>
                </w:tcPr>
                <w:p>
                  <w:pPr>
                    <w:pStyle w:val="22"/>
                    <w:bidi w:val="0"/>
                    <w:rPr>
                      <w:rFonts w:hint="eastAsia"/>
                      <w:lang w:val="en-US" w:eastAsia="zh-CN"/>
                    </w:rPr>
                  </w:pPr>
                  <w:r>
                    <w:rPr>
                      <w:rFonts w:hint="default"/>
                      <w:lang w:val="en-US" w:eastAsia="zh-CN"/>
                    </w:rPr>
                    <w:t>硫酸</w:t>
                  </w:r>
                  <w:r>
                    <w:rPr>
                      <w:rFonts w:hint="eastAsia"/>
                      <w:lang w:val="en-US" w:eastAsia="zh-CN"/>
                    </w:rPr>
                    <w:t>、</w:t>
                  </w:r>
                  <w:r>
                    <w:rPr>
                      <w:rFonts w:hint="default"/>
                      <w:lang w:val="en-US" w:eastAsia="zh-CN"/>
                    </w:rPr>
                    <w:t>硝酸</w:t>
                  </w:r>
                  <w:r>
                    <w:rPr>
                      <w:rFonts w:hint="eastAsia"/>
                      <w:lang w:val="en-US" w:eastAsia="zh-CN"/>
                    </w:rPr>
                    <w:t>、</w:t>
                  </w:r>
                  <w:r>
                    <w:rPr>
                      <w:rFonts w:hint="default"/>
                      <w:lang w:val="en-US" w:eastAsia="zh-CN"/>
                    </w:rPr>
                    <w:t>氢氟酸</w:t>
                  </w:r>
                  <w:r>
                    <w:rPr>
                      <w:rFonts w:hint="eastAsia"/>
                      <w:lang w:val="en-US" w:eastAsia="zh-CN"/>
                    </w:rPr>
                    <w:t>、</w:t>
                  </w:r>
                  <w:r>
                    <w:rPr>
                      <w:rFonts w:hint="default"/>
                      <w:lang w:val="en-US" w:eastAsia="zh-CN"/>
                    </w:rPr>
                    <w:t>盐酸</w:t>
                  </w:r>
                </w:p>
              </w:tc>
              <w:tc>
                <w:tcPr>
                  <w:tcW w:w="873" w:type="pct"/>
                  <w:noWrap w:val="0"/>
                  <w:vAlign w:val="center"/>
                </w:tcPr>
                <w:p>
                  <w:pPr>
                    <w:pStyle w:val="22"/>
                    <w:bidi w:val="0"/>
                    <w:rPr>
                      <w:rFonts w:hint="default"/>
                      <w:lang w:val="en-US" w:eastAsia="zh-CN"/>
                    </w:rPr>
                  </w:pPr>
                  <w:r>
                    <w:rPr>
                      <w:rFonts w:hint="default"/>
                      <w:lang w:val="en-US" w:eastAsia="zh-CN"/>
                    </w:rPr>
                    <w:t>1次/年</w:t>
                  </w:r>
                </w:p>
              </w:tc>
              <w:tc>
                <w:tcPr>
                  <w:tcW w:w="2393" w:type="pct"/>
                  <w:noWrap w:val="0"/>
                  <w:vAlign w:val="center"/>
                </w:tcPr>
                <w:p>
                  <w:pPr>
                    <w:pStyle w:val="22"/>
                    <w:bidi w:val="0"/>
                    <w:rPr>
                      <w:rFonts w:hint="default"/>
                      <w:lang w:eastAsia="zh-CN"/>
                    </w:rPr>
                  </w:pPr>
                  <w:r>
                    <w:rPr>
                      <w:rFonts w:hint="eastAsia"/>
                      <w:lang w:val="en-US" w:eastAsia="zh-CN"/>
                    </w:rPr>
                    <w:t>《大气污染物综合排放标准》（GB162997-1996）二级标准限值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61" w:type="pct"/>
                  <w:vMerge w:val="continue"/>
                  <w:noWrap w:val="0"/>
                  <w:vAlign w:val="center"/>
                </w:tcPr>
                <w:p>
                  <w:pPr>
                    <w:pStyle w:val="22"/>
                    <w:bidi w:val="0"/>
                    <w:rPr>
                      <w:rFonts w:hint="default"/>
                      <w:lang w:val="en-US" w:eastAsia="zh-CN"/>
                    </w:rPr>
                  </w:pPr>
                </w:p>
              </w:tc>
              <w:tc>
                <w:tcPr>
                  <w:tcW w:w="971" w:type="pct"/>
                  <w:noWrap w:val="0"/>
                  <w:vAlign w:val="center"/>
                </w:tcPr>
                <w:p>
                  <w:pPr>
                    <w:pStyle w:val="22"/>
                    <w:bidi w:val="0"/>
                    <w:rPr>
                      <w:rFonts w:hint="default"/>
                      <w:lang w:val="en-US" w:eastAsia="zh-CN"/>
                    </w:rPr>
                  </w:pPr>
                  <w:r>
                    <w:rPr>
                      <w:rFonts w:hint="default"/>
                      <w:lang w:val="en-US" w:eastAsia="zh-CN"/>
                    </w:rPr>
                    <w:t>二硫化碳</w:t>
                  </w:r>
                  <w:r>
                    <w:rPr>
                      <w:rFonts w:hint="eastAsia"/>
                      <w:lang w:val="en-US" w:eastAsia="zh-CN"/>
                    </w:rPr>
                    <w:t>、</w:t>
                  </w:r>
                  <w:r>
                    <w:rPr>
                      <w:rFonts w:hint="default"/>
                      <w:lang w:val="en-US" w:eastAsia="zh-CN"/>
                    </w:rPr>
                    <w:t>氨</w:t>
                  </w:r>
                  <w:r>
                    <w:rPr>
                      <w:rFonts w:hint="eastAsia"/>
                      <w:lang w:val="en-US" w:eastAsia="zh-CN"/>
                    </w:rPr>
                    <w:t>、恶臭</w:t>
                  </w:r>
                </w:p>
              </w:tc>
              <w:tc>
                <w:tcPr>
                  <w:tcW w:w="873" w:type="pct"/>
                  <w:noWrap w:val="0"/>
                  <w:vAlign w:val="center"/>
                </w:tcPr>
                <w:p>
                  <w:pPr>
                    <w:pStyle w:val="22"/>
                    <w:bidi w:val="0"/>
                    <w:rPr>
                      <w:rFonts w:hint="default"/>
                      <w:lang w:val="en-US" w:eastAsia="zh-CN"/>
                    </w:rPr>
                  </w:pPr>
                  <w:r>
                    <w:rPr>
                      <w:rFonts w:hint="default"/>
                      <w:lang w:val="en-US" w:eastAsia="zh-CN"/>
                    </w:rPr>
                    <w:t>1次/年</w:t>
                  </w:r>
                </w:p>
              </w:tc>
              <w:tc>
                <w:tcPr>
                  <w:tcW w:w="2393" w:type="pct"/>
                  <w:noWrap w:val="0"/>
                  <w:vAlign w:val="center"/>
                </w:tcPr>
                <w:p>
                  <w:pPr>
                    <w:pStyle w:val="22"/>
                    <w:bidi w:val="0"/>
                    <w:rPr>
                      <w:rFonts w:hint="default"/>
                      <w:lang w:eastAsia="zh-CN"/>
                    </w:rPr>
                  </w:pPr>
                  <w:r>
                    <w:rPr>
                      <w:rFonts w:hint="eastAsia"/>
                      <w:lang w:val="en-US" w:eastAsia="zh-CN"/>
                    </w:rPr>
                    <w:t>《恶臭污染物排放标准》（GB14554-93）</w:t>
                  </w:r>
                </w:p>
              </w:tc>
            </w:tr>
          </w:tbl>
          <w:p>
            <w:pPr>
              <w:rPr>
                <w:rFonts w:hint="eastAsia" w:cs="Times New Roman"/>
                <w:b/>
                <w:bCs/>
                <w:lang w:val="en-US" w:eastAsia="zh-CN"/>
              </w:rPr>
            </w:pPr>
            <w:r>
              <w:rPr>
                <w:rFonts w:hint="eastAsia" w:cs="Times New Roman"/>
                <w:b/>
                <w:bCs/>
                <w:lang w:val="en-US" w:eastAsia="zh-CN"/>
              </w:rPr>
              <w:t>9、废气排放的环境影响</w:t>
            </w:r>
          </w:p>
          <w:p>
            <w:pPr>
              <w:rPr>
                <w:rFonts w:hint="eastAsia" w:ascii="Times New Roman" w:hAnsi="Times New Roman" w:cs="Times New Roman"/>
                <w:lang w:val="en-US" w:eastAsia="zh-CN"/>
              </w:rPr>
            </w:pPr>
            <w:r>
              <w:rPr>
                <w:rFonts w:hint="default" w:ascii="Times New Roman" w:hAnsi="Times New Roman" w:cs="Times New Roman"/>
                <w:b w:val="0"/>
                <w:bCs/>
                <w:sz w:val="24"/>
                <w:szCs w:val="24"/>
              </w:rPr>
              <w:t>项目所在区域SO</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rPr>
              <w:t>、NO</w:t>
            </w:r>
            <w:r>
              <w:rPr>
                <w:rFonts w:hint="default" w:ascii="Times New Roman" w:hAnsi="Times New Roman" w:cs="Times New Roman"/>
                <w:b w:val="0"/>
                <w:bCs/>
                <w:sz w:val="24"/>
                <w:szCs w:val="24"/>
                <w:vertAlign w:val="subscript"/>
              </w:rPr>
              <w:t>2</w:t>
            </w:r>
            <w:r>
              <w:rPr>
                <w:rFonts w:hint="default" w:ascii="Times New Roman" w:hAnsi="Times New Roman" w:cs="Times New Roman"/>
                <w:b w:val="0"/>
                <w:bCs/>
                <w:sz w:val="24"/>
                <w:szCs w:val="24"/>
              </w:rPr>
              <w:t>、PM</w:t>
            </w:r>
            <w:r>
              <w:rPr>
                <w:rFonts w:hint="default" w:ascii="Times New Roman" w:hAnsi="Times New Roman" w:cs="Times New Roman"/>
                <w:b w:val="0"/>
                <w:bCs/>
                <w:sz w:val="24"/>
                <w:szCs w:val="24"/>
                <w:vertAlign w:val="subscript"/>
              </w:rPr>
              <w:t>10</w:t>
            </w:r>
            <w:r>
              <w:rPr>
                <w:rFonts w:hint="default" w:ascii="Times New Roman" w:hAnsi="Times New Roman" w:cs="Times New Roman"/>
                <w:b w:val="0"/>
                <w:bCs/>
                <w:sz w:val="24"/>
                <w:szCs w:val="24"/>
              </w:rPr>
              <w:t>、PM</w:t>
            </w:r>
            <w:r>
              <w:rPr>
                <w:rFonts w:hint="default" w:ascii="Times New Roman" w:hAnsi="Times New Roman" w:cs="Times New Roman"/>
                <w:b w:val="0"/>
                <w:bCs/>
                <w:sz w:val="24"/>
                <w:szCs w:val="24"/>
                <w:vertAlign w:val="subscript"/>
              </w:rPr>
              <w:t>2.5</w:t>
            </w:r>
            <w:r>
              <w:rPr>
                <w:rFonts w:hint="default" w:ascii="Times New Roman" w:hAnsi="Times New Roman" w:cs="Times New Roman"/>
                <w:b w:val="0"/>
                <w:bCs/>
                <w:sz w:val="24"/>
                <w:szCs w:val="24"/>
              </w:rPr>
              <w:t>、CO、O</w:t>
            </w:r>
            <w:r>
              <w:rPr>
                <w:rFonts w:hint="default" w:ascii="Times New Roman" w:hAnsi="Times New Roman" w:cs="Times New Roman"/>
                <w:b w:val="0"/>
                <w:bCs/>
                <w:sz w:val="24"/>
                <w:szCs w:val="24"/>
                <w:vertAlign w:val="subscript"/>
              </w:rPr>
              <w:t>3</w:t>
            </w:r>
            <w:r>
              <w:rPr>
                <w:rFonts w:hint="default" w:ascii="Times New Roman" w:hAnsi="Times New Roman" w:cs="Times New Roman"/>
                <w:b w:val="0"/>
                <w:bCs/>
                <w:sz w:val="24"/>
                <w:szCs w:val="24"/>
              </w:rPr>
              <w:t>满足《环境空气质量标准》（GB3095-2012）中二级标准要求，</w:t>
            </w:r>
            <w:r>
              <w:rPr>
                <w:rFonts w:hint="eastAsia" w:ascii="Times New Roman" w:hAnsi="Times New Roman" w:cs="Times New Roman"/>
                <w:b w:val="0"/>
                <w:bCs/>
                <w:sz w:val="24"/>
                <w:szCs w:val="24"/>
                <w:lang w:val="en-US" w:eastAsia="zh-CN"/>
              </w:rPr>
              <w:t>属于</w:t>
            </w:r>
            <w:r>
              <w:rPr>
                <w:rFonts w:hint="default" w:ascii="Times New Roman" w:hAnsi="Times New Roman" w:cs="Times New Roman"/>
                <w:b w:val="0"/>
                <w:bCs/>
                <w:sz w:val="24"/>
                <w:szCs w:val="24"/>
              </w:rPr>
              <w:t>环境空气质量为达标区。</w:t>
            </w:r>
            <w:r>
              <w:rPr>
                <w:rFonts w:hint="eastAsia" w:ascii="Times New Roman" w:hAnsi="Times New Roman" w:cs="Times New Roman"/>
                <w:lang w:val="en-US" w:eastAsia="zh-CN"/>
              </w:rPr>
              <w:t>本项目槽罐车内残留废气、危废暂存间废气经</w:t>
            </w:r>
            <w:r>
              <w:rPr>
                <w:rFonts w:hint="eastAsia" w:ascii="Times New Roman" w:hAnsi="Times New Roman" w:cs="Times New Roman"/>
                <w:lang w:eastAsia="zh-CN"/>
              </w:rPr>
              <w:t>“</w:t>
            </w:r>
            <w:r>
              <w:rPr>
                <w:rFonts w:hint="eastAsia" w:ascii="Times New Roman" w:hAnsi="Times New Roman" w:cs="Times New Roman"/>
                <w:lang w:val="en-US" w:eastAsia="zh-CN"/>
              </w:rPr>
              <w:t>碱喷淋+干式过滤棉+二级蜂窝状活性炭</w:t>
            </w:r>
            <w:r>
              <w:rPr>
                <w:rFonts w:hint="eastAsia" w:ascii="Times New Roman" w:hAnsi="Times New Roman" w:cs="Times New Roman"/>
                <w:lang w:eastAsia="zh-CN"/>
              </w:rPr>
              <w:t>”</w:t>
            </w:r>
            <w:r>
              <w:rPr>
                <w:rFonts w:hint="eastAsia" w:ascii="Times New Roman" w:hAnsi="Times New Roman" w:cs="Times New Roman"/>
                <w:lang w:val="en-US" w:eastAsia="zh-CN"/>
              </w:rPr>
              <w:t>处理后VOCs排放速率及浓度满足</w:t>
            </w:r>
            <w:r>
              <w:rPr>
                <w:rFonts w:hint="default"/>
                <w:lang w:eastAsia="zh-CN"/>
              </w:rPr>
              <w:t>《四川省固定污染源大气挥发性有机物排放标准》(DB51/2377-2017)</w:t>
            </w:r>
            <w:r>
              <w:rPr>
                <w:rFonts w:hint="eastAsia"/>
                <w:lang w:val="en-US" w:eastAsia="zh-CN"/>
              </w:rPr>
              <w:t>标准限值，硫酸、硝酸、氢氟酸、盐酸排放速率及浓度满足</w:t>
            </w:r>
            <w:r>
              <w:rPr>
                <w:rFonts w:hint="eastAsia" w:ascii="Times New Roman" w:hAnsi="Times New Roman" w:cs="Times New Roman"/>
                <w:lang w:val="en-US" w:eastAsia="zh-CN"/>
              </w:rPr>
              <w:t>《大气污染物综合排放标准》（GB162997-1996）二级标准限值，二硫化碳、氨排放速率满足《恶臭污染物排放标准》（GB14554-93）标准限值；停车场车辆尾气经自然扩散、绿化吸收等措施后对周围环境影响较小；备用发电机废气经设备自带废气净化装置处理后通过排气筒引至楼顶排放，对周围环境影响较小；食堂油烟经油烟净化器处理后引至楼顶排放，对周围环境影响较小；污水处理站废气经活性炭吸附装置处理后排放，对周围环境影响较小。</w:t>
            </w:r>
          </w:p>
          <w:p>
            <w:pPr>
              <w:rPr>
                <w:rFonts w:hint="eastAsia" w:ascii="Times New Roman" w:hAnsi="Times New Roman" w:cs="Times New Roman"/>
                <w:lang w:val="en-US" w:eastAsia="zh-CN"/>
              </w:rPr>
            </w:pPr>
            <w:r>
              <w:rPr>
                <w:rFonts w:hint="eastAsia" w:ascii="Times New Roman" w:hAnsi="Times New Roman" w:cs="Times New Roman"/>
                <w:lang w:val="en-US" w:eastAsia="zh-CN"/>
              </w:rPr>
              <w:t>综上，本项目废气对环境空气质量不会产生明显影响。</w:t>
            </w:r>
          </w:p>
          <w:p>
            <w:pPr>
              <w:pStyle w:val="8"/>
              <w:rPr>
                <w:rFonts w:hint="default" w:ascii="Times New Roman" w:hAnsi="Times New Roman" w:cs="Times New Roman"/>
                <w:b/>
                <w:bCs/>
                <w:lang w:eastAsia="zh-CN"/>
              </w:rPr>
            </w:pPr>
            <w:r>
              <w:rPr>
                <w:rFonts w:hint="default" w:ascii="Times New Roman" w:hAnsi="Times New Roman" w:cs="Times New Roman"/>
                <w:b/>
                <w:bCs/>
                <w:lang w:eastAsia="zh-CN"/>
              </w:rPr>
              <w:t>4.3废水</w:t>
            </w:r>
          </w:p>
          <w:p>
            <w:pPr>
              <w:pStyle w:val="8"/>
              <w:rPr>
                <w:rFonts w:hint="default" w:ascii="Times New Roman" w:hAnsi="Times New Roman" w:cs="Times New Roman"/>
                <w:b/>
                <w:bCs/>
                <w:lang w:eastAsia="zh-CN"/>
              </w:rPr>
            </w:pPr>
            <w:r>
              <w:rPr>
                <w:rFonts w:hint="default" w:ascii="Times New Roman" w:hAnsi="Times New Roman" w:cs="Times New Roman"/>
                <w:b/>
                <w:bCs/>
                <w:lang w:eastAsia="zh-CN"/>
              </w:rPr>
              <w:t>4.3.1 污染源强</w:t>
            </w:r>
          </w:p>
          <w:p>
            <w:pPr>
              <w:pStyle w:val="8"/>
              <w:rPr>
                <w:rFonts w:hint="default" w:ascii="Times New Roman" w:hAnsi="Times New Roman" w:cs="Times New Roman"/>
                <w:lang w:eastAsia="zh-CN"/>
              </w:rPr>
            </w:pPr>
            <w:r>
              <w:rPr>
                <w:rFonts w:hint="default" w:ascii="Times New Roman" w:hAnsi="Times New Roman" w:cs="Times New Roman"/>
                <w:lang w:eastAsia="zh-CN"/>
              </w:rPr>
              <w:t>项目废水主要为生活污水、</w:t>
            </w:r>
            <w:r>
              <w:rPr>
                <w:rFonts w:hint="eastAsia" w:ascii="Times New Roman" w:hAnsi="Times New Roman" w:cs="Times New Roman"/>
                <w:lang w:val="en-US" w:eastAsia="zh-CN"/>
              </w:rPr>
              <w:t>车辆</w:t>
            </w:r>
            <w:r>
              <w:rPr>
                <w:rFonts w:hint="default" w:ascii="Times New Roman" w:hAnsi="Times New Roman" w:cs="Times New Roman"/>
                <w:lang w:eastAsia="zh-CN"/>
              </w:rPr>
              <w:t>清洗废水、地面冲洗废水</w:t>
            </w:r>
            <w:r>
              <w:rPr>
                <w:rFonts w:hint="eastAsia" w:ascii="Times New Roman" w:hAnsi="Times New Roman" w:cs="Times New Roman"/>
                <w:lang w:eastAsia="zh-CN"/>
              </w:rPr>
              <w:t>、</w:t>
            </w:r>
            <w:r>
              <w:rPr>
                <w:rFonts w:hint="eastAsia" w:ascii="Times New Roman" w:hAnsi="Times New Roman" w:cs="Times New Roman"/>
                <w:lang w:val="en-US" w:eastAsia="zh-CN"/>
              </w:rPr>
              <w:t>喷淋废水、初期雨水，蒸汽清洗废水纳入危废中</w:t>
            </w:r>
            <w:r>
              <w:rPr>
                <w:rFonts w:hint="default" w:ascii="Times New Roman" w:hAnsi="Times New Roman" w:cs="Times New Roman"/>
                <w:lang w:eastAsia="zh-CN"/>
              </w:rPr>
              <w:t>。</w:t>
            </w:r>
          </w:p>
          <w:p>
            <w:pPr>
              <w:pStyle w:val="8"/>
              <w:rPr>
                <w:rFonts w:hint="default" w:ascii="Times New Roman" w:hAnsi="Times New Roman" w:cs="Times New Roman"/>
                <w:lang w:eastAsia="zh-CN"/>
              </w:rPr>
            </w:pPr>
            <w:r>
              <w:rPr>
                <w:rFonts w:hint="default" w:ascii="Times New Roman" w:hAnsi="Times New Roman" w:cs="Times New Roman"/>
                <w:lang w:eastAsia="zh-CN"/>
              </w:rPr>
              <w:t>(1)生活污水</w:t>
            </w:r>
          </w:p>
          <w:p>
            <w:pPr>
              <w:pStyle w:val="8"/>
              <w:rPr>
                <w:rFonts w:hint="default" w:ascii="Times New Roman" w:hAnsi="Times New Roman" w:cs="Times New Roman"/>
                <w:lang w:eastAsia="zh-CN"/>
              </w:rPr>
            </w:pPr>
            <w:r>
              <w:rPr>
                <w:rFonts w:hint="default" w:ascii="Times New Roman" w:hAnsi="Times New Roman" w:cs="Times New Roman"/>
                <w:lang w:eastAsia="zh-CN"/>
              </w:rPr>
              <w:t>根据上文水平衡分析，项目生活用水量为1120m</w:t>
            </w:r>
            <w:r>
              <w:rPr>
                <w:rFonts w:hint="default" w:ascii="Times New Roman" w:hAnsi="Times New Roman" w:cs="Times New Roman"/>
                <w:vertAlign w:val="superscript"/>
                <w:lang w:val="en-US" w:eastAsia="zh-CN"/>
              </w:rPr>
              <w:t>3</w:t>
            </w:r>
            <w:r>
              <w:rPr>
                <w:rFonts w:hint="default" w:ascii="Times New Roman" w:hAnsi="Times New Roman" w:cs="Times New Roman"/>
                <w:lang w:eastAsia="zh-CN"/>
              </w:rPr>
              <w:t>/a，生活污水产生量为1008m</w:t>
            </w:r>
            <w:r>
              <w:rPr>
                <w:rFonts w:hint="default" w:ascii="Times New Roman" w:hAnsi="Times New Roman" w:cs="Times New Roman"/>
                <w:vertAlign w:val="superscript"/>
                <w:lang w:eastAsia="zh-CN"/>
              </w:rPr>
              <w:t>3</w:t>
            </w:r>
            <w:r>
              <w:rPr>
                <w:rFonts w:hint="default" w:ascii="Times New Roman" w:hAnsi="Times New Roman" w:cs="Times New Roman"/>
                <w:lang w:eastAsia="zh-CN"/>
              </w:rPr>
              <w:t>/a，生活污水经预处理达到《</w:t>
            </w:r>
            <w:r>
              <w:rPr>
                <w:rFonts w:hint="default" w:ascii="Times New Roman" w:hAnsi="Times New Roman" w:cs="Times New Roman"/>
                <w:lang w:val="en-US" w:eastAsia="zh-CN"/>
              </w:rPr>
              <w:t>污水综合排放标准</w:t>
            </w:r>
            <w:r>
              <w:rPr>
                <w:rFonts w:hint="default" w:ascii="Times New Roman" w:hAnsi="Times New Roman" w:cs="Times New Roman"/>
                <w:lang w:eastAsia="zh-CN"/>
              </w:rPr>
              <w:t>》</w:t>
            </w:r>
            <w:r>
              <w:rPr>
                <w:rFonts w:hint="default" w:ascii="Times New Roman" w:hAnsi="Times New Roman" w:cs="Times New Roman"/>
                <w:lang w:val="en-US" w:eastAsia="zh-CN"/>
              </w:rPr>
              <w:t>三级标准后</w:t>
            </w:r>
            <w:r>
              <w:rPr>
                <w:rFonts w:hint="default" w:ascii="Times New Roman" w:hAnsi="Times New Roman" w:cs="Times New Roman"/>
                <w:lang w:eastAsia="zh-CN"/>
              </w:rPr>
              <w:t>排入园区污水管道。</w:t>
            </w:r>
          </w:p>
          <w:p>
            <w:pPr>
              <w:pStyle w:val="8"/>
              <w:rPr>
                <w:rFonts w:hint="default" w:ascii="Times New Roman" w:hAnsi="Times New Roman" w:cs="Times New Roman"/>
                <w:lang w:eastAsia="zh-CN"/>
              </w:rPr>
            </w:pPr>
            <w:r>
              <w:rPr>
                <w:rFonts w:hint="default" w:ascii="Times New Roman" w:hAnsi="Times New Roman" w:cs="Times New Roman"/>
                <w:lang w:eastAsia="zh-CN"/>
              </w:rPr>
              <w:t>根据《生活源产排污核算系数手册》中“第一部分城镇生活污水污染物产生系数”</w:t>
            </w:r>
            <w:r>
              <w:rPr>
                <w:rFonts w:hint="eastAsia" w:ascii="Times New Roman" w:hAnsi="Times New Roman" w:cs="Times New Roman"/>
                <w:lang w:val="en-US" w:eastAsia="zh-CN"/>
              </w:rPr>
              <w:t>本项目位于四川省，属于第六区</w:t>
            </w:r>
            <w:r>
              <w:rPr>
                <w:rFonts w:hint="default" w:ascii="Times New Roman" w:hAnsi="Times New Roman" w:cs="Times New Roman"/>
                <w:lang w:eastAsia="zh-CN"/>
              </w:rPr>
              <w:t>，</w:t>
            </w:r>
            <w:r>
              <w:rPr>
                <w:rFonts w:hint="eastAsia" w:ascii="Times New Roman" w:hAnsi="Times New Roman" w:cs="Times New Roman"/>
                <w:lang w:val="en-US" w:eastAsia="zh-CN"/>
              </w:rPr>
              <w:t>则</w:t>
            </w:r>
            <w:r>
              <w:rPr>
                <w:rFonts w:hint="default" w:ascii="Times New Roman" w:hAnsi="Times New Roman" w:cs="Times New Roman"/>
                <w:lang w:eastAsia="zh-CN"/>
              </w:rPr>
              <w:t>本项目员工生活污水污染物产生浓度为:COD</w:t>
            </w:r>
            <w:r>
              <w:rPr>
                <w:rFonts w:hint="eastAsia" w:ascii="Times New Roman" w:hAnsi="Times New Roman" w:cs="Times New Roman"/>
                <w:lang w:val="en-US" w:eastAsia="zh-CN"/>
              </w:rPr>
              <w:t>325</w:t>
            </w:r>
            <w:r>
              <w:rPr>
                <w:rFonts w:hint="default" w:ascii="Times New Roman" w:hAnsi="Times New Roman" w:cs="Times New Roman"/>
                <w:lang w:eastAsia="zh-CN"/>
              </w:rPr>
              <w:t>mgL、</w:t>
            </w:r>
            <w:r>
              <w:rPr>
                <w:rFonts w:hint="eastAsia" w:ascii="Times New Roman" w:hAnsi="Times New Roman" w:cs="Times New Roman"/>
                <w:lang w:val="en-US" w:eastAsia="zh-CN"/>
              </w:rPr>
              <w:t>NH</w:t>
            </w:r>
            <w:r>
              <w:rPr>
                <w:rFonts w:hint="eastAsia" w:ascii="Times New Roman" w:hAnsi="Times New Roman" w:cs="Times New Roman"/>
                <w:vertAlign w:val="subscript"/>
                <w:lang w:val="en-US" w:eastAsia="zh-CN"/>
              </w:rPr>
              <w:t>3</w:t>
            </w:r>
            <w:r>
              <w:rPr>
                <w:rFonts w:hint="eastAsia" w:ascii="Times New Roman" w:hAnsi="Times New Roman" w:cs="Times New Roman"/>
                <w:lang w:val="en-US" w:eastAsia="zh-CN"/>
              </w:rPr>
              <w:t>-N37.7</w:t>
            </w:r>
            <w:r>
              <w:rPr>
                <w:rFonts w:hint="default" w:ascii="Times New Roman" w:hAnsi="Times New Roman" w:cs="Times New Roman"/>
                <w:lang w:eastAsia="zh-CN"/>
              </w:rPr>
              <w:t>mg/</w:t>
            </w:r>
            <w:r>
              <w:rPr>
                <w:rFonts w:hint="eastAsia" w:ascii="Times New Roman" w:hAnsi="Times New Roman" w:cs="Times New Roman"/>
                <w:lang w:val="en-US" w:eastAsia="zh-CN"/>
              </w:rPr>
              <w:t>L</w:t>
            </w:r>
            <w:r>
              <w:rPr>
                <w:rFonts w:hint="default" w:ascii="Times New Roman" w:hAnsi="Times New Roman" w:cs="Times New Roman"/>
                <w:lang w:eastAsia="zh-CN"/>
              </w:rPr>
              <w:t>、TN</w:t>
            </w:r>
            <w:r>
              <w:rPr>
                <w:rFonts w:hint="eastAsia" w:ascii="Times New Roman" w:hAnsi="Times New Roman" w:cs="Times New Roman"/>
                <w:lang w:val="en-US" w:eastAsia="zh-CN"/>
              </w:rPr>
              <w:t>49.8</w:t>
            </w:r>
            <w:r>
              <w:rPr>
                <w:rFonts w:hint="default" w:ascii="Times New Roman" w:hAnsi="Times New Roman" w:cs="Times New Roman"/>
                <w:lang w:eastAsia="zh-CN"/>
              </w:rPr>
              <w:t>mg/L、TP</w:t>
            </w:r>
            <w:r>
              <w:rPr>
                <w:rFonts w:hint="eastAsia" w:ascii="Times New Roman" w:hAnsi="Times New Roman" w:cs="Times New Roman"/>
                <w:lang w:val="en-US" w:eastAsia="zh-CN"/>
              </w:rPr>
              <w:t>4.28</w:t>
            </w:r>
            <w:r>
              <w:rPr>
                <w:rFonts w:hint="default" w:ascii="Times New Roman" w:hAnsi="Times New Roman" w:cs="Times New Roman"/>
                <w:lang w:eastAsia="zh-CN"/>
              </w:rPr>
              <w:t>mg/L、BOD</w:t>
            </w:r>
            <w:r>
              <w:rPr>
                <w:rFonts w:hint="eastAsia" w:ascii="Times New Roman" w:hAnsi="Times New Roman" w:cs="Times New Roman"/>
                <w:vertAlign w:val="subscript"/>
                <w:lang w:val="en-US" w:eastAsia="zh-CN"/>
              </w:rPr>
              <w:t>5</w:t>
            </w:r>
            <w:r>
              <w:rPr>
                <w:rFonts w:hint="default" w:ascii="Times New Roman" w:hAnsi="Times New Roman" w:cs="Times New Roman"/>
                <w:lang w:eastAsia="zh-CN"/>
              </w:rPr>
              <w:t>110mg/L、SS80mg</w:t>
            </w:r>
            <w:r>
              <w:rPr>
                <w:rFonts w:hint="eastAsia" w:ascii="Times New Roman" w:hAnsi="Times New Roman" w:cs="Times New Roman"/>
                <w:lang w:val="en-US" w:eastAsia="zh-CN"/>
              </w:rPr>
              <w:t>/L</w:t>
            </w:r>
            <w:r>
              <w:rPr>
                <w:rFonts w:hint="default" w:ascii="Times New Roman" w:hAnsi="Times New Roman" w:cs="Times New Roman"/>
                <w:lang w:eastAsia="zh-CN"/>
              </w:rPr>
              <w:t>。参考《第一次全国污染源普查城镇生活源产排污系数手册》等相关内容，生活污水各污染物经三级化类池的处理效:COD去除率为20%，BOD</w:t>
            </w:r>
            <w:r>
              <w:rPr>
                <w:rFonts w:hint="eastAsia" w:ascii="Times New Roman" w:hAnsi="Times New Roman" w:cs="Times New Roman"/>
                <w:vertAlign w:val="subscript"/>
                <w:lang w:val="en-US" w:eastAsia="zh-CN"/>
              </w:rPr>
              <w:t>5</w:t>
            </w:r>
            <w:r>
              <w:rPr>
                <w:rFonts w:hint="default" w:ascii="Times New Roman" w:hAnsi="Times New Roman" w:cs="Times New Roman"/>
                <w:lang w:eastAsia="zh-CN"/>
              </w:rPr>
              <w:t>去除率为21%，NH</w:t>
            </w:r>
            <w:r>
              <w:rPr>
                <w:rFonts w:hint="eastAsia" w:ascii="Times New Roman" w:hAnsi="Times New Roman" w:cs="Times New Roman"/>
                <w:vertAlign w:val="subscript"/>
                <w:lang w:val="en-US" w:eastAsia="zh-CN"/>
              </w:rPr>
              <w:t>3</w:t>
            </w:r>
            <w:r>
              <w:rPr>
                <w:rFonts w:hint="default" w:ascii="Times New Roman" w:hAnsi="Times New Roman" w:cs="Times New Roman"/>
                <w:lang w:eastAsia="zh-CN"/>
              </w:rPr>
              <w:t>-N去除率为3%、总氮去除率为15%、总磷去除率27%</w:t>
            </w:r>
            <w:r>
              <w:rPr>
                <w:rFonts w:hint="eastAsia" w:ascii="Times New Roman" w:hAnsi="Times New Roman" w:cs="Times New Roman"/>
                <w:lang w:eastAsia="zh-CN"/>
              </w:rPr>
              <w:t>，</w:t>
            </w:r>
            <w:r>
              <w:rPr>
                <w:rFonts w:hint="default" w:ascii="Times New Roman" w:hAnsi="Times New Roman" w:cs="Times New Roman"/>
                <w:lang w:eastAsia="zh-CN"/>
              </w:rPr>
              <w:t>SS的去除效率参照环境手册2.1常用污水处理设备及去除率中给定的30%。项目生活污水产排情况见下表。</w:t>
            </w:r>
          </w:p>
          <w:p>
            <w:pPr>
              <w:pStyle w:val="26"/>
              <w:bidi w:val="0"/>
              <w:rPr>
                <w:rFonts w:hint="default"/>
                <w:lang w:eastAsia="zh-CN"/>
              </w:rPr>
            </w:pPr>
            <w:r>
              <w:rPr>
                <w:rFonts w:hint="default"/>
                <w:lang w:eastAsia="zh-CN"/>
              </w:rPr>
              <w:t>表 4.3-1 生活污水污染源强核算结果及相关参数一览表</w:t>
            </w:r>
          </w:p>
          <w:tbl>
            <w:tblPr>
              <w:tblStyle w:val="16"/>
              <w:tblW w:w="81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9"/>
              <w:gridCol w:w="851"/>
              <w:gridCol w:w="799"/>
              <w:gridCol w:w="692"/>
              <w:gridCol w:w="677"/>
              <w:gridCol w:w="640"/>
              <w:gridCol w:w="604"/>
              <w:gridCol w:w="430"/>
              <w:gridCol w:w="692"/>
              <w:gridCol w:w="800"/>
              <w:gridCol w:w="885"/>
              <w:gridCol w:w="6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262" w:type="pct"/>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产排污环节</w:t>
                  </w:r>
                </w:p>
              </w:tc>
              <w:tc>
                <w:tcPr>
                  <w:tcW w:w="520" w:type="pct"/>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污染物种类</w:t>
                  </w:r>
                </w:p>
              </w:tc>
              <w:tc>
                <w:tcPr>
                  <w:tcW w:w="488" w:type="pct"/>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废水排放量</w:t>
                  </w:r>
                </w:p>
              </w:tc>
              <w:tc>
                <w:tcPr>
                  <w:tcW w:w="837" w:type="pct"/>
                  <w:gridSpan w:val="2"/>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产生情况</w:t>
                  </w:r>
                </w:p>
              </w:tc>
              <w:tc>
                <w:tcPr>
                  <w:tcW w:w="1023" w:type="pct"/>
                  <w:gridSpan w:val="3"/>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治理设施</w:t>
                  </w:r>
                </w:p>
              </w:tc>
              <w:tc>
                <w:tcPr>
                  <w:tcW w:w="912" w:type="pct"/>
                  <w:gridSpan w:val="2"/>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排放情况</w:t>
                  </w:r>
                </w:p>
              </w:tc>
              <w:tc>
                <w:tcPr>
                  <w:tcW w:w="541" w:type="pct"/>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排放口编号</w:t>
                  </w:r>
                </w:p>
              </w:tc>
              <w:tc>
                <w:tcPr>
                  <w:tcW w:w="412" w:type="pct"/>
                  <w:vMerge w:val="restar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排放限值mg/L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262" w:type="pct"/>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88" w:type="pct"/>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产生量</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产生浓度mg/L</w:t>
                  </w:r>
                </w:p>
              </w:tc>
              <w:tc>
                <w:tcPr>
                  <w:tcW w:w="391"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治理工艺</w:t>
                  </w: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治理效率</w:t>
                  </w:r>
                </w:p>
              </w:tc>
              <w:tc>
                <w:tcPr>
                  <w:tcW w:w="26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是否为可行技术</w:t>
                  </w:r>
                </w:p>
              </w:tc>
              <w:tc>
                <w:tcPr>
                  <w:tcW w:w="423" w:type="pc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排放量</w:t>
                  </w:r>
                </w:p>
              </w:tc>
              <w:tc>
                <w:tcPr>
                  <w:tcW w:w="489" w:type="pct"/>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排放浓度</w:t>
                  </w:r>
                </w:p>
              </w:tc>
              <w:tc>
                <w:tcPr>
                  <w:tcW w:w="541" w:type="pct"/>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vMerge w:val="continue"/>
                  <w:tcBorders>
                    <w:top w:val="single" w:color="000000" w:sz="8" w:space="0"/>
                    <w:left w:val="single" w:color="000000" w:sz="8" w:space="0"/>
                    <w:bottom w:val="single" w:color="000000" w:sz="8" w:space="0"/>
                    <w:right w:val="single" w:color="000000" w:sz="8" w:space="0"/>
                  </w:tcBorders>
                  <w:noWrap w:val="0"/>
                  <w:vAlign w:val="center"/>
                </w:tcPr>
                <w:p>
                  <w:pPr>
                    <w:pStyle w:val="22"/>
                    <w:bidi w:val="0"/>
                    <w:jc w:val="center"/>
                    <w:rPr>
                      <w:rFonts w:hint="default"/>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262"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停车场生活污水</w:t>
                  </w: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CODcr</w:t>
                  </w:r>
                </w:p>
              </w:tc>
              <w:tc>
                <w:tcPr>
                  <w:tcW w:w="488"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1368</w:t>
                  </w: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0.445</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325</w:t>
                  </w:r>
                </w:p>
              </w:tc>
              <w:tc>
                <w:tcPr>
                  <w:tcW w:w="391"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厌氧、沉淀处理</w:t>
                  </w: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c>
                <w:tcPr>
                  <w:tcW w:w="263"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是</w:t>
                  </w: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0.356</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260</w:t>
                  </w:r>
                </w:p>
              </w:tc>
              <w:tc>
                <w:tcPr>
                  <w:tcW w:w="541"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DW001</w:t>
                  </w: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262"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NH3-N</w:t>
                  </w:r>
                </w:p>
              </w:tc>
              <w:tc>
                <w:tcPr>
                  <w:tcW w:w="48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0.052</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37.7</w:t>
                  </w:r>
                </w:p>
              </w:tc>
              <w:tc>
                <w:tcPr>
                  <w:tcW w:w="39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21%</w:t>
                  </w:r>
                </w:p>
              </w:tc>
              <w:tc>
                <w:tcPr>
                  <w:tcW w:w="263"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0.041</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29.783</w:t>
                  </w:r>
                </w:p>
              </w:tc>
              <w:tc>
                <w:tcPr>
                  <w:tcW w:w="54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lang w:val="en-US"/>
                    </w:rPr>
                  </w:pPr>
                  <w:r>
                    <w:rPr>
                      <w:rFonts w:hint="eastAsia"/>
                      <w:lang w:val="en-US" w:eastAsia="zh-CN"/>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262"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TN</w:t>
                  </w:r>
                </w:p>
              </w:tc>
              <w:tc>
                <w:tcPr>
                  <w:tcW w:w="48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0.068</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49.8</w:t>
                  </w:r>
                </w:p>
              </w:tc>
              <w:tc>
                <w:tcPr>
                  <w:tcW w:w="39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w:t>
                  </w:r>
                </w:p>
              </w:tc>
              <w:tc>
                <w:tcPr>
                  <w:tcW w:w="263"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0.066</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48.306</w:t>
                  </w:r>
                </w:p>
              </w:tc>
              <w:tc>
                <w:tcPr>
                  <w:tcW w:w="54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lang w:val="en-US"/>
                    </w:rPr>
                  </w:pPr>
                  <w:r>
                    <w:rPr>
                      <w:rFonts w:hint="eastAsia"/>
                      <w:lang w:val="en-US" w:eastAsia="zh-CN"/>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 w:hRule="atLeast"/>
              </w:trPr>
              <w:tc>
                <w:tcPr>
                  <w:tcW w:w="262"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TP</w:t>
                  </w:r>
                </w:p>
              </w:tc>
              <w:tc>
                <w:tcPr>
                  <w:tcW w:w="48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0.006</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4.28</w:t>
                  </w:r>
                </w:p>
              </w:tc>
              <w:tc>
                <w:tcPr>
                  <w:tcW w:w="39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15%</w:t>
                  </w:r>
                </w:p>
              </w:tc>
              <w:tc>
                <w:tcPr>
                  <w:tcW w:w="263"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0.005</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3.638</w:t>
                  </w:r>
                </w:p>
              </w:tc>
              <w:tc>
                <w:tcPr>
                  <w:tcW w:w="54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eastAsia"/>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262"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BOD</w:t>
                  </w:r>
                  <w:r>
                    <w:rPr>
                      <w:rFonts w:hint="default"/>
                      <w:vertAlign w:val="subscript"/>
                      <w:lang w:val="en-US" w:eastAsia="zh-CN"/>
                    </w:rPr>
                    <w:t>5</w:t>
                  </w:r>
                </w:p>
              </w:tc>
              <w:tc>
                <w:tcPr>
                  <w:tcW w:w="48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0.150</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110</w:t>
                  </w:r>
                </w:p>
              </w:tc>
              <w:tc>
                <w:tcPr>
                  <w:tcW w:w="39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27%</w:t>
                  </w:r>
                </w:p>
              </w:tc>
              <w:tc>
                <w:tcPr>
                  <w:tcW w:w="263"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0.110</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80.3</w:t>
                  </w:r>
                </w:p>
              </w:tc>
              <w:tc>
                <w:tcPr>
                  <w:tcW w:w="54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262"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SS</w:t>
                  </w:r>
                </w:p>
              </w:tc>
              <w:tc>
                <w:tcPr>
                  <w:tcW w:w="48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0.109</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80</w:t>
                  </w:r>
                </w:p>
              </w:tc>
              <w:tc>
                <w:tcPr>
                  <w:tcW w:w="39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30%</w:t>
                  </w:r>
                </w:p>
              </w:tc>
              <w:tc>
                <w:tcPr>
                  <w:tcW w:w="263"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0.077</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56</w:t>
                  </w:r>
                </w:p>
              </w:tc>
              <w:tc>
                <w:tcPr>
                  <w:tcW w:w="54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262"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消防站生活污水</w:t>
                  </w: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CODcr</w:t>
                  </w:r>
                </w:p>
              </w:tc>
              <w:tc>
                <w:tcPr>
                  <w:tcW w:w="488"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1949.4</w:t>
                  </w: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0.634</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325</w:t>
                  </w:r>
                </w:p>
              </w:tc>
              <w:tc>
                <w:tcPr>
                  <w:tcW w:w="391"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厌氧、沉淀处理</w:t>
                  </w: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20%</w:t>
                  </w:r>
                </w:p>
              </w:tc>
              <w:tc>
                <w:tcPr>
                  <w:tcW w:w="263"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是</w:t>
                  </w: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0.507</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260</w:t>
                  </w:r>
                </w:p>
              </w:tc>
              <w:tc>
                <w:tcPr>
                  <w:tcW w:w="541" w:type="pct"/>
                  <w:vMerge w:val="restar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DW002</w:t>
                  </w: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262"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NH</w:t>
                  </w:r>
                  <w:r>
                    <w:rPr>
                      <w:rFonts w:hint="default"/>
                      <w:vertAlign w:val="subscript"/>
                      <w:lang w:val="en-US" w:eastAsia="zh-CN"/>
                    </w:rPr>
                    <w:t>3</w:t>
                  </w:r>
                  <w:r>
                    <w:rPr>
                      <w:rFonts w:hint="default"/>
                      <w:lang w:val="en-US" w:eastAsia="zh-CN"/>
                    </w:rPr>
                    <w:t>-N</w:t>
                  </w:r>
                </w:p>
              </w:tc>
              <w:tc>
                <w:tcPr>
                  <w:tcW w:w="48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0.073</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37.7</w:t>
                  </w:r>
                </w:p>
              </w:tc>
              <w:tc>
                <w:tcPr>
                  <w:tcW w:w="39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21%</w:t>
                  </w:r>
                </w:p>
              </w:tc>
              <w:tc>
                <w:tcPr>
                  <w:tcW w:w="263"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0.058</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29.783</w:t>
                  </w:r>
                </w:p>
              </w:tc>
              <w:tc>
                <w:tcPr>
                  <w:tcW w:w="54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eastAsia"/>
                      <w:lang w:val="en-US" w:eastAsia="zh-CN"/>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262"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TN</w:t>
                  </w:r>
                </w:p>
              </w:tc>
              <w:tc>
                <w:tcPr>
                  <w:tcW w:w="48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0.097</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49.8</w:t>
                  </w:r>
                </w:p>
              </w:tc>
              <w:tc>
                <w:tcPr>
                  <w:tcW w:w="39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w:t>
                  </w:r>
                </w:p>
              </w:tc>
              <w:tc>
                <w:tcPr>
                  <w:tcW w:w="263"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0.094</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48.306</w:t>
                  </w:r>
                </w:p>
              </w:tc>
              <w:tc>
                <w:tcPr>
                  <w:tcW w:w="54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eastAsia"/>
                      <w:lang w:val="en-US" w:eastAsia="zh-CN"/>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262"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TP</w:t>
                  </w:r>
                </w:p>
              </w:tc>
              <w:tc>
                <w:tcPr>
                  <w:tcW w:w="48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0.008</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4.28</w:t>
                  </w:r>
                </w:p>
              </w:tc>
              <w:tc>
                <w:tcPr>
                  <w:tcW w:w="39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15%</w:t>
                  </w:r>
                </w:p>
              </w:tc>
              <w:tc>
                <w:tcPr>
                  <w:tcW w:w="263"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0.007</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3.638</w:t>
                  </w:r>
                </w:p>
              </w:tc>
              <w:tc>
                <w:tcPr>
                  <w:tcW w:w="54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eastAsia"/>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trPr>
              <w:tc>
                <w:tcPr>
                  <w:tcW w:w="262"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BOD</w:t>
                  </w:r>
                  <w:r>
                    <w:rPr>
                      <w:rFonts w:hint="default"/>
                      <w:vertAlign w:val="subscript"/>
                      <w:lang w:val="en-US" w:eastAsia="zh-CN"/>
                    </w:rPr>
                    <w:t>5</w:t>
                  </w:r>
                </w:p>
              </w:tc>
              <w:tc>
                <w:tcPr>
                  <w:tcW w:w="488"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0.214</w:t>
                  </w:r>
                </w:p>
              </w:tc>
              <w:tc>
                <w:tcPr>
                  <w:tcW w:w="414"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110</w:t>
                  </w:r>
                </w:p>
              </w:tc>
              <w:tc>
                <w:tcPr>
                  <w:tcW w:w="39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27%</w:t>
                  </w:r>
                </w:p>
              </w:tc>
              <w:tc>
                <w:tcPr>
                  <w:tcW w:w="263"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0.157</w:t>
                  </w:r>
                </w:p>
              </w:tc>
              <w:tc>
                <w:tcPr>
                  <w:tcW w:w="489" w:type="pct"/>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r>
                    <w:rPr>
                      <w:rFonts w:hint="default"/>
                      <w:lang w:val="en-US" w:eastAsia="zh-CN"/>
                    </w:rPr>
                    <w:t>80.3</w:t>
                  </w:r>
                </w:p>
              </w:tc>
              <w:tc>
                <w:tcPr>
                  <w:tcW w:w="541" w:type="pct"/>
                  <w:vMerge w:val="continue"/>
                  <w:tcBorders>
                    <w:top w:val="nil"/>
                    <w:left w:val="single" w:color="000000" w:sz="8" w:space="0"/>
                    <w:bottom w:val="single" w:color="000000" w:sz="8"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000000" w:sz="8"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262" w:type="pct"/>
                  <w:vMerge w:val="continue"/>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p>
              </w:tc>
              <w:tc>
                <w:tcPr>
                  <w:tcW w:w="520" w:type="pct"/>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r>
                    <w:rPr>
                      <w:rFonts w:hint="default"/>
                      <w:lang w:val="en-US" w:eastAsia="zh-CN"/>
                    </w:rPr>
                    <w:t>SS</w:t>
                  </w:r>
                </w:p>
              </w:tc>
              <w:tc>
                <w:tcPr>
                  <w:tcW w:w="488" w:type="pct"/>
                  <w:vMerge w:val="continue"/>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r>
                    <w:rPr>
                      <w:rFonts w:hint="default"/>
                      <w:lang w:val="en-US" w:eastAsia="zh-CN"/>
                    </w:rPr>
                    <w:t>0.156</w:t>
                  </w:r>
                </w:p>
              </w:tc>
              <w:tc>
                <w:tcPr>
                  <w:tcW w:w="414" w:type="pct"/>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r>
                    <w:rPr>
                      <w:rFonts w:hint="default"/>
                      <w:lang w:val="en-US" w:eastAsia="zh-CN"/>
                    </w:rPr>
                    <w:t>80</w:t>
                  </w:r>
                </w:p>
              </w:tc>
              <w:tc>
                <w:tcPr>
                  <w:tcW w:w="391" w:type="pct"/>
                  <w:vMerge w:val="continue"/>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p>
              </w:tc>
              <w:tc>
                <w:tcPr>
                  <w:tcW w:w="369" w:type="pct"/>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r>
                    <w:rPr>
                      <w:rFonts w:hint="default"/>
                      <w:lang w:val="en-US" w:eastAsia="zh-CN"/>
                    </w:rPr>
                    <w:t>30%</w:t>
                  </w:r>
                </w:p>
              </w:tc>
              <w:tc>
                <w:tcPr>
                  <w:tcW w:w="263" w:type="pct"/>
                  <w:vMerge w:val="continue"/>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p>
              </w:tc>
              <w:tc>
                <w:tcPr>
                  <w:tcW w:w="423" w:type="pct"/>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r>
                    <w:rPr>
                      <w:rFonts w:hint="default"/>
                      <w:lang w:val="en-US" w:eastAsia="zh-CN"/>
                    </w:rPr>
                    <w:t>0.109</w:t>
                  </w:r>
                </w:p>
              </w:tc>
              <w:tc>
                <w:tcPr>
                  <w:tcW w:w="489" w:type="pct"/>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r>
                    <w:rPr>
                      <w:rFonts w:hint="default"/>
                      <w:lang w:val="en-US" w:eastAsia="zh-CN"/>
                    </w:rPr>
                    <w:t>56</w:t>
                  </w:r>
                </w:p>
              </w:tc>
              <w:tc>
                <w:tcPr>
                  <w:tcW w:w="541" w:type="pct"/>
                  <w:vMerge w:val="continue"/>
                  <w:tcBorders>
                    <w:top w:val="nil"/>
                    <w:left w:val="single" w:color="000000" w:sz="8" w:space="0"/>
                    <w:bottom w:val="single" w:color="auto" w:sz="4" w:space="0"/>
                    <w:right w:val="single" w:color="000000" w:sz="8" w:space="0"/>
                  </w:tcBorders>
                  <w:noWrap w:val="0"/>
                  <w:vAlign w:val="center"/>
                </w:tcPr>
                <w:p>
                  <w:pPr>
                    <w:pStyle w:val="22"/>
                    <w:bidi w:val="0"/>
                    <w:jc w:val="center"/>
                    <w:rPr>
                      <w:rFonts w:hint="default"/>
                    </w:rPr>
                  </w:pPr>
                </w:p>
              </w:tc>
              <w:tc>
                <w:tcPr>
                  <w:tcW w:w="412" w:type="pct"/>
                  <w:tcBorders>
                    <w:top w:val="nil"/>
                    <w:left w:val="single" w:color="000000" w:sz="8" w:space="0"/>
                    <w:bottom w:val="single" w:color="auto" w:sz="4" w:space="0"/>
                    <w:right w:val="single" w:color="000000" w:sz="8" w:space="0"/>
                  </w:tcBorders>
                  <w:noWrap w:val="0"/>
                  <w:vAlign w:val="center"/>
                </w:tcPr>
                <w:p>
                  <w:pPr>
                    <w:pStyle w:val="22"/>
                    <w:bidi w:val="0"/>
                    <w:ind w:firstLine="0" w:firstLineChars="0"/>
                    <w:jc w:val="center"/>
                    <w:rPr>
                      <w:rFonts w:hint="default"/>
                    </w:rPr>
                  </w:pPr>
                  <w:r>
                    <w:rPr>
                      <w:rFonts w:hint="default"/>
                      <w:lang w:val="en-US" w:eastAsia="zh-CN"/>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trPr>
              <w:tc>
                <w:tcPr>
                  <w:tcW w:w="5000" w:type="pct"/>
                  <w:gridSpan w:val="12"/>
                  <w:tcBorders>
                    <w:top w:val="single" w:color="auto" w:sz="4" w:space="0"/>
                    <w:left w:val="single" w:color="auto" w:sz="4" w:space="0"/>
                    <w:bottom w:val="single" w:color="auto" w:sz="4" w:space="0"/>
                    <w:right w:val="single" w:color="auto" w:sz="4" w:space="0"/>
                  </w:tcBorders>
                  <w:noWrap w:val="0"/>
                  <w:vAlign w:val="center"/>
                </w:tcPr>
                <w:p>
                  <w:pPr>
                    <w:pStyle w:val="22"/>
                    <w:bidi w:val="0"/>
                    <w:ind w:firstLine="0" w:firstLineChars="0"/>
                    <w:jc w:val="center"/>
                    <w:rPr>
                      <w:rFonts w:hint="default"/>
                      <w:lang w:val="en-US" w:eastAsia="zh-CN"/>
                    </w:rPr>
                  </w:pPr>
                  <w:r>
                    <w:rPr>
                      <w:rFonts w:hint="eastAsia"/>
                      <w:lang w:val="en-US" w:eastAsia="zh-CN"/>
                    </w:rPr>
                    <w:t>注：氨氮、总氮、总磷执行《污水排入城市下水道水质标准）（GB/T31962-2015）B级标准。</w:t>
                  </w:r>
                </w:p>
              </w:tc>
            </w:tr>
          </w:tbl>
          <w:p>
            <w:pPr>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w:t>
            </w:r>
            <w:r>
              <w:rPr>
                <w:rFonts w:hint="eastAsia" w:cs="Times New Roman"/>
                <w:lang w:val="en-US" w:eastAsia="zh-CN"/>
              </w:rPr>
              <w:t>车辆</w:t>
            </w:r>
            <w:r>
              <w:rPr>
                <w:rFonts w:hint="default" w:ascii="Times New Roman" w:hAnsi="Times New Roman" w:cs="Times New Roman"/>
                <w:lang w:eastAsia="zh-CN"/>
              </w:rPr>
              <w:t>清洗废水</w:t>
            </w:r>
          </w:p>
          <w:p>
            <w:pPr>
              <w:rPr>
                <w:rFonts w:hint="eastAsia" w:cs="Times New Roman"/>
                <w:lang w:val="en-US" w:eastAsia="zh-CN"/>
              </w:rPr>
            </w:pPr>
            <w:r>
              <w:rPr>
                <w:rFonts w:hint="default" w:ascii="Times New Roman" w:hAnsi="Times New Roman" w:cs="Times New Roman"/>
                <w:lang w:eastAsia="zh-CN"/>
              </w:rPr>
              <w:t>根据上文水平衡分析，项目罐体清洗用水量为</w:t>
            </w:r>
            <w:r>
              <w:rPr>
                <w:rFonts w:hint="eastAsia" w:cs="Times New Roman"/>
                <w:lang w:val="en-US" w:eastAsia="zh-CN"/>
              </w:rPr>
              <w:t>6</w:t>
            </w:r>
            <w:r>
              <w:rPr>
                <w:rFonts w:hint="default" w:ascii="Times New Roman" w:hAnsi="Times New Roman" w:cs="Times New Roman"/>
                <w:lang w:eastAsia="zh-CN"/>
              </w:rPr>
              <w:t>00m</w:t>
            </w:r>
            <w:r>
              <w:rPr>
                <w:rFonts w:hint="default" w:ascii="Times New Roman" w:hAnsi="Times New Roman" w:cs="Times New Roman"/>
                <w:vertAlign w:val="superscript"/>
                <w:lang w:val="en-US" w:eastAsia="zh-CN"/>
              </w:rPr>
              <w:t>3</w:t>
            </w:r>
            <w:r>
              <w:rPr>
                <w:rFonts w:hint="default" w:ascii="Times New Roman" w:hAnsi="Times New Roman" w:cs="Times New Roman"/>
                <w:lang w:eastAsia="zh-CN"/>
              </w:rPr>
              <w:t>/a,清洗废水产生量为</w:t>
            </w:r>
            <w:r>
              <w:rPr>
                <w:rFonts w:hint="eastAsia" w:cs="Times New Roman"/>
                <w:lang w:val="en-US" w:eastAsia="zh-CN"/>
              </w:rPr>
              <w:t>540</w:t>
            </w:r>
            <w:r>
              <w:rPr>
                <w:rFonts w:hint="default" w:ascii="Times New Roman" w:hAnsi="Times New Roman" w:cs="Times New Roman"/>
                <w:lang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eastAsia="zh-CN"/>
              </w:rPr>
              <w:t>/a。</w:t>
            </w:r>
            <w:r>
              <w:rPr>
                <w:rFonts w:hint="eastAsia" w:cs="Times New Roman"/>
                <w:lang w:val="en-US" w:eastAsia="zh-CN"/>
              </w:rPr>
              <w:t>根据查询自贡博辰汽车清洗有限公司化学品罐车车辆清洗项目所用原辅料、主要生产工艺与本项目清洗生产线相似，具有可类型性。</w:t>
            </w:r>
          </w:p>
          <w:p>
            <w:pPr>
              <w:rPr>
                <w:rFonts w:hint="default" w:cs="Times New Roman"/>
                <w:lang w:val="en-US" w:eastAsia="zh-CN"/>
              </w:rPr>
            </w:pPr>
            <w:r>
              <w:rPr>
                <w:rFonts w:hint="eastAsia" w:cs="Times New Roman"/>
                <w:lang w:val="en-US" w:eastAsia="zh-CN"/>
              </w:rPr>
              <w:t>本项目参照《自贡博辰汽车清洗有限公司化学品罐车车辆清洗项目环境影响报告表》，生产废水中COD、石油类浓度分别为500mg/L、1800mg/L。</w:t>
            </w:r>
          </w:p>
          <w:p>
            <w:pPr>
              <w:bidi w:val="0"/>
              <w:rPr>
                <w:rFonts w:hint="default"/>
                <w:lang w:eastAsia="zh-CN"/>
              </w:rPr>
            </w:pPr>
            <w:r>
              <w:rPr>
                <w:rFonts w:hint="default"/>
                <w:lang w:eastAsia="zh-CN"/>
              </w:rPr>
              <w:t>（</w:t>
            </w:r>
            <w:r>
              <w:rPr>
                <w:rFonts w:hint="default"/>
                <w:lang w:val="en-US" w:eastAsia="zh-CN"/>
              </w:rPr>
              <w:t>3</w:t>
            </w:r>
            <w:r>
              <w:rPr>
                <w:rFonts w:hint="default"/>
                <w:lang w:eastAsia="zh-CN"/>
              </w:rPr>
              <w:t>）地面冲洗废水</w:t>
            </w:r>
          </w:p>
          <w:p>
            <w:pPr>
              <w:bidi w:val="0"/>
              <w:rPr>
                <w:rFonts w:hint="default"/>
                <w:lang w:val="en-US" w:eastAsia="zh-CN"/>
              </w:rPr>
            </w:pPr>
            <w:r>
              <w:rPr>
                <w:rFonts w:hint="default"/>
                <w:lang w:eastAsia="zh-CN"/>
              </w:rPr>
              <w:t>根据上文水平衡分析，项目车间清洗用水年用量为</w:t>
            </w:r>
            <w:r>
              <w:rPr>
                <w:rFonts w:hint="eastAsia"/>
                <w:lang w:val="en-US" w:eastAsia="zh-CN"/>
              </w:rPr>
              <w:t>960</w:t>
            </w:r>
            <w:r>
              <w:rPr>
                <w:rFonts w:hint="default"/>
                <w:lang w:eastAsia="zh-CN"/>
              </w:rPr>
              <w:t>t</w:t>
            </w:r>
            <w:r>
              <w:rPr>
                <w:rFonts w:hint="default"/>
                <w:lang w:val="en-US" w:eastAsia="zh-CN"/>
              </w:rPr>
              <w:t>/</w:t>
            </w:r>
            <w:r>
              <w:rPr>
                <w:rFonts w:hint="default"/>
                <w:lang w:eastAsia="zh-CN"/>
              </w:rPr>
              <w:t>a，废水量为</w:t>
            </w:r>
            <w:r>
              <w:rPr>
                <w:rFonts w:hint="eastAsia"/>
                <w:lang w:val="en-US" w:eastAsia="zh-CN"/>
              </w:rPr>
              <w:t>864</w:t>
            </w:r>
            <w:r>
              <w:rPr>
                <w:rFonts w:hint="default"/>
                <w:lang w:eastAsia="zh-CN"/>
              </w:rPr>
              <w:t>t/a。</w:t>
            </w:r>
            <w:r>
              <w:rPr>
                <w:rFonts w:hint="eastAsia"/>
                <w:lang w:val="en-US" w:eastAsia="zh-CN"/>
              </w:rPr>
              <w:t>该类废水主要污染物为COD、SS、石油类等，废水水质为COD约500mg/L、SS约400mg/L、石油类约40mg/L。</w:t>
            </w:r>
          </w:p>
          <w:p>
            <w:pPr>
              <w:bidi w:val="0"/>
              <w:rPr>
                <w:rFonts w:hint="eastAsia"/>
                <w:lang w:val="en-US" w:eastAsia="zh-CN"/>
              </w:rPr>
            </w:pPr>
            <w:r>
              <w:rPr>
                <w:rFonts w:hint="eastAsia"/>
                <w:lang w:eastAsia="zh-CN"/>
              </w:rPr>
              <w:t>（</w:t>
            </w:r>
            <w:r>
              <w:rPr>
                <w:rFonts w:hint="eastAsia"/>
                <w:lang w:val="en-US" w:eastAsia="zh-CN"/>
              </w:rPr>
              <w:t>4</w:t>
            </w:r>
            <w:r>
              <w:rPr>
                <w:rFonts w:hint="eastAsia"/>
                <w:lang w:eastAsia="zh-CN"/>
              </w:rPr>
              <w:t>）</w:t>
            </w:r>
            <w:r>
              <w:rPr>
                <w:rFonts w:hint="eastAsia"/>
                <w:lang w:val="en-US" w:eastAsia="zh-CN"/>
              </w:rPr>
              <w:t>喷淋塔废水</w:t>
            </w:r>
          </w:p>
          <w:p>
            <w:pPr>
              <w:bidi w:val="0"/>
              <w:rPr>
                <w:rFonts w:hint="default"/>
                <w:lang w:eastAsia="zh-CN"/>
              </w:rPr>
            </w:pPr>
            <w:r>
              <w:rPr>
                <w:rFonts w:hint="default"/>
                <w:lang w:eastAsia="zh-CN"/>
              </w:rPr>
              <w:t>根据上文水平衡分析，项目</w:t>
            </w:r>
            <w:r>
              <w:rPr>
                <w:rFonts w:hint="eastAsia"/>
                <w:lang w:val="en-US" w:eastAsia="zh-CN"/>
              </w:rPr>
              <w:t>喷淋塔</w:t>
            </w:r>
            <w:r>
              <w:rPr>
                <w:rFonts w:hint="default"/>
                <w:lang w:eastAsia="zh-CN"/>
              </w:rPr>
              <w:t>年用量为</w:t>
            </w:r>
            <w:r>
              <w:rPr>
                <w:rFonts w:hint="eastAsia"/>
                <w:lang w:val="en-US" w:eastAsia="zh-CN"/>
              </w:rPr>
              <w:t>2400</w:t>
            </w:r>
            <w:r>
              <w:rPr>
                <w:rFonts w:hint="default"/>
                <w:lang w:eastAsia="zh-CN"/>
              </w:rPr>
              <w:t>t</w:t>
            </w:r>
            <w:r>
              <w:rPr>
                <w:rFonts w:hint="default"/>
                <w:lang w:val="en-US" w:eastAsia="zh-CN"/>
              </w:rPr>
              <w:t>/</w:t>
            </w:r>
            <w:r>
              <w:rPr>
                <w:rFonts w:hint="default"/>
                <w:lang w:eastAsia="zh-CN"/>
              </w:rPr>
              <w:t>a，废水量为</w:t>
            </w:r>
            <w:r>
              <w:rPr>
                <w:rFonts w:hint="eastAsia"/>
                <w:lang w:val="en-US" w:eastAsia="zh-CN"/>
              </w:rPr>
              <w:t>2160</w:t>
            </w:r>
            <w:r>
              <w:rPr>
                <w:rFonts w:hint="default"/>
                <w:lang w:eastAsia="zh-CN"/>
              </w:rPr>
              <w:t>t/a。</w:t>
            </w:r>
            <w:r>
              <w:rPr>
                <w:rFonts w:hint="eastAsia"/>
                <w:color w:val="auto"/>
                <w:spacing w:val="-10"/>
                <w:szCs w:val="21"/>
              </w:rPr>
              <w:t>主要污染物为COD和全盐量浓度分别约为</w:t>
            </w:r>
            <w:r>
              <w:rPr>
                <w:rFonts w:hint="eastAsia"/>
                <w:color w:val="auto"/>
                <w:spacing w:val="-10"/>
                <w:szCs w:val="21"/>
                <w:lang w:val="en-US" w:eastAsia="zh-CN"/>
              </w:rPr>
              <w:t>5</w:t>
            </w:r>
            <w:r>
              <w:rPr>
                <w:rFonts w:hint="eastAsia"/>
                <w:color w:val="auto"/>
                <w:spacing w:val="-10"/>
                <w:szCs w:val="21"/>
              </w:rPr>
              <w:t>00mg/L、</w:t>
            </w:r>
            <w:r>
              <w:rPr>
                <w:rFonts w:hint="eastAsia"/>
                <w:color w:val="auto"/>
                <w:spacing w:val="-10"/>
                <w:szCs w:val="21"/>
                <w:lang w:val="en-US" w:eastAsia="zh-CN"/>
              </w:rPr>
              <w:t>1</w:t>
            </w:r>
            <w:r>
              <w:rPr>
                <w:color w:val="auto"/>
                <w:spacing w:val="-10"/>
                <w:szCs w:val="21"/>
              </w:rPr>
              <w:t>0</w:t>
            </w:r>
            <w:r>
              <w:rPr>
                <w:rFonts w:hint="eastAsia"/>
                <w:color w:val="auto"/>
                <w:spacing w:val="-10"/>
                <w:szCs w:val="21"/>
              </w:rPr>
              <w:t>00mg/L。</w:t>
            </w:r>
          </w:p>
          <w:p>
            <w:pPr>
              <w:bidi w:val="0"/>
              <w:rPr>
                <w:rFonts w:hint="default"/>
                <w:lang w:eastAsia="zh-CN"/>
              </w:rPr>
            </w:pPr>
            <w:r>
              <w:rPr>
                <w:rFonts w:hint="default"/>
                <w:lang w:eastAsia="zh-CN"/>
              </w:rPr>
              <w:t>综上，本项目的综合生产废水产生量为</w:t>
            </w:r>
            <w:r>
              <w:rPr>
                <w:rFonts w:hint="eastAsia"/>
                <w:lang w:val="en-US" w:eastAsia="zh-CN"/>
              </w:rPr>
              <w:t>3564</w:t>
            </w:r>
            <w:r>
              <w:rPr>
                <w:rFonts w:hint="default"/>
                <w:lang w:eastAsia="zh-CN"/>
              </w:rPr>
              <w:t>t/a。</w:t>
            </w:r>
          </w:p>
          <w:p>
            <w:pPr>
              <w:rPr>
                <w:rFonts w:hint="default" w:ascii="Times New Roman" w:hAnsi="Times New Roman" w:cs="Times New Roman"/>
                <w:lang w:eastAsia="zh-CN"/>
              </w:rPr>
            </w:pPr>
            <w:r>
              <w:rPr>
                <w:rFonts w:hint="default" w:ascii="Times New Roman" w:hAnsi="Times New Roman" w:cs="Times New Roman"/>
                <w:lang w:eastAsia="zh-CN"/>
              </w:rPr>
              <w:t>本项目</w:t>
            </w:r>
            <w:r>
              <w:rPr>
                <w:rFonts w:hint="eastAsia" w:ascii="Times New Roman" w:hAnsi="Times New Roman" w:cs="Times New Roman"/>
                <w:lang w:val="en-US" w:eastAsia="zh-CN"/>
              </w:rPr>
              <w:t>生产</w:t>
            </w:r>
            <w:r>
              <w:rPr>
                <w:rFonts w:hint="default" w:ascii="Times New Roman" w:hAnsi="Times New Roman" w:cs="Times New Roman"/>
                <w:lang w:eastAsia="zh-CN"/>
              </w:rPr>
              <w:t>废水经</w:t>
            </w:r>
            <w:r>
              <w:rPr>
                <w:rFonts w:hint="eastAsia"/>
                <w:lang w:val="en-US" w:eastAsia="zh-CN"/>
              </w:rPr>
              <w:t>停车场清洗废水经一体化污水处理设施（处理工艺：格栅-气浮-厌氧池-缺氧池-好氧池-MBR膜）处理达标后排入园区管网</w:t>
            </w:r>
            <w:r>
              <w:rPr>
                <w:rFonts w:hint="default" w:ascii="Times New Roman" w:hAnsi="Times New Roman" w:cs="Times New Roman"/>
                <w:lang w:eastAsia="zh-CN"/>
              </w:rPr>
              <w:t>。本项目综合生产废水产生情况详见下表</w:t>
            </w:r>
          </w:p>
          <w:p>
            <w:pPr>
              <w:pStyle w:val="26"/>
              <w:bidi w:val="0"/>
              <w:rPr>
                <w:rFonts w:hint="default"/>
                <w:lang w:eastAsia="zh-CN"/>
              </w:rPr>
            </w:pPr>
            <w:r>
              <w:rPr>
                <w:rFonts w:hint="default"/>
                <w:lang w:eastAsia="zh-CN"/>
              </w:rPr>
              <w:t>表 4.3-2 综合废水主要污染物产生及排放情况</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39"/>
              <w:gridCol w:w="969"/>
              <w:gridCol w:w="842"/>
              <w:gridCol w:w="1076"/>
              <w:gridCol w:w="1086"/>
              <w:gridCol w:w="895"/>
              <w:gridCol w:w="1054"/>
              <w:gridCol w:w="894"/>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391" w:type="pct"/>
                  <w:shd w:val="clear" w:color="auto" w:fill="auto"/>
                  <w:vAlign w:val="center"/>
                </w:tcPr>
                <w:p>
                  <w:pPr>
                    <w:pStyle w:val="22"/>
                    <w:bidi w:val="0"/>
                    <w:rPr>
                      <w:rFonts w:hint="eastAsia"/>
                    </w:rPr>
                  </w:pPr>
                  <w:r>
                    <w:rPr>
                      <w:rFonts w:hint="eastAsia"/>
                      <w:lang w:val="en-US" w:eastAsia="zh-CN"/>
                    </w:rPr>
                    <w:t>污水来源</w:t>
                  </w:r>
                </w:p>
              </w:tc>
              <w:tc>
                <w:tcPr>
                  <w:tcW w:w="593" w:type="pct"/>
                  <w:shd w:val="clear" w:color="auto" w:fill="auto"/>
                  <w:vAlign w:val="center"/>
                </w:tcPr>
                <w:p>
                  <w:pPr>
                    <w:pStyle w:val="22"/>
                    <w:bidi w:val="0"/>
                    <w:rPr>
                      <w:rFonts w:hint="eastAsia"/>
                    </w:rPr>
                  </w:pPr>
                  <w:r>
                    <w:rPr>
                      <w:rFonts w:hint="eastAsia"/>
                      <w:lang w:val="en-US" w:eastAsia="zh-CN"/>
                    </w:rPr>
                    <w:t>污染物种类</w:t>
                  </w:r>
                </w:p>
              </w:tc>
              <w:tc>
                <w:tcPr>
                  <w:tcW w:w="515" w:type="pct"/>
                  <w:shd w:val="clear" w:color="auto" w:fill="auto"/>
                  <w:noWrap/>
                  <w:vAlign w:val="center"/>
                </w:tcPr>
                <w:p>
                  <w:pPr>
                    <w:pStyle w:val="22"/>
                    <w:bidi w:val="0"/>
                    <w:rPr>
                      <w:rFonts w:hint="default"/>
                      <w:lang w:val="en-US"/>
                    </w:rPr>
                  </w:pPr>
                  <w:r>
                    <w:rPr>
                      <w:rFonts w:hint="eastAsia"/>
                      <w:lang w:val="en-US" w:eastAsia="zh-CN"/>
                    </w:rPr>
                    <w:t>污水量m</w:t>
                  </w:r>
                  <w:r>
                    <w:rPr>
                      <w:rFonts w:hint="eastAsia"/>
                      <w:vertAlign w:val="superscript"/>
                      <w:lang w:val="en-US" w:eastAsia="zh-CN"/>
                    </w:rPr>
                    <w:t>3</w:t>
                  </w:r>
                  <w:r>
                    <w:rPr>
                      <w:rFonts w:hint="eastAsia"/>
                      <w:lang w:val="en-US" w:eastAsia="zh-CN"/>
                    </w:rPr>
                    <w:t>/a</w:t>
                  </w:r>
                </w:p>
              </w:tc>
              <w:tc>
                <w:tcPr>
                  <w:tcW w:w="658" w:type="pct"/>
                  <w:shd w:val="clear" w:color="auto" w:fill="auto"/>
                  <w:vAlign w:val="center"/>
                </w:tcPr>
                <w:p>
                  <w:pPr>
                    <w:pStyle w:val="22"/>
                    <w:bidi w:val="0"/>
                    <w:rPr>
                      <w:rFonts w:hint="eastAsia"/>
                    </w:rPr>
                  </w:pPr>
                  <w:r>
                    <w:rPr>
                      <w:rFonts w:hint="eastAsia"/>
                      <w:lang w:val="en-US" w:eastAsia="zh-CN"/>
                    </w:rPr>
                    <w:t>产生浓度</w:t>
                  </w:r>
                  <w:r>
                    <w:rPr>
                      <w:rFonts w:hint="default"/>
                      <w:lang w:val="en-US" w:eastAsia="zh-CN"/>
                    </w:rPr>
                    <w:t>mg/L</w:t>
                  </w:r>
                </w:p>
              </w:tc>
              <w:tc>
                <w:tcPr>
                  <w:tcW w:w="664" w:type="pct"/>
                  <w:shd w:val="clear" w:color="auto" w:fill="auto"/>
                  <w:vAlign w:val="center"/>
                </w:tcPr>
                <w:p>
                  <w:pPr>
                    <w:pStyle w:val="22"/>
                    <w:bidi w:val="0"/>
                    <w:rPr>
                      <w:rFonts w:hint="eastAsia"/>
                    </w:rPr>
                  </w:pPr>
                  <w:r>
                    <w:rPr>
                      <w:rFonts w:hint="eastAsia"/>
                      <w:lang w:val="en-US" w:eastAsia="zh-CN"/>
                    </w:rPr>
                    <w:t>产生量</w:t>
                  </w:r>
                  <w:r>
                    <w:rPr>
                      <w:rFonts w:hint="default"/>
                      <w:lang w:val="en-US" w:eastAsia="zh-CN"/>
                    </w:rPr>
                    <w:t>t/a</w:t>
                  </w:r>
                </w:p>
              </w:tc>
              <w:tc>
                <w:tcPr>
                  <w:tcW w:w="547" w:type="pct"/>
                  <w:shd w:val="clear" w:color="auto" w:fill="auto"/>
                  <w:vAlign w:val="center"/>
                </w:tcPr>
                <w:p>
                  <w:pPr>
                    <w:pStyle w:val="22"/>
                    <w:bidi w:val="0"/>
                    <w:rPr>
                      <w:rFonts w:hint="eastAsia"/>
                    </w:rPr>
                  </w:pPr>
                  <w:r>
                    <w:rPr>
                      <w:rFonts w:hint="eastAsia"/>
                      <w:lang w:val="en-US" w:eastAsia="zh-CN"/>
                    </w:rPr>
                    <w:t>处理效率</w:t>
                  </w:r>
                </w:p>
              </w:tc>
              <w:tc>
                <w:tcPr>
                  <w:tcW w:w="645" w:type="pct"/>
                  <w:shd w:val="clear" w:color="auto" w:fill="auto"/>
                  <w:vAlign w:val="center"/>
                </w:tcPr>
                <w:p>
                  <w:pPr>
                    <w:pStyle w:val="22"/>
                    <w:bidi w:val="0"/>
                    <w:rPr>
                      <w:rFonts w:hint="eastAsia"/>
                    </w:rPr>
                  </w:pPr>
                  <w:r>
                    <w:rPr>
                      <w:rFonts w:hint="eastAsia"/>
                      <w:lang w:val="en-US" w:eastAsia="zh-CN"/>
                    </w:rPr>
                    <w:t>排放浓度</w:t>
                  </w:r>
                  <w:r>
                    <w:rPr>
                      <w:rFonts w:hint="default"/>
                      <w:lang w:val="en-US" w:eastAsia="zh-CN"/>
                    </w:rPr>
                    <w:t>mg/L</w:t>
                  </w:r>
                </w:p>
              </w:tc>
              <w:tc>
                <w:tcPr>
                  <w:tcW w:w="547" w:type="pct"/>
                  <w:shd w:val="clear" w:color="auto" w:fill="auto"/>
                  <w:vAlign w:val="center"/>
                </w:tcPr>
                <w:p>
                  <w:pPr>
                    <w:pStyle w:val="22"/>
                    <w:bidi w:val="0"/>
                    <w:rPr>
                      <w:rFonts w:hint="eastAsia"/>
                    </w:rPr>
                  </w:pPr>
                  <w:r>
                    <w:rPr>
                      <w:rFonts w:hint="eastAsia"/>
                      <w:lang w:val="en-US" w:eastAsia="zh-CN"/>
                    </w:rPr>
                    <w:t>排放量</w:t>
                  </w:r>
                  <w:r>
                    <w:rPr>
                      <w:rFonts w:hint="default"/>
                      <w:lang w:val="en-US" w:eastAsia="zh-CN"/>
                    </w:rPr>
                    <w:t>t/a</w:t>
                  </w:r>
                </w:p>
              </w:tc>
              <w:tc>
                <w:tcPr>
                  <w:tcW w:w="436" w:type="pct"/>
                  <w:shd w:val="clear" w:color="auto" w:fill="auto"/>
                  <w:vAlign w:val="center"/>
                </w:tcPr>
                <w:p>
                  <w:pPr>
                    <w:pStyle w:val="22"/>
                    <w:bidi w:val="0"/>
                    <w:rPr>
                      <w:rFonts w:hint="eastAsia"/>
                    </w:rPr>
                  </w:pPr>
                  <w:r>
                    <w:rPr>
                      <w:rFonts w:hint="eastAsia"/>
                      <w:lang w:val="en-US" w:eastAsia="zh-CN"/>
                    </w:rPr>
                    <w:t>标准限值</w:t>
                  </w:r>
                  <w:r>
                    <w:rPr>
                      <w:rFonts w:hint="default"/>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391" w:type="pct"/>
                  <w:vMerge w:val="restart"/>
                  <w:shd w:val="clear" w:color="auto" w:fill="auto"/>
                  <w:vAlign w:val="center"/>
                </w:tcPr>
                <w:p>
                  <w:pPr>
                    <w:pStyle w:val="22"/>
                    <w:bidi w:val="0"/>
                    <w:rPr>
                      <w:rFonts w:hint="eastAsia"/>
                    </w:rPr>
                  </w:pPr>
                  <w:r>
                    <w:rPr>
                      <w:rFonts w:hint="eastAsia"/>
                      <w:lang w:val="en-US" w:eastAsia="zh-CN"/>
                    </w:rPr>
                    <w:t>车辆清洗废水</w:t>
                  </w:r>
                </w:p>
              </w:tc>
              <w:tc>
                <w:tcPr>
                  <w:tcW w:w="593" w:type="pct"/>
                  <w:shd w:val="clear" w:color="auto" w:fill="auto"/>
                  <w:vAlign w:val="center"/>
                </w:tcPr>
                <w:p>
                  <w:pPr>
                    <w:pStyle w:val="22"/>
                    <w:bidi w:val="0"/>
                    <w:rPr>
                      <w:rFonts w:hint="default"/>
                    </w:rPr>
                  </w:pPr>
                  <w:r>
                    <w:rPr>
                      <w:rFonts w:hint="default"/>
                      <w:lang w:val="en-US" w:eastAsia="zh-CN"/>
                    </w:rPr>
                    <w:t>CODcr</w:t>
                  </w:r>
                </w:p>
              </w:tc>
              <w:tc>
                <w:tcPr>
                  <w:tcW w:w="515" w:type="pct"/>
                  <w:vMerge w:val="restart"/>
                  <w:shd w:val="clear" w:color="auto" w:fill="auto"/>
                  <w:noWrap/>
                  <w:vAlign w:val="center"/>
                </w:tcPr>
                <w:p>
                  <w:pPr>
                    <w:pStyle w:val="22"/>
                    <w:bidi w:val="0"/>
                    <w:rPr>
                      <w:rFonts w:hint="eastAsia"/>
                    </w:rPr>
                  </w:pPr>
                  <w:r>
                    <w:rPr>
                      <w:rFonts w:hint="eastAsia"/>
                      <w:lang w:val="en-US" w:eastAsia="zh-CN"/>
                    </w:rPr>
                    <w:t>540</w:t>
                  </w:r>
                </w:p>
              </w:tc>
              <w:tc>
                <w:tcPr>
                  <w:tcW w:w="658" w:type="pct"/>
                  <w:shd w:val="clear" w:color="auto" w:fill="auto"/>
                  <w:vAlign w:val="center"/>
                </w:tcPr>
                <w:p>
                  <w:pPr>
                    <w:pStyle w:val="22"/>
                    <w:bidi w:val="0"/>
                    <w:rPr>
                      <w:rFonts w:hint="default"/>
                    </w:rPr>
                  </w:pPr>
                  <w:r>
                    <w:rPr>
                      <w:rFonts w:hint="default"/>
                      <w:lang w:val="en-US" w:eastAsia="zh-CN"/>
                    </w:rPr>
                    <w:t>500</w:t>
                  </w:r>
                </w:p>
              </w:tc>
              <w:tc>
                <w:tcPr>
                  <w:tcW w:w="664" w:type="pct"/>
                  <w:shd w:val="clear" w:color="auto" w:fill="auto"/>
                  <w:vAlign w:val="center"/>
                </w:tcPr>
                <w:p>
                  <w:pPr>
                    <w:pStyle w:val="22"/>
                    <w:bidi w:val="0"/>
                    <w:rPr>
                      <w:rFonts w:hint="default"/>
                    </w:rPr>
                  </w:pPr>
                  <w:r>
                    <w:rPr>
                      <w:rFonts w:hint="default"/>
                      <w:lang w:val="en-US" w:eastAsia="zh-CN"/>
                    </w:rPr>
                    <w:t>0.27</w:t>
                  </w:r>
                </w:p>
              </w:tc>
              <w:tc>
                <w:tcPr>
                  <w:tcW w:w="547" w:type="pct"/>
                  <w:shd w:val="clear" w:color="auto" w:fill="auto"/>
                  <w:vAlign w:val="center"/>
                </w:tcPr>
                <w:p>
                  <w:pPr>
                    <w:pStyle w:val="22"/>
                    <w:bidi w:val="0"/>
                    <w:rPr>
                      <w:rFonts w:hint="default"/>
                    </w:rPr>
                  </w:pPr>
                  <w:r>
                    <w:rPr>
                      <w:rFonts w:hint="default"/>
                      <w:lang w:val="en-US" w:eastAsia="zh-CN"/>
                    </w:rPr>
                    <w:t>90%</w:t>
                  </w:r>
                </w:p>
              </w:tc>
              <w:tc>
                <w:tcPr>
                  <w:tcW w:w="645" w:type="pct"/>
                  <w:shd w:val="clear" w:color="auto" w:fill="auto"/>
                  <w:vAlign w:val="center"/>
                </w:tcPr>
                <w:p>
                  <w:pPr>
                    <w:pStyle w:val="22"/>
                    <w:bidi w:val="0"/>
                    <w:rPr>
                      <w:rFonts w:hint="default"/>
                    </w:rPr>
                  </w:pPr>
                  <w:r>
                    <w:rPr>
                      <w:rFonts w:hint="default"/>
                      <w:lang w:val="en-US" w:eastAsia="zh-CN"/>
                    </w:rPr>
                    <w:t>50</w:t>
                  </w:r>
                </w:p>
              </w:tc>
              <w:tc>
                <w:tcPr>
                  <w:tcW w:w="547" w:type="pct"/>
                  <w:shd w:val="clear" w:color="auto" w:fill="auto"/>
                  <w:vAlign w:val="center"/>
                </w:tcPr>
                <w:p>
                  <w:pPr>
                    <w:pStyle w:val="22"/>
                    <w:bidi w:val="0"/>
                    <w:rPr>
                      <w:rFonts w:hint="default"/>
                    </w:rPr>
                  </w:pPr>
                  <w:r>
                    <w:rPr>
                      <w:rFonts w:hint="default"/>
                      <w:lang w:val="en-US" w:eastAsia="zh-CN"/>
                    </w:rPr>
                    <w:t xml:space="preserve">0.027 </w:t>
                  </w:r>
                </w:p>
              </w:tc>
              <w:tc>
                <w:tcPr>
                  <w:tcW w:w="436" w:type="pct"/>
                  <w:shd w:val="clear" w:color="auto" w:fill="auto"/>
                  <w:vAlign w:val="center"/>
                </w:tcPr>
                <w:p>
                  <w:pPr>
                    <w:pStyle w:val="22"/>
                    <w:bidi w:val="0"/>
                    <w:rPr>
                      <w:rFonts w:hint="default"/>
                    </w:rPr>
                  </w:pPr>
                  <w:r>
                    <w:rPr>
                      <w:rFonts w:hint="default"/>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91" w:type="pct"/>
                  <w:vMerge w:val="continue"/>
                  <w:shd w:val="clear" w:color="auto" w:fill="auto"/>
                  <w:vAlign w:val="center"/>
                </w:tcPr>
                <w:p>
                  <w:pPr>
                    <w:pStyle w:val="22"/>
                    <w:bidi w:val="0"/>
                    <w:rPr>
                      <w:rFonts w:hint="eastAsia"/>
                    </w:rPr>
                  </w:pPr>
                </w:p>
              </w:tc>
              <w:tc>
                <w:tcPr>
                  <w:tcW w:w="593" w:type="pct"/>
                  <w:shd w:val="clear" w:color="auto" w:fill="auto"/>
                  <w:vAlign w:val="center"/>
                </w:tcPr>
                <w:p>
                  <w:pPr>
                    <w:pStyle w:val="22"/>
                    <w:bidi w:val="0"/>
                    <w:rPr>
                      <w:rFonts w:hint="default"/>
                    </w:rPr>
                  </w:pPr>
                  <w:r>
                    <w:rPr>
                      <w:rFonts w:hint="default"/>
                      <w:lang w:val="en-US" w:eastAsia="zh-CN"/>
                    </w:rPr>
                    <w:t>BOD</w:t>
                  </w:r>
                  <w:r>
                    <w:rPr>
                      <w:lang w:val="en-US" w:eastAsia="zh-CN"/>
                    </w:rPr>
                    <w:t>5</w:t>
                  </w:r>
                </w:p>
              </w:tc>
              <w:tc>
                <w:tcPr>
                  <w:tcW w:w="515" w:type="pct"/>
                  <w:vMerge w:val="continue"/>
                  <w:shd w:val="clear" w:color="auto" w:fill="auto"/>
                  <w:noWrap/>
                  <w:vAlign w:val="center"/>
                </w:tcPr>
                <w:p>
                  <w:pPr>
                    <w:pStyle w:val="22"/>
                    <w:bidi w:val="0"/>
                    <w:rPr>
                      <w:rFonts w:hint="eastAsia"/>
                    </w:rPr>
                  </w:pPr>
                </w:p>
              </w:tc>
              <w:tc>
                <w:tcPr>
                  <w:tcW w:w="658" w:type="pct"/>
                  <w:shd w:val="clear" w:color="auto" w:fill="auto"/>
                  <w:vAlign w:val="center"/>
                </w:tcPr>
                <w:p>
                  <w:pPr>
                    <w:pStyle w:val="22"/>
                    <w:bidi w:val="0"/>
                    <w:rPr>
                      <w:rFonts w:hint="default"/>
                    </w:rPr>
                  </w:pPr>
                  <w:r>
                    <w:rPr>
                      <w:rFonts w:hint="default"/>
                      <w:lang w:val="en-US" w:eastAsia="zh-CN"/>
                    </w:rPr>
                    <w:t>300</w:t>
                  </w:r>
                </w:p>
              </w:tc>
              <w:tc>
                <w:tcPr>
                  <w:tcW w:w="664" w:type="pct"/>
                  <w:shd w:val="clear" w:color="auto" w:fill="auto"/>
                  <w:vAlign w:val="center"/>
                </w:tcPr>
                <w:p>
                  <w:pPr>
                    <w:pStyle w:val="22"/>
                    <w:bidi w:val="0"/>
                    <w:rPr>
                      <w:rFonts w:hint="default"/>
                    </w:rPr>
                  </w:pPr>
                  <w:r>
                    <w:rPr>
                      <w:rFonts w:hint="default"/>
                      <w:lang w:val="en-US" w:eastAsia="zh-CN"/>
                    </w:rPr>
                    <w:t>0.162</w:t>
                  </w:r>
                </w:p>
              </w:tc>
              <w:tc>
                <w:tcPr>
                  <w:tcW w:w="547" w:type="pct"/>
                  <w:shd w:val="clear" w:color="auto" w:fill="auto"/>
                  <w:vAlign w:val="center"/>
                </w:tcPr>
                <w:p>
                  <w:pPr>
                    <w:pStyle w:val="22"/>
                    <w:bidi w:val="0"/>
                    <w:rPr>
                      <w:rFonts w:hint="default"/>
                    </w:rPr>
                  </w:pPr>
                  <w:r>
                    <w:rPr>
                      <w:rFonts w:hint="default"/>
                      <w:lang w:val="en-US" w:eastAsia="zh-CN"/>
                    </w:rPr>
                    <w:t>90%</w:t>
                  </w:r>
                </w:p>
              </w:tc>
              <w:tc>
                <w:tcPr>
                  <w:tcW w:w="645" w:type="pct"/>
                  <w:shd w:val="clear" w:color="auto" w:fill="auto"/>
                  <w:vAlign w:val="center"/>
                </w:tcPr>
                <w:p>
                  <w:pPr>
                    <w:pStyle w:val="22"/>
                    <w:bidi w:val="0"/>
                    <w:rPr>
                      <w:rFonts w:hint="default"/>
                    </w:rPr>
                  </w:pPr>
                  <w:r>
                    <w:rPr>
                      <w:rFonts w:hint="default"/>
                      <w:lang w:val="en-US" w:eastAsia="zh-CN"/>
                    </w:rPr>
                    <w:t>30</w:t>
                  </w:r>
                </w:p>
              </w:tc>
              <w:tc>
                <w:tcPr>
                  <w:tcW w:w="547" w:type="pct"/>
                  <w:shd w:val="clear" w:color="auto" w:fill="auto"/>
                  <w:vAlign w:val="center"/>
                </w:tcPr>
                <w:p>
                  <w:pPr>
                    <w:pStyle w:val="22"/>
                    <w:bidi w:val="0"/>
                    <w:rPr>
                      <w:rFonts w:hint="default"/>
                    </w:rPr>
                  </w:pPr>
                  <w:r>
                    <w:rPr>
                      <w:rFonts w:hint="default"/>
                      <w:lang w:val="en-US" w:eastAsia="zh-CN"/>
                    </w:rPr>
                    <w:t xml:space="preserve">0.016 </w:t>
                  </w:r>
                </w:p>
              </w:tc>
              <w:tc>
                <w:tcPr>
                  <w:tcW w:w="436" w:type="pct"/>
                  <w:shd w:val="clear" w:color="auto" w:fill="auto"/>
                  <w:vAlign w:val="center"/>
                </w:tcPr>
                <w:p>
                  <w:pPr>
                    <w:pStyle w:val="22"/>
                    <w:bidi w:val="0"/>
                    <w:rPr>
                      <w:rFonts w:hint="default"/>
                    </w:rPr>
                  </w:pPr>
                  <w:r>
                    <w:rPr>
                      <w:rFonts w:hint="default"/>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vAlign w:val="center"/>
                </w:tcPr>
                <w:p>
                  <w:pPr>
                    <w:pStyle w:val="22"/>
                    <w:bidi w:val="0"/>
                    <w:rPr>
                      <w:rFonts w:hint="eastAsia"/>
                    </w:rPr>
                  </w:pPr>
                </w:p>
              </w:tc>
              <w:tc>
                <w:tcPr>
                  <w:tcW w:w="593" w:type="pct"/>
                  <w:shd w:val="clear" w:color="auto" w:fill="auto"/>
                  <w:vAlign w:val="center"/>
                </w:tcPr>
                <w:p>
                  <w:pPr>
                    <w:pStyle w:val="22"/>
                    <w:bidi w:val="0"/>
                    <w:rPr>
                      <w:rFonts w:hint="default"/>
                    </w:rPr>
                  </w:pPr>
                  <w:r>
                    <w:rPr>
                      <w:rFonts w:hint="default"/>
                      <w:lang w:val="en-US" w:eastAsia="zh-CN"/>
                    </w:rPr>
                    <w:t>SS</w:t>
                  </w:r>
                </w:p>
              </w:tc>
              <w:tc>
                <w:tcPr>
                  <w:tcW w:w="515" w:type="pct"/>
                  <w:vMerge w:val="continue"/>
                  <w:shd w:val="clear" w:color="auto" w:fill="auto"/>
                  <w:noWrap/>
                  <w:vAlign w:val="center"/>
                </w:tcPr>
                <w:p>
                  <w:pPr>
                    <w:pStyle w:val="22"/>
                    <w:bidi w:val="0"/>
                    <w:rPr>
                      <w:rFonts w:hint="eastAsia"/>
                    </w:rPr>
                  </w:pPr>
                </w:p>
              </w:tc>
              <w:tc>
                <w:tcPr>
                  <w:tcW w:w="658" w:type="pct"/>
                  <w:shd w:val="clear" w:color="auto" w:fill="auto"/>
                  <w:vAlign w:val="center"/>
                </w:tcPr>
                <w:p>
                  <w:pPr>
                    <w:pStyle w:val="22"/>
                    <w:bidi w:val="0"/>
                    <w:rPr>
                      <w:rFonts w:hint="default"/>
                    </w:rPr>
                  </w:pPr>
                  <w:r>
                    <w:rPr>
                      <w:rFonts w:hint="default"/>
                      <w:lang w:val="en-US" w:eastAsia="zh-CN"/>
                    </w:rPr>
                    <w:t>500</w:t>
                  </w:r>
                </w:p>
              </w:tc>
              <w:tc>
                <w:tcPr>
                  <w:tcW w:w="664" w:type="pct"/>
                  <w:shd w:val="clear" w:color="auto" w:fill="auto"/>
                  <w:vAlign w:val="center"/>
                </w:tcPr>
                <w:p>
                  <w:pPr>
                    <w:pStyle w:val="22"/>
                    <w:bidi w:val="0"/>
                    <w:rPr>
                      <w:rFonts w:hint="default"/>
                    </w:rPr>
                  </w:pPr>
                  <w:r>
                    <w:rPr>
                      <w:rFonts w:hint="default"/>
                      <w:lang w:val="en-US" w:eastAsia="zh-CN"/>
                    </w:rPr>
                    <w:t>0.27</w:t>
                  </w:r>
                </w:p>
              </w:tc>
              <w:tc>
                <w:tcPr>
                  <w:tcW w:w="547" w:type="pct"/>
                  <w:shd w:val="clear" w:color="auto" w:fill="auto"/>
                  <w:vAlign w:val="center"/>
                </w:tcPr>
                <w:p>
                  <w:pPr>
                    <w:pStyle w:val="22"/>
                    <w:bidi w:val="0"/>
                    <w:rPr>
                      <w:rFonts w:hint="default"/>
                    </w:rPr>
                  </w:pPr>
                  <w:r>
                    <w:rPr>
                      <w:rFonts w:hint="default"/>
                      <w:lang w:val="en-US" w:eastAsia="zh-CN"/>
                    </w:rPr>
                    <w:t>90%</w:t>
                  </w:r>
                </w:p>
              </w:tc>
              <w:tc>
                <w:tcPr>
                  <w:tcW w:w="645" w:type="pct"/>
                  <w:shd w:val="clear" w:color="auto" w:fill="auto"/>
                  <w:vAlign w:val="center"/>
                </w:tcPr>
                <w:p>
                  <w:pPr>
                    <w:pStyle w:val="22"/>
                    <w:bidi w:val="0"/>
                    <w:rPr>
                      <w:rFonts w:hint="default"/>
                    </w:rPr>
                  </w:pPr>
                  <w:r>
                    <w:rPr>
                      <w:rFonts w:hint="default"/>
                      <w:lang w:val="en-US" w:eastAsia="zh-CN"/>
                    </w:rPr>
                    <w:t>50</w:t>
                  </w:r>
                </w:p>
              </w:tc>
              <w:tc>
                <w:tcPr>
                  <w:tcW w:w="547" w:type="pct"/>
                  <w:shd w:val="clear" w:color="auto" w:fill="auto"/>
                  <w:vAlign w:val="center"/>
                </w:tcPr>
                <w:p>
                  <w:pPr>
                    <w:pStyle w:val="22"/>
                    <w:bidi w:val="0"/>
                    <w:rPr>
                      <w:rFonts w:hint="default"/>
                    </w:rPr>
                  </w:pPr>
                  <w:r>
                    <w:rPr>
                      <w:rFonts w:hint="default"/>
                      <w:lang w:val="en-US" w:eastAsia="zh-CN"/>
                    </w:rPr>
                    <w:t xml:space="preserve">0.027 </w:t>
                  </w:r>
                </w:p>
              </w:tc>
              <w:tc>
                <w:tcPr>
                  <w:tcW w:w="436" w:type="pct"/>
                  <w:shd w:val="clear" w:color="auto" w:fill="auto"/>
                  <w:vAlign w:val="center"/>
                </w:tcPr>
                <w:p>
                  <w:pPr>
                    <w:pStyle w:val="22"/>
                    <w:bidi w:val="0"/>
                    <w:rPr>
                      <w:rFonts w:hint="default"/>
                    </w:rPr>
                  </w:pPr>
                  <w:r>
                    <w:rPr>
                      <w:rFonts w:hint="default"/>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vAlign w:val="center"/>
                </w:tcPr>
                <w:p>
                  <w:pPr>
                    <w:pStyle w:val="22"/>
                    <w:bidi w:val="0"/>
                    <w:rPr>
                      <w:rFonts w:hint="eastAsia"/>
                    </w:rPr>
                  </w:pPr>
                </w:p>
              </w:tc>
              <w:tc>
                <w:tcPr>
                  <w:tcW w:w="593" w:type="pct"/>
                  <w:shd w:val="clear" w:color="auto" w:fill="auto"/>
                  <w:vAlign w:val="center"/>
                </w:tcPr>
                <w:p>
                  <w:pPr>
                    <w:pStyle w:val="22"/>
                    <w:bidi w:val="0"/>
                    <w:rPr>
                      <w:rFonts w:hint="eastAsia"/>
                    </w:rPr>
                  </w:pPr>
                  <w:r>
                    <w:rPr>
                      <w:rFonts w:hint="eastAsia"/>
                      <w:lang w:val="en-US" w:eastAsia="zh-CN"/>
                    </w:rPr>
                    <w:t>氨氮</w:t>
                  </w:r>
                </w:p>
              </w:tc>
              <w:tc>
                <w:tcPr>
                  <w:tcW w:w="515" w:type="pct"/>
                  <w:vMerge w:val="continue"/>
                  <w:shd w:val="clear" w:color="auto" w:fill="auto"/>
                  <w:noWrap/>
                  <w:vAlign w:val="center"/>
                </w:tcPr>
                <w:p>
                  <w:pPr>
                    <w:pStyle w:val="22"/>
                    <w:bidi w:val="0"/>
                    <w:rPr>
                      <w:rFonts w:hint="eastAsia"/>
                    </w:rPr>
                  </w:pPr>
                </w:p>
              </w:tc>
              <w:tc>
                <w:tcPr>
                  <w:tcW w:w="658" w:type="pct"/>
                  <w:shd w:val="clear" w:color="auto" w:fill="auto"/>
                  <w:vAlign w:val="center"/>
                </w:tcPr>
                <w:p>
                  <w:pPr>
                    <w:pStyle w:val="22"/>
                    <w:bidi w:val="0"/>
                    <w:rPr>
                      <w:rFonts w:hint="default"/>
                    </w:rPr>
                  </w:pPr>
                  <w:r>
                    <w:rPr>
                      <w:rFonts w:hint="default"/>
                      <w:lang w:val="en-US" w:eastAsia="zh-CN"/>
                    </w:rPr>
                    <w:t>50</w:t>
                  </w:r>
                </w:p>
              </w:tc>
              <w:tc>
                <w:tcPr>
                  <w:tcW w:w="664" w:type="pct"/>
                  <w:shd w:val="clear" w:color="auto" w:fill="auto"/>
                  <w:vAlign w:val="center"/>
                </w:tcPr>
                <w:p>
                  <w:pPr>
                    <w:pStyle w:val="22"/>
                    <w:bidi w:val="0"/>
                    <w:rPr>
                      <w:rFonts w:hint="default"/>
                    </w:rPr>
                  </w:pPr>
                  <w:r>
                    <w:rPr>
                      <w:rFonts w:hint="default"/>
                      <w:lang w:val="en-US" w:eastAsia="zh-CN"/>
                    </w:rPr>
                    <w:t>0.027</w:t>
                  </w:r>
                </w:p>
              </w:tc>
              <w:tc>
                <w:tcPr>
                  <w:tcW w:w="547" w:type="pct"/>
                  <w:shd w:val="clear" w:color="auto" w:fill="auto"/>
                  <w:vAlign w:val="center"/>
                </w:tcPr>
                <w:p>
                  <w:pPr>
                    <w:pStyle w:val="22"/>
                    <w:bidi w:val="0"/>
                    <w:rPr>
                      <w:rFonts w:hint="default"/>
                    </w:rPr>
                  </w:pPr>
                  <w:r>
                    <w:rPr>
                      <w:rFonts w:hint="default"/>
                      <w:lang w:val="en-US" w:eastAsia="zh-CN"/>
                    </w:rPr>
                    <w:t>70%</w:t>
                  </w:r>
                </w:p>
              </w:tc>
              <w:tc>
                <w:tcPr>
                  <w:tcW w:w="645" w:type="pct"/>
                  <w:shd w:val="clear" w:color="auto" w:fill="auto"/>
                  <w:vAlign w:val="center"/>
                </w:tcPr>
                <w:p>
                  <w:pPr>
                    <w:pStyle w:val="22"/>
                    <w:bidi w:val="0"/>
                    <w:rPr>
                      <w:rFonts w:hint="default"/>
                    </w:rPr>
                  </w:pPr>
                  <w:r>
                    <w:rPr>
                      <w:rFonts w:hint="default"/>
                      <w:lang w:val="en-US" w:eastAsia="zh-CN"/>
                    </w:rPr>
                    <w:t>15</w:t>
                  </w:r>
                </w:p>
              </w:tc>
              <w:tc>
                <w:tcPr>
                  <w:tcW w:w="547" w:type="pct"/>
                  <w:shd w:val="clear" w:color="auto" w:fill="auto"/>
                  <w:vAlign w:val="center"/>
                </w:tcPr>
                <w:p>
                  <w:pPr>
                    <w:pStyle w:val="22"/>
                    <w:bidi w:val="0"/>
                    <w:rPr>
                      <w:rFonts w:hint="default"/>
                    </w:rPr>
                  </w:pPr>
                  <w:r>
                    <w:rPr>
                      <w:rFonts w:hint="default"/>
                      <w:lang w:val="en-US" w:eastAsia="zh-CN"/>
                    </w:rPr>
                    <w:t xml:space="preserve">0.008 </w:t>
                  </w:r>
                </w:p>
              </w:tc>
              <w:tc>
                <w:tcPr>
                  <w:tcW w:w="436" w:type="pct"/>
                  <w:shd w:val="clear" w:color="auto" w:fill="auto"/>
                  <w:vAlign w:val="center"/>
                </w:tcPr>
                <w:p>
                  <w:pPr>
                    <w:pStyle w:val="22"/>
                    <w:bidi w:val="0"/>
                    <w:rPr>
                      <w:rFonts w:hint="default"/>
                    </w:rPr>
                  </w:pPr>
                  <w:r>
                    <w:rPr>
                      <w:rFonts w:hint="default"/>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vAlign w:val="center"/>
                </w:tcPr>
                <w:p>
                  <w:pPr>
                    <w:pStyle w:val="22"/>
                    <w:bidi w:val="0"/>
                    <w:rPr>
                      <w:rFonts w:hint="eastAsia"/>
                    </w:rPr>
                  </w:pPr>
                </w:p>
              </w:tc>
              <w:tc>
                <w:tcPr>
                  <w:tcW w:w="593" w:type="pct"/>
                  <w:shd w:val="clear" w:color="auto" w:fill="auto"/>
                  <w:vAlign w:val="center"/>
                </w:tcPr>
                <w:p>
                  <w:pPr>
                    <w:pStyle w:val="22"/>
                    <w:bidi w:val="0"/>
                    <w:rPr>
                      <w:rFonts w:hint="eastAsia"/>
                    </w:rPr>
                  </w:pPr>
                  <w:r>
                    <w:rPr>
                      <w:rFonts w:hint="eastAsia"/>
                      <w:lang w:val="en-US" w:eastAsia="zh-CN"/>
                    </w:rPr>
                    <w:t>石油类</w:t>
                  </w:r>
                </w:p>
              </w:tc>
              <w:tc>
                <w:tcPr>
                  <w:tcW w:w="515" w:type="pct"/>
                  <w:vMerge w:val="continue"/>
                  <w:shd w:val="clear" w:color="auto" w:fill="auto"/>
                  <w:noWrap/>
                  <w:vAlign w:val="center"/>
                </w:tcPr>
                <w:p>
                  <w:pPr>
                    <w:pStyle w:val="22"/>
                    <w:bidi w:val="0"/>
                    <w:rPr>
                      <w:rFonts w:hint="eastAsia"/>
                    </w:rPr>
                  </w:pPr>
                </w:p>
              </w:tc>
              <w:tc>
                <w:tcPr>
                  <w:tcW w:w="658" w:type="pct"/>
                  <w:shd w:val="clear" w:color="auto" w:fill="auto"/>
                  <w:vAlign w:val="center"/>
                </w:tcPr>
                <w:p>
                  <w:pPr>
                    <w:pStyle w:val="22"/>
                    <w:bidi w:val="0"/>
                    <w:rPr>
                      <w:rFonts w:hint="default"/>
                    </w:rPr>
                  </w:pPr>
                  <w:r>
                    <w:rPr>
                      <w:rFonts w:hint="default"/>
                      <w:lang w:val="en-US" w:eastAsia="zh-CN"/>
                    </w:rPr>
                    <w:t>1800</w:t>
                  </w:r>
                </w:p>
              </w:tc>
              <w:tc>
                <w:tcPr>
                  <w:tcW w:w="664" w:type="pct"/>
                  <w:shd w:val="clear" w:color="auto" w:fill="auto"/>
                  <w:vAlign w:val="center"/>
                </w:tcPr>
                <w:p>
                  <w:pPr>
                    <w:pStyle w:val="22"/>
                    <w:bidi w:val="0"/>
                    <w:rPr>
                      <w:rFonts w:hint="default"/>
                    </w:rPr>
                  </w:pPr>
                  <w:r>
                    <w:rPr>
                      <w:rFonts w:hint="default"/>
                      <w:lang w:val="en-US" w:eastAsia="zh-CN"/>
                    </w:rPr>
                    <w:t>0.972</w:t>
                  </w:r>
                </w:p>
              </w:tc>
              <w:tc>
                <w:tcPr>
                  <w:tcW w:w="547" w:type="pct"/>
                  <w:shd w:val="clear" w:color="auto" w:fill="auto"/>
                  <w:vAlign w:val="center"/>
                </w:tcPr>
                <w:p>
                  <w:pPr>
                    <w:pStyle w:val="22"/>
                    <w:bidi w:val="0"/>
                    <w:rPr>
                      <w:rFonts w:hint="default"/>
                    </w:rPr>
                  </w:pPr>
                  <w:r>
                    <w:rPr>
                      <w:rFonts w:hint="default"/>
                      <w:lang w:val="en-US" w:eastAsia="zh-CN"/>
                    </w:rPr>
                    <w:t>68%</w:t>
                  </w:r>
                </w:p>
              </w:tc>
              <w:tc>
                <w:tcPr>
                  <w:tcW w:w="645" w:type="pct"/>
                  <w:shd w:val="clear" w:color="auto" w:fill="auto"/>
                  <w:vAlign w:val="center"/>
                </w:tcPr>
                <w:p>
                  <w:pPr>
                    <w:pStyle w:val="22"/>
                    <w:bidi w:val="0"/>
                    <w:rPr>
                      <w:rFonts w:hint="default"/>
                    </w:rPr>
                  </w:pPr>
                  <w:r>
                    <w:rPr>
                      <w:rFonts w:hint="default"/>
                      <w:lang w:val="en-US" w:eastAsia="zh-CN"/>
                    </w:rPr>
                    <w:t>576</w:t>
                  </w:r>
                </w:p>
              </w:tc>
              <w:tc>
                <w:tcPr>
                  <w:tcW w:w="547" w:type="pct"/>
                  <w:shd w:val="clear" w:color="auto" w:fill="auto"/>
                  <w:vAlign w:val="center"/>
                </w:tcPr>
                <w:p>
                  <w:pPr>
                    <w:pStyle w:val="22"/>
                    <w:bidi w:val="0"/>
                    <w:rPr>
                      <w:rFonts w:hint="default"/>
                    </w:rPr>
                  </w:pPr>
                  <w:r>
                    <w:rPr>
                      <w:rFonts w:hint="default"/>
                      <w:lang w:val="en-US" w:eastAsia="zh-CN"/>
                    </w:rPr>
                    <w:t xml:space="preserve">0.311 </w:t>
                  </w:r>
                </w:p>
              </w:tc>
              <w:tc>
                <w:tcPr>
                  <w:tcW w:w="436" w:type="pct"/>
                  <w:shd w:val="clear" w:color="auto" w:fill="auto"/>
                  <w:vAlign w:val="center"/>
                </w:tcPr>
                <w:p>
                  <w:pPr>
                    <w:pStyle w:val="22"/>
                    <w:bidi w:val="0"/>
                    <w:rPr>
                      <w:rFonts w:hint="default"/>
                    </w:rPr>
                  </w:pPr>
                  <w:r>
                    <w:rPr>
                      <w:rFonts w:hint="default"/>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restart"/>
                  <w:shd w:val="clear" w:color="auto" w:fill="auto"/>
                  <w:noWrap/>
                  <w:vAlign w:val="center"/>
                </w:tcPr>
                <w:p>
                  <w:pPr>
                    <w:pStyle w:val="22"/>
                    <w:bidi w:val="0"/>
                    <w:rPr>
                      <w:rFonts w:hint="eastAsia"/>
                    </w:rPr>
                  </w:pPr>
                  <w:r>
                    <w:rPr>
                      <w:rFonts w:hint="eastAsia"/>
                      <w:lang w:val="en-US" w:eastAsia="zh-CN"/>
                    </w:rPr>
                    <w:t>地面冲洗废水</w:t>
                  </w:r>
                </w:p>
              </w:tc>
              <w:tc>
                <w:tcPr>
                  <w:tcW w:w="593" w:type="pct"/>
                  <w:shd w:val="clear" w:color="auto" w:fill="auto"/>
                  <w:vAlign w:val="center"/>
                </w:tcPr>
                <w:p>
                  <w:pPr>
                    <w:pStyle w:val="22"/>
                    <w:bidi w:val="0"/>
                    <w:rPr>
                      <w:rFonts w:hint="default"/>
                    </w:rPr>
                  </w:pPr>
                  <w:r>
                    <w:rPr>
                      <w:rFonts w:hint="default"/>
                      <w:lang w:val="en-US" w:eastAsia="zh-CN"/>
                    </w:rPr>
                    <w:t>CODcr</w:t>
                  </w:r>
                </w:p>
              </w:tc>
              <w:tc>
                <w:tcPr>
                  <w:tcW w:w="515" w:type="pct"/>
                  <w:vMerge w:val="restart"/>
                  <w:shd w:val="clear" w:color="auto" w:fill="auto"/>
                  <w:noWrap/>
                  <w:vAlign w:val="center"/>
                </w:tcPr>
                <w:p>
                  <w:pPr>
                    <w:pStyle w:val="22"/>
                    <w:bidi w:val="0"/>
                    <w:rPr>
                      <w:rFonts w:hint="eastAsia"/>
                    </w:rPr>
                  </w:pPr>
                  <w:r>
                    <w:rPr>
                      <w:rFonts w:hint="eastAsia"/>
                      <w:lang w:val="en-US" w:eastAsia="zh-CN"/>
                    </w:rPr>
                    <w:t>864</w:t>
                  </w:r>
                </w:p>
              </w:tc>
              <w:tc>
                <w:tcPr>
                  <w:tcW w:w="658" w:type="pct"/>
                  <w:shd w:val="clear" w:color="auto" w:fill="auto"/>
                  <w:noWrap/>
                  <w:vAlign w:val="center"/>
                </w:tcPr>
                <w:p>
                  <w:pPr>
                    <w:pStyle w:val="22"/>
                    <w:bidi w:val="0"/>
                    <w:rPr>
                      <w:rFonts w:hint="eastAsia"/>
                    </w:rPr>
                  </w:pPr>
                  <w:r>
                    <w:rPr>
                      <w:rFonts w:hint="eastAsia"/>
                      <w:lang w:val="en-US" w:eastAsia="zh-CN"/>
                    </w:rPr>
                    <w:t>500</w:t>
                  </w:r>
                </w:p>
              </w:tc>
              <w:tc>
                <w:tcPr>
                  <w:tcW w:w="664" w:type="pct"/>
                  <w:shd w:val="clear" w:color="auto" w:fill="auto"/>
                  <w:vAlign w:val="center"/>
                </w:tcPr>
                <w:p>
                  <w:pPr>
                    <w:pStyle w:val="22"/>
                    <w:bidi w:val="0"/>
                    <w:rPr>
                      <w:rFonts w:hint="default"/>
                    </w:rPr>
                  </w:pPr>
                  <w:r>
                    <w:rPr>
                      <w:rFonts w:hint="default"/>
                      <w:lang w:val="en-US" w:eastAsia="zh-CN"/>
                    </w:rPr>
                    <w:t>0.432</w:t>
                  </w:r>
                </w:p>
              </w:tc>
              <w:tc>
                <w:tcPr>
                  <w:tcW w:w="547" w:type="pct"/>
                  <w:shd w:val="clear" w:color="auto" w:fill="auto"/>
                  <w:vAlign w:val="center"/>
                </w:tcPr>
                <w:p>
                  <w:pPr>
                    <w:pStyle w:val="22"/>
                    <w:bidi w:val="0"/>
                    <w:rPr>
                      <w:rFonts w:hint="default"/>
                    </w:rPr>
                  </w:pPr>
                  <w:r>
                    <w:rPr>
                      <w:rFonts w:hint="default"/>
                      <w:lang w:val="en-US" w:eastAsia="zh-CN"/>
                    </w:rPr>
                    <w:t>90%</w:t>
                  </w:r>
                </w:p>
              </w:tc>
              <w:tc>
                <w:tcPr>
                  <w:tcW w:w="645" w:type="pct"/>
                  <w:shd w:val="clear" w:color="auto" w:fill="auto"/>
                  <w:vAlign w:val="center"/>
                </w:tcPr>
                <w:p>
                  <w:pPr>
                    <w:pStyle w:val="22"/>
                    <w:bidi w:val="0"/>
                    <w:rPr>
                      <w:rFonts w:hint="default"/>
                    </w:rPr>
                  </w:pPr>
                  <w:r>
                    <w:rPr>
                      <w:rFonts w:hint="default"/>
                      <w:lang w:val="en-US" w:eastAsia="zh-CN"/>
                    </w:rPr>
                    <w:t>50</w:t>
                  </w:r>
                </w:p>
              </w:tc>
              <w:tc>
                <w:tcPr>
                  <w:tcW w:w="547" w:type="pct"/>
                  <w:shd w:val="clear" w:color="auto" w:fill="auto"/>
                  <w:vAlign w:val="center"/>
                </w:tcPr>
                <w:p>
                  <w:pPr>
                    <w:pStyle w:val="22"/>
                    <w:bidi w:val="0"/>
                    <w:rPr>
                      <w:rFonts w:hint="default"/>
                    </w:rPr>
                  </w:pPr>
                  <w:r>
                    <w:rPr>
                      <w:rFonts w:hint="default"/>
                      <w:lang w:val="en-US" w:eastAsia="zh-CN"/>
                    </w:rPr>
                    <w:t xml:space="preserve">0.043 </w:t>
                  </w:r>
                </w:p>
              </w:tc>
              <w:tc>
                <w:tcPr>
                  <w:tcW w:w="436" w:type="pct"/>
                  <w:shd w:val="clear" w:color="auto" w:fill="auto"/>
                  <w:vAlign w:val="center"/>
                </w:tcPr>
                <w:p>
                  <w:pPr>
                    <w:pStyle w:val="22"/>
                    <w:bidi w:val="0"/>
                    <w:rPr>
                      <w:rFonts w:hint="default"/>
                    </w:rPr>
                  </w:pPr>
                  <w:r>
                    <w:rPr>
                      <w:rFonts w:hint="default"/>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default"/>
                    </w:rPr>
                  </w:pPr>
                  <w:r>
                    <w:rPr>
                      <w:rFonts w:hint="default"/>
                      <w:lang w:val="en-US" w:eastAsia="zh-CN"/>
                    </w:rPr>
                    <w:t>BOD</w:t>
                  </w:r>
                  <w:r>
                    <w:rPr>
                      <w:lang w:val="en-US" w:eastAsia="zh-CN"/>
                    </w:rPr>
                    <w:t>5</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300</w:t>
                  </w:r>
                </w:p>
              </w:tc>
              <w:tc>
                <w:tcPr>
                  <w:tcW w:w="664" w:type="pct"/>
                  <w:shd w:val="clear" w:color="auto" w:fill="auto"/>
                  <w:vAlign w:val="center"/>
                </w:tcPr>
                <w:p>
                  <w:pPr>
                    <w:pStyle w:val="22"/>
                    <w:bidi w:val="0"/>
                    <w:rPr>
                      <w:rFonts w:hint="default"/>
                    </w:rPr>
                  </w:pPr>
                  <w:r>
                    <w:rPr>
                      <w:rFonts w:hint="default"/>
                      <w:lang w:val="en-US" w:eastAsia="zh-CN"/>
                    </w:rPr>
                    <w:t>0.259</w:t>
                  </w:r>
                </w:p>
              </w:tc>
              <w:tc>
                <w:tcPr>
                  <w:tcW w:w="547" w:type="pct"/>
                  <w:shd w:val="clear" w:color="auto" w:fill="auto"/>
                  <w:vAlign w:val="center"/>
                </w:tcPr>
                <w:p>
                  <w:pPr>
                    <w:pStyle w:val="22"/>
                    <w:bidi w:val="0"/>
                    <w:rPr>
                      <w:rFonts w:hint="default"/>
                    </w:rPr>
                  </w:pPr>
                  <w:r>
                    <w:rPr>
                      <w:rFonts w:hint="default"/>
                      <w:lang w:val="en-US" w:eastAsia="zh-CN"/>
                    </w:rPr>
                    <w:t>90%</w:t>
                  </w:r>
                </w:p>
              </w:tc>
              <w:tc>
                <w:tcPr>
                  <w:tcW w:w="645" w:type="pct"/>
                  <w:shd w:val="clear" w:color="auto" w:fill="auto"/>
                  <w:vAlign w:val="center"/>
                </w:tcPr>
                <w:p>
                  <w:pPr>
                    <w:pStyle w:val="22"/>
                    <w:bidi w:val="0"/>
                    <w:rPr>
                      <w:rFonts w:hint="default"/>
                    </w:rPr>
                  </w:pPr>
                  <w:r>
                    <w:rPr>
                      <w:rFonts w:hint="default"/>
                      <w:lang w:val="en-US" w:eastAsia="zh-CN"/>
                    </w:rPr>
                    <w:t>30</w:t>
                  </w:r>
                </w:p>
              </w:tc>
              <w:tc>
                <w:tcPr>
                  <w:tcW w:w="547" w:type="pct"/>
                  <w:shd w:val="clear" w:color="auto" w:fill="auto"/>
                  <w:vAlign w:val="center"/>
                </w:tcPr>
                <w:p>
                  <w:pPr>
                    <w:pStyle w:val="22"/>
                    <w:bidi w:val="0"/>
                    <w:rPr>
                      <w:rFonts w:hint="default"/>
                    </w:rPr>
                  </w:pPr>
                  <w:r>
                    <w:rPr>
                      <w:rFonts w:hint="default"/>
                      <w:lang w:val="en-US" w:eastAsia="zh-CN"/>
                    </w:rPr>
                    <w:t xml:space="preserve">0.026 </w:t>
                  </w:r>
                </w:p>
              </w:tc>
              <w:tc>
                <w:tcPr>
                  <w:tcW w:w="436" w:type="pct"/>
                  <w:shd w:val="clear" w:color="auto" w:fill="auto"/>
                  <w:vAlign w:val="center"/>
                </w:tcPr>
                <w:p>
                  <w:pPr>
                    <w:pStyle w:val="22"/>
                    <w:bidi w:val="0"/>
                    <w:rPr>
                      <w:rFonts w:hint="default"/>
                    </w:rPr>
                  </w:pPr>
                  <w:r>
                    <w:rPr>
                      <w:rFonts w:hint="default"/>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default"/>
                    </w:rPr>
                  </w:pPr>
                  <w:r>
                    <w:rPr>
                      <w:rFonts w:hint="default"/>
                      <w:lang w:val="en-US" w:eastAsia="zh-CN"/>
                    </w:rPr>
                    <w:t>SS</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400</w:t>
                  </w:r>
                </w:p>
              </w:tc>
              <w:tc>
                <w:tcPr>
                  <w:tcW w:w="664" w:type="pct"/>
                  <w:shd w:val="clear" w:color="auto" w:fill="auto"/>
                  <w:vAlign w:val="center"/>
                </w:tcPr>
                <w:p>
                  <w:pPr>
                    <w:pStyle w:val="22"/>
                    <w:bidi w:val="0"/>
                    <w:rPr>
                      <w:rFonts w:hint="default"/>
                    </w:rPr>
                  </w:pPr>
                  <w:r>
                    <w:rPr>
                      <w:rFonts w:hint="default"/>
                      <w:lang w:val="en-US" w:eastAsia="zh-CN"/>
                    </w:rPr>
                    <w:t>0.34</w:t>
                  </w:r>
                  <w:r>
                    <w:rPr>
                      <w:rFonts w:hint="eastAsia"/>
                      <w:lang w:val="en-US" w:eastAsia="zh-CN"/>
                    </w:rPr>
                    <w:t>6</w:t>
                  </w:r>
                </w:p>
              </w:tc>
              <w:tc>
                <w:tcPr>
                  <w:tcW w:w="547" w:type="pct"/>
                  <w:shd w:val="clear" w:color="auto" w:fill="auto"/>
                  <w:vAlign w:val="center"/>
                </w:tcPr>
                <w:p>
                  <w:pPr>
                    <w:pStyle w:val="22"/>
                    <w:bidi w:val="0"/>
                    <w:rPr>
                      <w:rFonts w:hint="default"/>
                    </w:rPr>
                  </w:pPr>
                  <w:r>
                    <w:rPr>
                      <w:rFonts w:hint="default"/>
                      <w:lang w:val="en-US" w:eastAsia="zh-CN"/>
                    </w:rPr>
                    <w:t>90%</w:t>
                  </w:r>
                </w:p>
              </w:tc>
              <w:tc>
                <w:tcPr>
                  <w:tcW w:w="645" w:type="pct"/>
                  <w:shd w:val="clear" w:color="auto" w:fill="auto"/>
                  <w:vAlign w:val="center"/>
                </w:tcPr>
                <w:p>
                  <w:pPr>
                    <w:pStyle w:val="22"/>
                    <w:bidi w:val="0"/>
                    <w:rPr>
                      <w:rFonts w:hint="default"/>
                    </w:rPr>
                  </w:pPr>
                  <w:r>
                    <w:rPr>
                      <w:rFonts w:hint="default"/>
                      <w:lang w:val="en-US" w:eastAsia="zh-CN"/>
                    </w:rPr>
                    <w:t>40</w:t>
                  </w:r>
                </w:p>
              </w:tc>
              <w:tc>
                <w:tcPr>
                  <w:tcW w:w="547" w:type="pct"/>
                  <w:shd w:val="clear" w:color="auto" w:fill="auto"/>
                  <w:vAlign w:val="center"/>
                </w:tcPr>
                <w:p>
                  <w:pPr>
                    <w:pStyle w:val="22"/>
                    <w:bidi w:val="0"/>
                    <w:rPr>
                      <w:rFonts w:hint="default"/>
                    </w:rPr>
                  </w:pPr>
                  <w:r>
                    <w:rPr>
                      <w:rFonts w:hint="default"/>
                      <w:lang w:val="en-US" w:eastAsia="zh-CN"/>
                    </w:rPr>
                    <w:t xml:space="preserve">0.035 </w:t>
                  </w:r>
                </w:p>
              </w:tc>
              <w:tc>
                <w:tcPr>
                  <w:tcW w:w="436" w:type="pct"/>
                  <w:shd w:val="clear" w:color="auto" w:fill="auto"/>
                  <w:vAlign w:val="center"/>
                </w:tcPr>
                <w:p>
                  <w:pPr>
                    <w:pStyle w:val="22"/>
                    <w:bidi w:val="0"/>
                    <w:rPr>
                      <w:rFonts w:hint="default"/>
                    </w:rPr>
                  </w:pPr>
                  <w:r>
                    <w:rPr>
                      <w:rFonts w:hint="default"/>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eastAsia"/>
                    </w:rPr>
                  </w:pPr>
                  <w:r>
                    <w:rPr>
                      <w:rFonts w:hint="eastAsia"/>
                      <w:lang w:val="en-US" w:eastAsia="zh-CN"/>
                    </w:rPr>
                    <w:t>氨氮</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50</w:t>
                  </w:r>
                </w:p>
              </w:tc>
              <w:tc>
                <w:tcPr>
                  <w:tcW w:w="664" w:type="pct"/>
                  <w:shd w:val="clear" w:color="auto" w:fill="auto"/>
                  <w:vAlign w:val="center"/>
                </w:tcPr>
                <w:p>
                  <w:pPr>
                    <w:pStyle w:val="22"/>
                    <w:bidi w:val="0"/>
                    <w:rPr>
                      <w:rFonts w:hint="default"/>
                    </w:rPr>
                  </w:pPr>
                  <w:r>
                    <w:rPr>
                      <w:rFonts w:hint="default"/>
                      <w:lang w:val="en-US" w:eastAsia="zh-CN"/>
                    </w:rPr>
                    <w:t>0.0432</w:t>
                  </w:r>
                </w:p>
              </w:tc>
              <w:tc>
                <w:tcPr>
                  <w:tcW w:w="547" w:type="pct"/>
                  <w:shd w:val="clear" w:color="auto" w:fill="auto"/>
                  <w:vAlign w:val="center"/>
                </w:tcPr>
                <w:p>
                  <w:pPr>
                    <w:pStyle w:val="22"/>
                    <w:bidi w:val="0"/>
                    <w:rPr>
                      <w:rFonts w:hint="default"/>
                    </w:rPr>
                  </w:pPr>
                  <w:r>
                    <w:rPr>
                      <w:rFonts w:hint="default"/>
                      <w:lang w:val="en-US" w:eastAsia="zh-CN"/>
                    </w:rPr>
                    <w:t>70%</w:t>
                  </w:r>
                </w:p>
              </w:tc>
              <w:tc>
                <w:tcPr>
                  <w:tcW w:w="645" w:type="pct"/>
                  <w:shd w:val="clear" w:color="auto" w:fill="auto"/>
                  <w:vAlign w:val="center"/>
                </w:tcPr>
                <w:p>
                  <w:pPr>
                    <w:pStyle w:val="22"/>
                    <w:bidi w:val="0"/>
                    <w:rPr>
                      <w:rFonts w:hint="default"/>
                    </w:rPr>
                  </w:pPr>
                  <w:r>
                    <w:rPr>
                      <w:rFonts w:hint="default"/>
                      <w:lang w:val="en-US" w:eastAsia="zh-CN"/>
                    </w:rPr>
                    <w:t>15</w:t>
                  </w:r>
                </w:p>
              </w:tc>
              <w:tc>
                <w:tcPr>
                  <w:tcW w:w="547" w:type="pct"/>
                  <w:shd w:val="clear" w:color="auto" w:fill="auto"/>
                  <w:vAlign w:val="center"/>
                </w:tcPr>
                <w:p>
                  <w:pPr>
                    <w:pStyle w:val="22"/>
                    <w:bidi w:val="0"/>
                    <w:rPr>
                      <w:rFonts w:hint="default"/>
                    </w:rPr>
                  </w:pPr>
                  <w:r>
                    <w:rPr>
                      <w:rFonts w:hint="default"/>
                      <w:lang w:val="en-US" w:eastAsia="zh-CN"/>
                    </w:rPr>
                    <w:t xml:space="preserve">0.013 </w:t>
                  </w:r>
                </w:p>
              </w:tc>
              <w:tc>
                <w:tcPr>
                  <w:tcW w:w="436" w:type="pct"/>
                  <w:shd w:val="clear" w:color="auto" w:fill="auto"/>
                  <w:vAlign w:val="center"/>
                </w:tcPr>
                <w:p>
                  <w:pPr>
                    <w:pStyle w:val="22"/>
                    <w:bidi w:val="0"/>
                    <w:rPr>
                      <w:rFonts w:hint="default"/>
                    </w:rPr>
                  </w:pPr>
                  <w:r>
                    <w:rPr>
                      <w:rFonts w:hint="default"/>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eastAsia"/>
                    </w:rPr>
                  </w:pPr>
                  <w:r>
                    <w:rPr>
                      <w:rFonts w:hint="eastAsia"/>
                      <w:lang w:val="en-US" w:eastAsia="zh-CN"/>
                    </w:rPr>
                    <w:t>石油类</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40</w:t>
                  </w:r>
                </w:p>
              </w:tc>
              <w:tc>
                <w:tcPr>
                  <w:tcW w:w="664" w:type="pct"/>
                  <w:shd w:val="clear" w:color="auto" w:fill="auto"/>
                  <w:vAlign w:val="center"/>
                </w:tcPr>
                <w:p>
                  <w:pPr>
                    <w:pStyle w:val="22"/>
                    <w:bidi w:val="0"/>
                    <w:rPr>
                      <w:rFonts w:hint="default"/>
                    </w:rPr>
                  </w:pPr>
                  <w:r>
                    <w:rPr>
                      <w:rFonts w:hint="default"/>
                      <w:lang w:val="en-US" w:eastAsia="zh-CN"/>
                    </w:rPr>
                    <w:t>0.03</w:t>
                  </w:r>
                  <w:r>
                    <w:rPr>
                      <w:rFonts w:hint="eastAsia"/>
                      <w:lang w:val="en-US" w:eastAsia="zh-CN"/>
                    </w:rPr>
                    <w:t>5</w:t>
                  </w:r>
                </w:p>
              </w:tc>
              <w:tc>
                <w:tcPr>
                  <w:tcW w:w="547" w:type="pct"/>
                  <w:shd w:val="clear" w:color="auto" w:fill="auto"/>
                  <w:vAlign w:val="center"/>
                </w:tcPr>
                <w:p>
                  <w:pPr>
                    <w:pStyle w:val="22"/>
                    <w:bidi w:val="0"/>
                    <w:rPr>
                      <w:rFonts w:hint="default"/>
                    </w:rPr>
                  </w:pPr>
                  <w:r>
                    <w:rPr>
                      <w:rFonts w:hint="default"/>
                      <w:lang w:val="en-US" w:eastAsia="zh-CN"/>
                    </w:rPr>
                    <w:t>68%</w:t>
                  </w:r>
                </w:p>
              </w:tc>
              <w:tc>
                <w:tcPr>
                  <w:tcW w:w="645" w:type="pct"/>
                  <w:shd w:val="clear" w:color="auto" w:fill="auto"/>
                  <w:vAlign w:val="center"/>
                </w:tcPr>
                <w:p>
                  <w:pPr>
                    <w:pStyle w:val="22"/>
                    <w:bidi w:val="0"/>
                    <w:rPr>
                      <w:rFonts w:hint="default"/>
                    </w:rPr>
                  </w:pPr>
                  <w:r>
                    <w:rPr>
                      <w:rFonts w:hint="default"/>
                      <w:lang w:val="en-US" w:eastAsia="zh-CN"/>
                    </w:rPr>
                    <w:t>12.8</w:t>
                  </w:r>
                </w:p>
              </w:tc>
              <w:tc>
                <w:tcPr>
                  <w:tcW w:w="547" w:type="pct"/>
                  <w:shd w:val="clear" w:color="auto" w:fill="auto"/>
                  <w:vAlign w:val="center"/>
                </w:tcPr>
                <w:p>
                  <w:pPr>
                    <w:pStyle w:val="22"/>
                    <w:bidi w:val="0"/>
                    <w:rPr>
                      <w:rFonts w:hint="default"/>
                    </w:rPr>
                  </w:pPr>
                  <w:r>
                    <w:rPr>
                      <w:rFonts w:hint="default"/>
                      <w:lang w:val="en-US" w:eastAsia="zh-CN"/>
                    </w:rPr>
                    <w:t xml:space="preserve">0.011 </w:t>
                  </w:r>
                </w:p>
              </w:tc>
              <w:tc>
                <w:tcPr>
                  <w:tcW w:w="436" w:type="pct"/>
                  <w:shd w:val="clear" w:color="auto" w:fill="auto"/>
                  <w:vAlign w:val="center"/>
                </w:tcPr>
                <w:p>
                  <w:pPr>
                    <w:pStyle w:val="22"/>
                    <w:bidi w:val="0"/>
                    <w:rPr>
                      <w:rFonts w:hint="default"/>
                    </w:rPr>
                  </w:pPr>
                  <w:r>
                    <w:rPr>
                      <w:rFonts w:hint="default"/>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restart"/>
                  <w:shd w:val="clear" w:color="auto" w:fill="auto"/>
                  <w:noWrap/>
                  <w:vAlign w:val="center"/>
                </w:tcPr>
                <w:p>
                  <w:pPr>
                    <w:pStyle w:val="22"/>
                    <w:bidi w:val="0"/>
                    <w:rPr>
                      <w:rFonts w:hint="eastAsia"/>
                    </w:rPr>
                  </w:pPr>
                  <w:r>
                    <w:rPr>
                      <w:rFonts w:hint="eastAsia"/>
                      <w:lang w:val="en-US" w:eastAsia="zh-CN"/>
                    </w:rPr>
                    <w:t>喷淋塔废水</w:t>
                  </w:r>
                </w:p>
              </w:tc>
              <w:tc>
                <w:tcPr>
                  <w:tcW w:w="593" w:type="pct"/>
                  <w:shd w:val="clear" w:color="auto" w:fill="auto"/>
                  <w:vAlign w:val="center"/>
                </w:tcPr>
                <w:p>
                  <w:pPr>
                    <w:pStyle w:val="22"/>
                    <w:bidi w:val="0"/>
                    <w:rPr>
                      <w:rFonts w:hint="default"/>
                    </w:rPr>
                  </w:pPr>
                  <w:r>
                    <w:rPr>
                      <w:rFonts w:hint="default"/>
                      <w:lang w:val="en-US" w:eastAsia="zh-CN"/>
                    </w:rPr>
                    <w:t>CODcr</w:t>
                  </w:r>
                </w:p>
              </w:tc>
              <w:tc>
                <w:tcPr>
                  <w:tcW w:w="515" w:type="pct"/>
                  <w:vMerge w:val="restart"/>
                  <w:shd w:val="clear" w:color="auto" w:fill="auto"/>
                  <w:noWrap/>
                  <w:vAlign w:val="center"/>
                </w:tcPr>
                <w:p>
                  <w:pPr>
                    <w:pStyle w:val="22"/>
                    <w:bidi w:val="0"/>
                    <w:rPr>
                      <w:rFonts w:hint="eastAsia"/>
                    </w:rPr>
                  </w:pPr>
                  <w:r>
                    <w:rPr>
                      <w:rFonts w:hint="eastAsia"/>
                      <w:lang w:val="en-US" w:eastAsia="zh-CN"/>
                    </w:rPr>
                    <w:t>2160</w:t>
                  </w:r>
                </w:p>
              </w:tc>
              <w:tc>
                <w:tcPr>
                  <w:tcW w:w="658" w:type="pct"/>
                  <w:shd w:val="clear" w:color="auto" w:fill="auto"/>
                  <w:noWrap/>
                  <w:vAlign w:val="center"/>
                </w:tcPr>
                <w:p>
                  <w:pPr>
                    <w:pStyle w:val="22"/>
                    <w:bidi w:val="0"/>
                    <w:rPr>
                      <w:rFonts w:hint="eastAsia"/>
                    </w:rPr>
                  </w:pPr>
                  <w:r>
                    <w:rPr>
                      <w:rFonts w:hint="eastAsia"/>
                      <w:lang w:val="en-US" w:eastAsia="zh-CN"/>
                    </w:rPr>
                    <w:t>500</w:t>
                  </w:r>
                </w:p>
              </w:tc>
              <w:tc>
                <w:tcPr>
                  <w:tcW w:w="664" w:type="pct"/>
                  <w:shd w:val="clear" w:color="auto" w:fill="auto"/>
                  <w:vAlign w:val="center"/>
                </w:tcPr>
                <w:p>
                  <w:pPr>
                    <w:pStyle w:val="22"/>
                    <w:bidi w:val="0"/>
                    <w:rPr>
                      <w:rFonts w:hint="default"/>
                    </w:rPr>
                  </w:pPr>
                  <w:r>
                    <w:rPr>
                      <w:rFonts w:hint="default"/>
                      <w:lang w:val="en-US" w:eastAsia="zh-CN"/>
                    </w:rPr>
                    <w:t>1.08</w:t>
                  </w:r>
                </w:p>
              </w:tc>
              <w:tc>
                <w:tcPr>
                  <w:tcW w:w="547" w:type="pct"/>
                  <w:shd w:val="clear" w:color="auto" w:fill="auto"/>
                  <w:vAlign w:val="center"/>
                </w:tcPr>
                <w:p>
                  <w:pPr>
                    <w:pStyle w:val="22"/>
                    <w:bidi w:val="0"/>
                    <w:rPr>
                      <w:rFonts w:hint="default"/>
                    </w:rPr>
                  </w:pPr>
                  <w:r>
                    <w:rPr>
                      <w:rFonts w:hint="default"/>
                      <w:lang w:val="en-US" w:eastAsia="zh-CN"/>
                    </w:rPr>
                    <w:t>90%</w:t>
                  </w:r>
                </w:p>
              </w:tc>
              <w:tc>
                <w:tcPr>
                  <w:tcW w:w="645" w:type="pct"/>
                  <w:shd w:val="clear" w:color="auto" w:fill="auto"/>
                  <w:vAlign w:val="center"/>
                </w:tcPr>
                <w:p>
                  <w:pPr>
                    <w:pStyle w:val="22"/>
                    <w:bidi w:val="0"/>
                    <w:rPr>
                      <w:rFonts w:hint="default"/>
                    </w:rPr>
                  </w:pPr>
                  <w:r>
                    <w:rPr>
                      <w:rFonts w:hint="default"/>
                      <w:lang w:val="en-US" w:eastAsia="zh-CN"/>
                    </w:rPr>
                    <w:t>50</w:t>
                  </w:r>
                </w:p>
              </w:tc>
              <w:tc>
                <w:tcPr>
                  <w:tcW w:w="547" w:type="pct"/>
                  <w:shd w:val="clear" w:color="auto" w:fill="auto"/>
                  <w:vAlign w:val="center"/>
                </w:tcPr>
                <w:p>
                  <w:pPr>
                    <w:pStyle w:val="22"/>
                    <w:bidi w:val="0"/>
                    <w:rPr>
                      <w:rFonts w:hint="default"/>
                    </w:rPr>
                  </w:pPr>
                  <w:r>
                    <w:rPr>
                      <w:rFonts w:hint="default"/>
                      <w:lang w:val="en-US" w:eastAsia="zh-CN"/>
                    </w:rPr>
                    <w:t xml:space="preserve">0.108 </w:t>
                  </w:r>
                </w:p>
              </w:tc>
              <w:tc>
                <w:tcPr>
                  <w:tcW w:w="436" w:type="pct"/>
                  <w:shd w:val="clear" w:color="auto" w:fill="auto"/>
                  <w:vAlign w:val="center"/>
                </w:tcPr>
                <w:p>
                  <w:pPr>
                    <w:pStyle w:val="22"/>
                    <w:bidi w:val="0"/>
                    <w:rPr>
                      <w:rFonts w:hint="default"/>
                    </w:rPr>
                  </w:pPr>
                  <w:r>
                    <w:rPr>
                      <w:rFonts w:hint="default"/>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default"/>
                    </w:rPr>
                  </w:pPr>
                  <w:r>
                    <w:rPr>
                      <w:rFonts w:hint="default"/>
                      <w:lang w:val="en-US" w:eastAsia="zh-CN"/>
                    </w:rPr>
                    <w:t>BOD</w:t>
                  </w:r>
                  <w:r>
                    <w:rPr>
                      <w:lang w:val="en-US" w:eastAsia="zh-CN"/>
                    </w:rPr>
                    <w:t>5</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300</w:t>
                  </w:r>
                </w:p>
              </w:tc>
              <w:tc>
                <w:tcPr>
                  <w:tcW w:w="664" w:type="pct"/>
                  <w:shd w:val="clear" w:color="auto" w:fill="auto"/>
                  <w:vAlign w:val="center"/>
                </w:tcPr>
                <w:p>
                  <w:pPr>
                    <w:pStyle w:val="22"/>
                    <w:bidi w:val="0"/>
                    <w:rPr>
                      <w:rFonts w:hint="default"/>
                    </w:rPr>
                  </w:pPr>
                  <w:r>
                    <w:rPr>
                      <w:rFonts w:hint="default"/>
                      <w:lang w:val="en-US" w:eastAsia="zh-CN"/>
                    </w:rPr>
                    <w:t>0.648</w:t>
                  </w:r>
                </w:p>
              </w:tc>
              <w:tc>
                <w:tcPr>
                  <w:tcW w:w="547" w:type="pct"/>
                  <w:shd w:val="clear" w:color="auto" w:fill="auto"/>
                  <w:vAlign w:val="center"/>
                </w:tcPr>
                <w:p>
                  <w:pPr>
                    <w:pStyle w:val="22"/>
                    <w:bidi w:val="0"/>
                    <w:rPr>
                      <w:rFonts w:hint="default"/>
                    </w:rPr>
                  </w:pPr>
                  <w:r>
                    <w:rPr>
                      <w:rFonts w:hint="default"/>
                      <w:lang w:val="en-US" w:eastAsia="zh-CN"/>
                    </w:rPr>
                    <w:t>90%</w:t>
                  </w:r>
                </w:p>
              </w:tc>
              <w:tc>
                <w:tcPr>
                  <w:tcW w:w="645" w:type="pct"/>
                  <w:shd w:val="clear" w:color="auto" w:fill="auto"/>
                  <w:vAlign w:val="center"/>
                </w:tcPr>
                <w:p>
                  <w:pPr>
                    <w:pStyle w:val="22"/>
                    <w:bidi w:val="0"/>
                    <w:rPr>
                      <w:rFonts w:hint="default"/>
                    </w:rPr>
                  </w:pPr>
                  <w:r>
                    <w:rPr>
                      <w:rFonts w:hint="default"/>
                      <w:lang w:val="en-US" w:eastAsia="zh-CN"/>
                    </w:rPr>
                    <w:t>30</w:t>
                  </w:r>
                </w:p>
              </w:tc>
              <w:tc>
                <w:tcPr>
                  <w:tcW w:w="547" w:type="pct"/>
                  <w:shd w:val="clear" w:color="auto" w:fill="auto"/>
                  <w:vAlign w:val="center"/>
                </w:tcPr>
                <w:p>
                  <w:pPr>
                    <w:pStyle w:val="22"/>
                    <w:bidi w:val="0"/>
                    <w:rPr>
                      <w:rFonts w:hint="default"/>
                    </w:rPr>
                  </w:pPr>
                  <w:r>
                    <w:rPr>
                      <w:rFonts w:hint="default"/>
                      <w:lang w:val="en-US" w:eastAsia="zh-CN"/>
                    </w:rPr>
                    <w:t xml:space="preserve">0.065 </w:t>
                  </w:r>
                </w:p>
              </w:tc>
              <w:tc>
                <w:tcPr>
                  <w:tcW w:w="436" w:type="pct"/>
                  <w:shd w:val="clear" w:color="auto" w:fill="auto"/>
                  <w:vAlign w:val="center"/>
                </w:tcPr>
                <w:p>
                  <w:pPr>
                    <w:pStyle w:val="22"/>
                    <w:bidi w:val="0"/>
                    <w:rPr>
                      <w:rFonts w:hint="default"/>
                    </w:rPr>
                  </w:pPr>
                  <w:r>
                    <w:rPr>
                      <w:rFonts w:hint="default"/>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default"/>
                    </w:rPr>
                  </w:pPr>
                  <w:r>
                    <w:rPr>
                      <w:rFonts w:hint="default"/>
                      <w:lang w:val="en-US" w:eastAsia="zh-CN"/>
                    </w:rPr>
                    <w:t>SS</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100</w:t>
                  </w:r>
                </w:p>
              </w:tc>
              <w:tc>
                <w:tcPr>
                  <w:tcW w:w="664" w:type="pct"/>
                  <w:shd w:val="clear" w:color="auto" w:fill="auto"/>
                  <w:vAlign w:val="center"/>
                </w:tcPr>
                <w:p>
                  <w:pPr>
                    <w:pStyle w:val="22"/>
                    <w:bidi w:val="0"/>
                    <w:rPr>
                      <w:rFonts w:hint="default"/>
                    </w:rPr>
                  </w:pPr>
                  <w:r>
                    <w:rPr>
                      <w:rFonts w:hint="default"/>
                      <w:lang w:val="en-US" w:eastAsia="zh-CN"/>
                    </w:rPr>
                    <w:t>0.216</w:t>
                  </w:r>
                </w:p>
              </w:tc>
              <w:tc>
                <w:tcPr>
                  <w:tcW w:w="547" w:type="pct"/>
                  <w:shd w:val="clear" w:color="auto" w:fill="auto"/>
                  <w:vAlign w:val="center"/>
                </w:tcPr>
                <w:p>
                  <w:pPr>
                    <w:pStyle w:val="22"/>
                    <w:bidi w:val="0"/>
                    <w:rPr>
                      <w:rFonts w:hint="default"/>
                    </w:rPr>
                  </w:pPr>
                  <w:r>
                    <w:rPr>
                      <w:rFonts w:hint="default"/>
                      <w:lang w:val="en-US" w:eastAsia="zh-CN"/>
                    </w:rPr>
                    <w:t>90%</w:t>
                  </w:r>
                </w:p>
              </w:tc>
              <w:tc>
                <w:tcPr>
                  <w:tcW w:w="645" w:type="pct"/>
                  <w:shd w:val="clear" w:color="auto" w:fill="auto"/>
                  <w:vAlign w:val="center"/>
                </w:tcPr>
                <w:p>
                  <w:pPr>
                    <w:pStyle w:val="22"/>
                    <w:bidi w:val="0"/>
                    <w:rPr>
                      <w:rFonts w:hint="default"/>
                    </w:rPr>
                  </w:pPr>
                  <w:r>
                    <w:rPr>
                      <w:rFonts w:hint="default"/>
                      <w:lang w:val="en-US" w:eastAsia="zh-CN"/>
                    </w:rPr>
                    <w:t>10</w:t>
                  </w:r>
                </w:p>
              </w:tc>
              <w:tc>
                <w:tcPr>
                  <w:tcW w:w="547" w:type="pct"/>
                  <w:shd w:val="clear" w:color="auto" w:fill="auto"/>
                  <w:vAlign w:val="center"/>
                </w:tcPr>
                <w:p>
                  <w:pPr>
                    <w:pStyle w:val="22"/>
                    <w:bidi w:val="0"/>
                    <w:rPr>
                      <w:rFonts w:hint="default"/>
                    </w:rPr>
                  </w:pPr>
                  <w:r>
                    <w:rPr>
                      <w:rFonts w:hint="default"/>
                      <w:lang w:val="en-US" w:eastAsia="zh-CN"/>
                    </w:rPr>
                    <w:t xml:space="preserve">0.022 </w:t>
                  </w:r>
                </w:p>
              </w:tc>
              <w:tc>
                <w:tcPr>
                  <w:tcW w:w="436" w:type="pct"/>
                  <w:shd w:val="clear" w:color="auto" w:fill="auto"/>
                  <w:vAlign w:val="center"/>
                </w:tcPr>
                <w:p>
                  <w:pPr>
                    <w:pStyle w:val="22"/>
                    <w:bidi w:val="0"/>
                    <w:rPr>
                      <w:rFonts w:hint="default"/>
                    </w:rPr>
                  </w:pPr>
                  <w:r>
                    <w:rPr>
                      <w:rFonts w:hint="default"/>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eastAsia"/>
                    </w:rPr>
                  </w:pPr>
                  <w:r>
                    <w:rPr>
                      <w:rFonts w:hint="eastAsia"/>
                      <w:lang w:val="en-US" w:eastAsia="zh-CN"/>
                    </w:rPr>
                    <w:t>氨氮</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50</w:t>
                  </w:r>
                </w:p>
              </w:tc>
              <w:tc>
                <w:tcPr>
                  <w:tcW w:w="664" w:type="pct"/>
                  <w:shd w:val="clear" w:color="auto" w:fill="auto"/>
                  <w:vAlign w:val="center"/>
                </w:tcPr>
                <w:p>
                  <w:pPr>
                    <w:pStyle w:val="22"/>
                    <w:bidi w:val="0"/>
                    <w:rPr>
                      <w:rFonts w:hint="default"/>
                    </w:rPr>
                  </w:pPr>
                  <w:r>
                    <w:rPr>
                      <w:rFonts w:hint="default"/>
                      <w:lang w:val="en-US" w:eastAsia="zh-CN"/>
                    </w:rPr>
                    <w:t>0.108</w:t>
                  </w:r>
                </w:p>
              </w:tc>
              <w:tc>
                <w:tcPr>
                  <w:tcW w:w="547" w:type="pct"/>
                  <w:shd w:val="clear" w:color="auto" w:fill="auto"/>
                  <w:vAlign w:val="center"/>
                </w:tcPr>
                <w:p>
                  <w:pPr>
                    <w:pStyle w:val="22"/>
                    <w:bidi w:val="0"/>
                    <w:rPr>
                      <w:rFonts w:hint="default"/>
                    </w:rPr>
                  </w:pPr>
                  <w:r>
                    <w:rPr>
                      <w:rFonts w:hint="default"/>
                      <w:lang w:val="en-US" w:eastAsia="zh-CN"/>
                    </w:rPr>
                    <w:t>70%</w:t>
                  </w:r>
                </w:p>
              </w:tc>
              <w:tc>
                <w:tcPr>
                  <w:tcW w:w="645" w:type="pct"/>
                  <w:shd w:val="clear" w:color="auto" w:fill="auto"/>
                  <w:vAlign w:val="center"/>
                </w:tcPr>
                <w:p>
                  <w:pPr>
                    <w:pStyle w:val="22"/>
                    <w:bidi w:val="0"/>
                    <w:rPr>
                      <w:rFonts w:hint="default"/>
                    </w:rPr>
                  </w:pPr>
                  <w:r>
                    <w:rPr>
                      <w:rFonts w:hint="default"/>
                      <w:lang w:val="en-US" w:eastAsia="zh-CN"/>
                    </w:rPr>
                    <w:t>15</w:t>
                  </w:r>
                </w:p>
              </w:tc>
              <w:tc>
                <w:tcPr>
                  <w:tcW w:w="547" w:type="pct"/>
                  <w:shd w:val="clear" w:color="auto" w:fill="auto"/>
                  <w:vAlign w:val="center"/>
                </w:tcPr>
                <w:p>
                  <w:pPr>
                    <w:pStyle w:val="22"/>
                    <w:bidi w:val="0"/>
                    <w:rPr>
                      <w:rFonts w:hint="default"/>
                    </w:rPr>
                  </w:pPr>
                  <w:r>
                    <w:rPr>
                      <w:rFonts w:hint="default"/>
                      <w:lang w:val="en-US" w:eastAsia="zh-CN"/>
                    </w:rPr>
                    <w:t xml:space="preserve">0.032 </w:t>
                  </w:r>
                </w:p>
              </w:tc>
              <w:tc>
                <w:tcPr>
                  <w:tcW w:w="436" w:type="pct"/>
                  <w:shd w:val="clear" w:color="auto" w:fill="auto"/>
                  <w:vAlign w:val="center"/>
                </w:tcPr>
                <w:p>
                  <w:pPr>
                    <w:pStyle w:val="22"/>
                    <w:bidi w:val="0"/>
                    <w:rPr>
                      <w:rFonts w:hint="default"/>
                    </w:rPr>
                  </w:pPr>
                  <w:r>
                    <w:rPr>
                      <w:rFonts w:hint="default"/>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eastAsia"/>
                    </w:rPr>
                  </w:pPr>
                  <w:r>
                    <w:rPr>
                      <w:rFonts w:hint="eastAsia"/>
                      <w:lang w:val="en-US" w:eastAsia="zh-CN"/>
                    </w:rPr>
                    <w:t>全盐量</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1000</w:t>
                  </w:r>
                </w:p>
              </w:tc>
              <w:tc>
                <w:tcPr>
                  <w:tcW w:w="664" w:type="pct"/>
                  <w:shd w:val="clear" w:color="auto" w:fill="auto"/>
                  <w:vAlign w:val="center"/>
                </w:tcPr>
                <w:p>
                  <w:pPr>
                    <w:pStyle w:val="22"/>
                    <w:bidi w:val="0"/>
                    <w:rPr>
                      <w:rFonts w:hint="default"/>
                    </w:rPr>
                  </w:pPr>
                  <w:r>
                    <w:rPr>
                      <w:rFonts w:hint="default"/>
                      <w:lang w:val="en-US" w:eastAsia="zh-CN"/>
                    </w:rPr>
                    <w:t>2.16</w:t>
                  </w:r>
                </w:p>
              </w:tc>
              <w:tc>
                <w:tcPr>
                  <w:tcW w:w="547" w:type="pct"/>
                  <w:shd w:val="clear" w:color="auto" w:fill="auto"/>
                  <w:vAlign w:val="center"/>
                </w:tcPr>
                <w:p>
                  <w:pPr>
                    <w:pStyle w:val="22"/>
                    <w:bidi w:val="0"/>
                    <w:rPr>
                      <w:rFonts w:hint="default"/>
                    </w:rPr>
                  </w:pPr>
                  <w:r>
                    <w:rPr>
                      <w:rFonts w:hint="default"/>
                      <w:lang w:val="en-US" w:eastAsia="zh-CN"/>
                    </w:rPr>
                    <w:t>50%</w:t>
                  </w:r>
                </w:p>
              </w:tc>
              <w:tc>
                <w:tcPr>
                  <w:tcW w:w="645" w:type="pct"/>
                  <w:shd w:val="clear" w:color="auto" w:fill="auto"/>
                  <w:vAlign w:val="center"/>
                </w:tcPr>
                <w:p>
                  <w:pPr>
                    <w:pStyle w:val="22"/>
                    <w:bidi w:val="0"/>
                    <w:rPr>
                      <w:rFonts w:hint="default"/>
                    </w:rPr>
                  </w:pPr>
                  <w:r>
                    <w:rPr>
                      <w:rFonts w:hint="default"/>
                      <w:lang w:val="en-US" w:eastAsia="zh-CN"/>
                    </w:rPr>
                    <w:t>500</w:t>
                  </w:r>
                </w:p>
              </w:tc>
              <w:tc>
                <w:tcPr>
                  <w:tcW w:w="547" w:type="pct"/>
                  <w:shd w:val="clear" w:color="auto" w:fill="auto"/>
                  <w:vAlign w:val="center"/>
                </w:tcPr>
                <w:p>
                  <w:pPr>
                    <w:pStyle w:val="22"/>
                    <w:bidi w:val="0"/>
                    <w:rPr>
                      <w:rFonts w:hint="default"/>
                    </w:rPr>
                  </w:pPr>
                  <w:r>
                    <w:rPr>
                      <w:rFonts w:hint="default"/>
                      <w:lang w:val="en-US" w:eastAsia="zh-CN"/>
                    </w:rPr>
                    <w:t xml:space="preserve">1.080 </w:t>
                  </w:r>
                </w:p>
              </w:tc>
              <w:tc>
                <w:tcPr>
                  <w:tcW w:w="436" w:type="pct"/>
                  <w:shd w:val="clear" w:color="auto" w:fill="auto"/>
                  <w:vAlign w:val="center"/>
                </w:tcPr>
                <w:p>
                  <w:pPr>
                    <w:pStyle w:val="22"/>
                    <w:bidi w:val="0"/>
                    <w:rPr>
                      <w:rFonts w:hint="default"/>
                    </w:rPr>
                  </w:pPr>
                  <w:r>
                    <w:rPr>
                      <w:rFonts w:hint="default"/>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restart"/>
                  <w:shd w:val="clear" w:color="auto" w:fill="auto"/>
                  <w:noWrap/>
                  <w:vAlign w:val="center"/>
                </w:tcPr>
                <w:p>
                  <w:pPr>
                    <w:pStyle w:val="22"/>
                    <w:bidi w:val="0"/>
                    <w:rPr>
                      <w:rFonts w:hint="eastAsia"/>
                    </w:rPr>
                  </w:pPr>
                  <w:r>
                    <w:rPr>
                      <w:rFonts w:hint="eastAsia"/>
                      <w:lang w:val="en-US" w:eastAsia="zh-CN"/>
                    </w:rPr>
                    <w:t>生活污水</w:t>
                  </w:r>
                </w:p>
              </w:tc>
              <w:tc>
                <w:tcPr>
                  <w:tcW w:w="593" w:type="pct"/>
                  <w:shd w:val="clear" w:color="auto" w:fill="auto"/>
                  <w:vAlign w:val="top"/>
                </w:tcPr>
                <w:p>
                  <w:pPr>
                    <w:pStyle w:val="22"/>
                    <w:bidi w:val="0"/>
                    <w:rPr>
                      <w:rFonts w:hint="default"/>
                    </w:rPr>
                  </w:pPr>
                  <w:r>
                    <w:rPr>
                      <w:rFonts w:hint="default"/>
                      <w:lang w:val="en-US" w:eastAsia="zh-CN"/>
                    </w:rPr>
                    <w:t>CODcr</w:t>
                  </w:r>
                </w:p>
              </w:tc>
              <w:tc>
                <w:tcPr>
                  <w:tcW w:w="515" w:type="pct"/>
                  <w:vMerge w:val="restart"/>
                  <w:shd w:val="clear" w:color="auto" w:fill="auto"/>
                  <w:noWrap/>
                  <w:vAlign w:val="center"/>
                </w:tcPr>
                <w:p>
                  <w:pPr>
                    <w:pStyle w:val="22"/>
                    <w:bidi w:val="0"/>
                    <w:rPr>
                      <w:rFonts w:hint="eastAsia"/>
                    </w:rPr>
                  </w:pPr>
                  <w:r>
                    <w:rPr>
                      <w:rFonts w:hint="eastAsia"/>
                      <w:lang w:val="en-US" w:eastAsia="zh-CN"/>
                    </w:rPr>
                    <w:t>1368</w:t>
                  </w:r>
                </w:p>
              </w:tc>
              <w:tc>
                <w:tcPr>
                  <w:tcW w:w="658" w:type="pct"/>
                  <w:shd w:val="clear" w:color="auto" w:fill="auto"/>
                  <w:noWrap/>
                  <w:vAlign w:val="center"/>
                </w:tcPr>
                <w:p>
                  <w:pPr>
                    <w:pStyle w:val="22"/>
                    <w:bidi w:val="0"/>
                    <w:rPr>
                      <w:rFonts w:hint="eastAsia"/>
                    </w:rPr>
                  </w:pPr>
                  <w:r>
                    <w:rPr>
                      <w:rFonts w:hint="eastAsia"/>
                      <w:lang w:val="en-US" w:eastAsia="zh-CN"/>
                    </w:rPr>
                    <w:t>325</w:t>
                  </w:r>
                </w:p>
              </w:tc>
              <w:tc>
                <w:tcPr>
                  <w:tcW w:w="664" w:type="pct"/>
                  <w:shd w:val="clear" w:color="auto" w:fill="auto"/>
                  <w:vAlign w:val="center"/>
                </w:tcPr>
                <w:p>
                  <w:pPr>
                    <w:pStyle w:val="22"/>
                    <w:bidi w:val="0"/>
                    <w:rPr>
                      <w:rFonts w:hint="default"/>
                    </w:rPr>
                  </w:pPr>
                  <w:r>
                    <w:rPr>
                      <w:rFonts w:hint="default"/>
                      <w:lang w:val="en-US" w:eastAsia="zh-CN"/>
                    </w:rPr>
                    <w:t>0.4446</w:t>
                  </w:r>
                </w:p>
              </w:tc>
              <w:tc>
                <w:tcPr>
                  <w:tcW w:w="547" w:type="pct"/>
                  <w:shd w:val="clear" w:color="auto" w:fill="auto"/>
                  <w:vAlign w:val="center"/>
                </w:tcPr>
                <w:p>
                  <w:pPr>
                    <w:pStyle w:val="22"/>
                    <w:bidi w:val="0"/>
                    <w:rPr>
                      <w:rFonts w:hint="default"/>
                    </w:rPr>
                  </w:pPr>
                  <w:r>
                    <w:rPr>
                      <w:rFonts w:hint="default"/>
                      <w:lang w:val="en-US" w:eastAsia="zh-CN"/>
                    </w:rPr>
                    <w:t>20%</w:t>
                  </w:r>
                </w:p>
              </w:tc>
              <w:tc>
                <w:tcPr>
                  <w:tcW w:w="645" w:type="pct"/>
                  <w:shd w:val="clear" w:color="auto" w:fill="auto"/>
                  <w:vAlign w:val="center"/>
                </w:tcPr>
                <w:p>
                  <w:pPr>
                    <w:pStyle w:val="22"/>
                    <w:bidi w:val="0"/>
                    <w:rPr>
                      <w:rFonts w:hint="default"/>
                    </w:rPr>
                  </w:pPr>
                  <w:r>
                    <w:rPr>
                      <w:rFonts w:hint="default"/>
                      <w:lang w:val="en-US" w:eastAsia="zh-CN"/>
                    </w:rPr>
                    <w:t>260</w:t>
                  </w:r>
                </w:p>
              </w:tc>
              <w:tc>
                <w:tcPr>
                  <w:tcW w:w="547" w:type="pct"/>
                  <w:shd w:val="clear" w:color="auto" w:fill="auto"/>
                  <w:vAlign w:val="center"/>
                </w:tcPr>
                <w:p>
                  <w:pPr>
                    <w:pStyle w:val="22"/>
                    <w:bidi w:val="0"/>
                    <w:rPr>
                      <w:rFonts w:hint="default"/>
                    </w:rPr>
                  </w:pPr>
                  <w:r>
                    <w:rPr>
                      <w:rFonts w:hint="default"/>
                      <w:lang w:val="en-US" w:eastAsia="zh-CN"/>
                    </w:rPr>
                    <w:t xml:space="preserve">0.356 </w:t>
                  </w:r>
                </w:p>
              </w:tc>
              <w:tc>
                <w:tcPr>
                  <w:tcW w:w="436" w:type="pct"/>
                  <w:shd w:val="clear" w:color="auto" w:fill="auto"/>
                  <w:vAlign w:val="center"/>
                </w:tcPr>
                <w:p>
                  <w:pPr>
                    <w:pStyle w:val="22"/>
                    <w:bidi w:val="0"/>
                    <w:rPr>
                      <w:rFonts w:hint="default" w:eastAsia="宋体"/>
                      <w:lang w:val="en-US" w:eastAsia="zh-CN"/>
                    </w:rPr>
                  </w:pPr>
                  <w:r>
                    <w:rPr>
                      <w:rFonts w:hint="eastAsia"/>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top"/>
                </w:tcPr>
                <w:p>
                  <w:pPr>
                    <w:pStyle w:val="22"/>
                    <w:bidi w:val="0"/>
                    <w:rPr>
                      <w:rFonts w:hint="default"/>
                    </w:rPr>
                  </w:pPr>
                  <w:r>
                    <w:rPr>
                      <w:rFonts w:hint="default"/>
                      <w:lang w:val="en-US" w:eastAsia="zh-CN"/>
                    </w:rPr>
                    <w:t>NH3-N</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37.7</w:t>
                  </w:r>
                </w:p>
              </w:tc>
              <w:tc>
                <w:tcPr>
                  <w:tcW w:w="664" w:type="pct"/>
                  <w:shd w:val="clear" w:color="auto" w:fill="auto"/>
                  <w:vAlign w:val="center"/>
                </w:tcPr>
                <w:p>
                  <w:pPr>
                    <w:pStyle w:val="22"/>
                    <w:bidi w:val="0"/>
                    <w:rPr>
                      <w:rFonts w:hint="default"/>
                    </w:rPr>
                  </w:pPr>
                  <w:r>
                    <w:rPr>
                      <w:rFonts w:hint="default"/>
                      <w:lang w:val="en-US" w:eastAsia="zh-CN"/>
                    </w:rPr>
                    <w:t>0.05</w:t>
                  </w:r>
                  <w:r>
                    <w:rPr>
                      <w:rFonts w:hint="eastAsia"/>
                      <w:lang w:val="en-US" w:eastAsia="zh-CN"/>
                    </w:rPr>
                    <w:t>2</w:t>
                  </w:r>
                </w:p>
              </w:tc>
              <w:tc>
                <w:tcPr>
                  <w:tcW w:w="547" w:type="pct"/>
                  <w:shd w:val="clear" w:color="auto" w:fill="auto"/>
                  <w:vAlign w:val="center"/>
                </w:tcPr>
                <w:p>
                  <w:pPr>
                    <w:pStyle w:val="22"/>
                    <w:bidi w:val="0"/>
                    <w:rPr>
                      <w:rFonts w:hint="default"/>
                    </w:rPr>
                  </w:pPr>
                  <w:r>
                    <w:rPr>
                      <w:rFonts w:hint="default"/>
                      <w:lang w:val="en-US" w:eastAsia="zh-CN"/>
                    </w:rPr>
                    <w:t>21%</w:t>
                  </w:r>
                </w:p>
              </w:tc>
              <w:tc>
                <w:tcPr>
                  <w:tcW w:w="645" w:type="pct"/>
                  <w:shd w:val="clear" w:color="auto" w:fill="auto"/>
                  <w:vAlign w:val="center"/>
                </w:tcPr>
                <w:p>
                  <w:pPr>
                    <w:pStyle w:val="22"/>
                    <w:bidi w:val="0"/>
                    <w:rPr>
                      <w:rFonts w:hint="default"/>
                    </w:rPr>
                  </w:pPr>
                  <w:r>
                    <w:rPr>
                      <w:rFonts w:hint="default"/>
                      <w:lang w:val="en-US" w:eastAsia="zh-CN"/>
                    </w:rPr>
                    <w:t>29.783</w:t>
                  </w:r>
                </w:p>
              </w:tc>
              <w:tc>
                <w:tcPr>
                  <w:tcW w:w="547" w:type="pct"/>
                  <w:shd w:val="clear" w:color="auto" w:fill="auto"/>
                  <w:vAlign w:val="center"/>
                </w:tcPr>
                <w:p>
                  <w:pPr>
                    <w:pStyle w:val="22"/>
                    <w:bidi w:val="0"/>
                    <w:rPr>
                      <w:rFonts w:hint="default"/>
                    </w:rPr>
                  </w:pPr>
                  <w:r>
                    <w:rPr>
                      <w:rFonts w:hint="default"/>
                      <w:lang w:val="en-US" w:eastAsia="zh-CN"/>
                    </w:rPr>
                    <w:t xml:space="preserve">0.041 </w:t>
                  </w:r>
                </w:p>
              </w:tc>
              <w:tc>
                <w:tcPr>
                  <w:tcW w:w="436" w:type="pct"/>
                  <w:shd w:val="clear" w:color="auto" w:fill="auto"/>
                  <w:vAlign w:val="center"/>
                </w:tcPr>
                <w:p>
                  <w:pPr>
                    <w:pStyle w:val="22"/>
                    <w:bidi w:val="0"/>
                    <w:rPr>
                      <w:rFonts w:hint="default" w:eastAsia="宋体"/>
                      <w:lang w:val="en-US" w:eastAsia="zh-CN"/>
                    </w:rPr>
                  </w:pPr>
                  <w:r>
                    <w:rPr>
                      <w:rFonts w:hint="eastAsia"/>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top"/>
                </w:tcPr>
                <w:p>
                  <w:pPr>
                    <w:pStyle w:val="22"/>
                    <w:bidi w:val="0"/>
                    <w:rPr>
                      <w:rFonts w:hint="default"/>
                    </w:rPr>
                  </w:pPr>
                  <w:r>
                    <w:rPr>
                      <w:rFonts w:hint="default"/>
                      <w:lang w:val="en-US" w:eastAsia="zh-CN"/>
                    </w:rPr>
                    <w:t>TN</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49.8</w:t>
                  </w:r>
                </w:p>
              </w:tc>
              <w:tc>
                <w:tcPr>
                  <w:tcW w:w="664" w:type="pct"/>
                  <w:shd w:val="clear" w:color="auto" w:fill="auto"/>
                  <w:vAlign w:val="center"/>
                </w:tcPr>
                <w:p>
                  <w:pPr>
                    <w:pStyle w:val="22"/>
                    <w:bidi w:val="0"/>
                    <w:rPr>
                      <w:rFonts w:hint="default"/>
                    </w:rPr>
                  </w:pPr>
                  <w:r>
                    <w:rPr>
                      <w:rFonts w:hint="default"/>
                      <w:lang w:val="en-US" w:eastAsia="zh-CN"/>
                    </w:rPr>
                    <w:t>0.068</w:t>
                  </w:r>
                </w:p>
              </w:tc>
              <w:tc>
                <w:tcPr>
                  <w:tcW w:w="547" w:type="pct"/>
                  <w:shd w:val="clear" w:color="auto" w:fill="auto"/>
                  <w:vAlign w:val="center"/>
                </w:tcPr>
                <w:p>
                  <w:pPr>
                    <w:pStyle w:val="22"/>
                    <w:bidi w:val="0"/>
                    <w:rPr>
                      <w:rFonts w:hint="default"/>
                    </w:rPr>
                  </w:pPr>
                  <w:r>
                    <w:rPr>
                      <w:rFonts w:hint="default"/>
                      <w:lang w:val="en-US" w:eastAsia="zh-CN"/>
                    </w:rPr>
                    <w:t>3%</w:t>
                  </w:r>
                </w:p>
              </w:tc>
              <w:tc>
                <w:tcPr>
                  <w:tcW w:w="645" w:type="pct"/>
                  <w:shd w:val="clear" w:color="auto" w:fill="auto"/>
                  <w:vAlign w:val="center"/>
                </w:tcPr>
                <w:p>
                  <w:pPr>
                    <w:pStyle w:val="22"/>
                    <w:bidi w:val="0"/>
                    <w:rPr>
                      <w:rFonts w:hint="default"/>
                    </w:rPr>
                  </w:pPr>
                  <w:r>
                    <w:rPr>
                      <w:rFonts w:hint="default"/>
                      <w:lang w:val="en-US" w:eastAsia="zh-CN"/>
                    </w:rPr>
                    <w:t>48.306</w:t>
                  </w:r>
                </w:p>
              </w:tc>
              <w:tc>
                <w:tcPr>
                  <w:tcW w:w="547" w:type="pct"/>
                  <w:shd w:val="clear" w:color="auto" w:fill="auto"/>
                  <w:vAlign w:val="center"/>
                </w:tcPr>
                <w:p>
                  <w:pPr>
                    <w:pStyle w:val="22"/>
                    <w:bidi w:val="0"/>
                    <w:rPr>
                      <w:rFonts w:hint="default"/>
                    </w:rPr>
                  </w:pPr>
                  <w:r>
                    <w:rPr>
                      <w:rFonts w:hint="default"/>
                      <w:lang w:val="en-US" w:eastAsia="zh-CN"/>
                    </w:rPr>
                    <w:t xml:space="preserve">0.066 </w:t>
                  </w:r>
                </w:p>
              </w:tc>
              <w:tc>
                <w:tcPr>
                  <w:tcW w:w="436" w:type="pct"/>
                  <w:shd w:val="clear" w:color="auto" w:fill="auto"/>
                  <w:vAlign w:val="center"/>
                </w:tcPr>
                <w:p>
                  <w:pPr>
                    <w:pStyle w:val="22"/>
                    <w:bidi w:val="0"/>
                    <w:rPr>
                      <w:rFonts w:hint="default" w:eastAsia="宋体"/>
                      <w:lang w:val="en-US" w:eastAsia="zh-CN"/>
                    </w:rPr>
                  </w:pPr>
                  <w:r>
                    <w:rPr>
                      <w:rFonts w:hint="eastAsia"/>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top"/>
                </w:tcPr>
                <w:p>
                  <w:pPr>
                    <w:pStyle w:val="22"/>
                    <w:bidi w:val="0"/>
                    <w:rPr>
                      <w:rFonts w:hint="default"/>
                    </w:rPr>
                  </w:pPr>
                  <w:r>
                    <w:rPr>
                      <w:rFonts w:hint="default"/>
                      <w:lang w:val="en-US" w:eastAsia="zh-CN"/>
                    </w:rPr>
                    <w:t>TP</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4.28</w:t>
                  </w:r>
                </w:p>
              </w:tc>
              <w:tc>
                <w:tcPr>
                  <w:tcW w:w="664" w:type="pct"/>
                  <w:shd w:val="clear" w:color="auto" w:fill="auto"/>
                  <w:vAlign w:val="center"/>
                </w:tcPr>
                <w:p>
                  <w:pPr>
                    <w:pStyle w:val="22"/>
                    <w:bidi w:val="0"/>
                    <w:rPr>
                      <w:rFonts w:hint="default"/>
                    </w:rPr>
                  </w:pPr>
                  <w:r>
                    <w:rPr>
                      <w:rFonts w:hint="default"/>
                      <w:lang w:val="en-US" w:eastAsia="zh-CN"/>
                    </w:rPr>
                    <w:t>0.00</w:t>
                  </w:r>
                  <w:r>
                    <w:rPr>
                      <w:rFonts w:hint="eastAsia"/>
                      <w:lang w:val="en-US" w:eastAsia="zh-CN"/>
                    </w:rPr>
                    <w:t>6</w:t>
                  </w:r>
                </w:p>
              </w:tc>
              <w:tc>
                <w:tcPr>
                  <w:tcW w:w="547" w:type="pct"/>
                  <w:shd w:val="clear" w:color="auto" w:fill="auto"/>
                  <w:vAlign w:val="center"/>
                </w:tcPr>
                <w:p>
                  <w:pPr>
                    <w:pStyle w:val="22"/>
                    <w:bidi w:val="0"/>
                    <w:rPr>
                      <w:rFonts w:hint="default"/>
                    </w:rPr>
                  </w:pPr>
                  <w:r>
                    <w:rPr>
                      <w:rFonts w:hint="default"/>
                      <w:lang w:val="en-US" w:eastAsia="zh-CN"/>
                    </w:rPr>
                    <w:t>15%</w:t>
                  </w:r>
                </w:p>
              </w:tc>
              <w:tc>
                <w:tcPr>
                  <w:tcW w:w="645" w:type="pct"/>
                  <w:shd w:val="clear" w:color="auto" w:fill="auto"/>
                  <w:vAlign w:val="center"/>
                </w:tcPr>
                <w:p>
                  <w:pPr>
                    <w:pStyle w:val="22"/>
                    <w:bidi w:val="0"/>
                    <w:rPr>
                      <w:rFonts w:hint="default"/>
                    </w:rPr>
                  </w:pPr>
                  <w:r>
                    <w:rPr>
                      <w:rFonts w:hint="default"/>
                      <w:lang w:val="en-US" w:eastAsia="zh-CN"/>
                    </w:rPr>
                    <w:t>3.638</w:t>
                  </w:r>
                </w:p>
              </w:tc>
              <w:tc>
                <w:tcPr>
                  <w:tcW w:w="547" w:type="pct"/>
                  <w:shd w:val="clear" w:color="auto" w:fill="auto"/>
                  <w:vAlign w:val="center"/>
                </w:tcPr>
                <w:p>
                  <w:pPr>
                    <w:pStyle w:val="22"/>
                    <w:bidi w:val="0"/>
                    <w:rPr>
                      <w:rFonts w:hint="default"/>
                    </w:rPr>
                  </w:pPr>
                  <w:r>
                    <w:rPr>
                      <w:rFonts w:hint="default"/>
                      <w:lang w:val="en-US" w:eastAsia="zh-CN"/>
                    </w:rPr>
                    <w:t xml:space="preserve">0.005 </w:t>
                  </w:r>
                </w:p>
              </w:tc>
              <w:tc>
                <w:tcPr>
                  <w:tcW w:w="436" w:type="pct"/>
                  <w:shd w:val="clear" w:color="auto" w:fill="auto"/>
                  <w:vAlign w:val="center"/>
                </w:tcPr>
                <w:p>
                  <w:pPr>
                    <w:pStyle w:val="22"/>
                    <w:bidi w:val="0"/>
                    <w:rPr>
                      <w:rFonts w:hint="eastAsia" w:eastAsia="宋体"/>
                      <w:lang w:val="en-US" w:eastAsia="zh-CN"/>
                    </w:rPr>
                  </w:pPr>
                  <w:r>
                    <w:rPr>
                      <w:rFonts w:hint="eastAsia"/>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top"/>
                </w:tcPr>
                <w:p>
                  <w:pPr>
                    <w:pStyle w:val="22"/>
                    <w:bidi w:val="0"/>
                    <w:rPr>
                      <w:rFonts w:hint="default"/>
                    </w:rPr>
                  </w:pPr>
                  <w:r>
                    <w:rPr>
                      <w:rFonts w:hint="default"/>
                      <w:lang w:val="en-US" w:eastAsia="zh-CN"/>
                    </w:rPr>
                    <w:t>BOD5</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110</w:t>
                  </w:r>
                </w:p>
              </w:tc>
              <w:tc>
                <w:tcPr>
                  <w:tcW w:w="664" w:type="pct"/>
                  <w:shd w:val="clear" w:color="auto" w:fill="auto"/>
                  <w:vAlign w:val="center"/>
                </w:tcPr>
                <w:p>
                  <w:pPr>
                    <w:pStyle w:val="22"/>
                    <w:bidi w:val="0"/>
                    <w:rPr>
                      <w:rFonts w:hint="default"/>
                    </w:rPr>
                  </w:pPr>
                  <w:r>
                    <w:rPr>
                      <w:rFonts w:hint="default"/>
                      <w:lang w:val="en-US" w:eastAsia="zh-CN"/>
                    </w:rPr>
                    <w:t>0.15</w:t>
                  </w:r>
                </w:p>
              </w:tc>
              <w:tc>
                <w:tcPr>
                  <w:tcW w:w="547" w:type="pct"/>
                  <w:shd w:val="clear" w:color="auto" w:fill="auto"/>
                  <w:vAlign w:val="center"/>
                </w:tcPr>
                <w:p>
                  <w:pPr>
                    <w:pStyle w:val="22"/>
                    <w:bidi w:val="0"/>
                    <w:rPr>
                      <w:rFonts w:hint="default"/>
                    </w:rPr>
                  </w:pPr>
                  <w:r>
                    <w:rPr>
                      <w:rFonts w:hint="default"/>
                      <w:lang w:val="en-US" w:eastAsia="zh-CN"/>
                    </w:rPr>
                    <w:t>27%</w:t>
                  </w:r>
                </w:p>
              </w:tc>
              <w:tc>
                <w:tcPr>
                  <w:tcW w:w="645" w:type="pct"/>
                  <w:shd w:val="clear" w:color="auto" w:fill="auto"/>
                  <w:vAlign w:val="center"/>
                </w:tcPr>
                <w:p>
                  <w:pPr>
                    <w:pStyle w:val="22"/>
                    <w:bidi w:val="0"/>
                    <w:rPr>
                      <w:rFonts w:hint="default"/>
                    </w:rPr>
                  </w:pPr>
                  <w:r>
                    <w:rPr>
                      <w:rFonts w:hint="default"/>
                      <w:lang w:val="en-US" w:eastAsia="zh-CN"/>
                    </w:rPr>
                    <w:t>80.3</w:t>
                  </w:r>
                </w:p>
              </w:tc>
              <w:tc>
                <w:tcPr>
                  <w:tcW w:w="547" w:type="pct"/>
                  <w:shd w:val="clear" w:color="auto" w:fill="auto"/>
                  <w:vAlign w:val="center"/>
                </w:tcPr>
                <w:p>
                  <w:pPr>
                    <w:pStyle w:val="22"/>
                    <w:bidi w:val="0"/>
                    <w:rPr>
                      <w:rFonts w:hint="default"/>
                    </w:rPr>
                  </w:pPr>
                  <w:r>
                    <w:rPr>
                      <w:rFonts w:hint="default"/>
                      <w:lang w:val="en-US" w:eastAsia="zh-CN"/>
                    </w:rPr>
                    <w:t xml:space="preserve">0.110 </w:t>
                  </w:r>
                </w:p>
              </w:tc>
              <w:tc>
                <w:tcPr>
                  <w:tcW w:w="436" w:type="pct"/>
                  <w:shd w:val="clear" w:color="auto" w:fill="auto"/>
                  <w:vAlign w:val="center"/>
                </w:tcPr>
                <w:p>
                  <w:pPr>
                    <w:pStyle w:val="22"/>
                    <w:bidi w:val="0"/>
                    <w:rPr>
                      <w:rFonts w:hint="default" w:eastAsia="宋体"/>
                      <w:lang w:val="en-US" w:eastAsia="zh-CN"/>
                    </w:rPr>
                  </w:pPr>
                  <w:r>
                    <w:rPr>
                      <w:rFonts w:hint="eastAsia"/>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top"/>
                </w:tcPr>
                <w:p>
                  <w:pPr>
                    <w:pStyle w:val="22"/>
                    <w:bidi w:val="0"/>
                    <w:rPr>
                      <w:rFonts w:hint="default"/>
                    </w:rPr>
                  </w:pPr>
                  <w:r>
                    <w:rPr>
                      <w:rFonts w:hint="default"/>
                      <w:lang w:val="en-US" w:eastAsia="zh-CN"/>
                    </w:rPr>
                    <w:t>SS</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80</w:t>
                  </w:r>
                </w:p>
              </w:tc>
              <w:tc>
                <w:tcPr>
                  <w:tcW w:w="664" w:type="pct"/>
                  <w:shd w:val="clear" w:color="auto" w:fill="auto"/>
                  <w:vAlign w:val="center"/>
                </w:tcPr>
                <w:p>
                  <w:pPr>
                    <w:pStyle w:val="22"/>
                    <w:bidi w:val="0"/>
                    <w:rPr>
                      <w:rFonts w:hint="default"/>
                    </w:rPr>
                  </w:pPr>
                  <w:r>
                    <w:rPr>
                      <w:rFonts w:hint="default"/>
                      <w:lang w:val="en-US" w:eastAsia="zh-CN"/>
                    </w:rPr>
                    <w:t>0.1</w:t>
                  </w:r>
                  <w:r>
                    <w:rPr>
                      <w:rFonts w:hint="eastAsia"/>
                      <w:lang w:val="en-US" w:eastAsia="zh-CN"/>
                    </w:rPr>
                    <w:t>1</w:t>
                  </w:r>
                </w:p>
              </w:tc>
              <w:tc>
                <w:tcPr>
                  <w:tcW w:w="547" w:type="pct"/>
                  <w:shd w:val="clear" w:color="auto" w:fill="auto"/>
                  <w:vAlign w:val="center"/>
                </w:tcPr>
                <w:p>
                  <w:pPr>
                    <w:pStyle w:val="22"/>
                    <w:bidi w:val="0"/>
                    <w:rPr>
                      <w:rFonts w:hint="default"/>
                    </w:rPr>
                  </w:pPr>
                  <w:r>
                    <w:rPr>
                      <w:rFonts w:hint="default"/>
                      <w:lang w:val="en-US" w:eastAsia="zh-CN"/>
                    </w:rPr>
                    <w:t>30%</w:t>
                  </w:r>
                </w:p>
              </w:tc>
              <w:tc>
                <w:tcPr>
                  <w:tcW w:w="645" w:type="pct"/>
                  <w:shd w:val="clear" w:color="auto" w:fill="auto"/>
                  <w:vAlign w:val="center"/>
                </w:tcPr>
                <w:p>
                  <w:pPr>
                    <w:pStyle w:val="22"/>
                    <w:bidi w:val="0"/>
                    <w:rPr>
                      <w:rFonts w:hint="default"/>
                    </w:rPr>
                  </w:pPr>
                  <w:r>
                    <w:rPr>
                      <w:rFonts w:hint="default"/>
                      <w:lang w:val="en-US" w:eastAsia="zh-CN"/>
                    </w:rPr>
                    <w:t>56</w:t>
                  </w:r>
                </w:p>
              </w:tc>
              <w:tc>
                <w:tcPr>
                  <w:tcW w:w="547" w:type="pct"/>
                  <w:shd w:val="clear" w:color="auto" w:fill="auto"/>
                  <w:vAlign w:val="center"/>
                </w:tcPr>
                <w:p>
                  <w:pPr>
                    <w:pStyle w:val="22"/>
                    <w:bidi w:val="0"/>
                    <w:rPr>
                      <w:rFonts w:hint="default"/>
                    </w:rPr>
                  </w:pPr>
                  <w:r>
                    <w:rPr>
                      <w:rFonts w:hint="default"/>
                      <w:lang w:val="en-US" w:eastAsia="zh-CN"/>
                    </w:rPr>
                    <w:t xml:space="preserve">0.077 </w:t>
                  </w:r>
                </w:p>
              </w:tc>
              <w:tc>
                <w:tcPr>
                  <w:tcW w:w="436" w:type="pct"/>
                  <w:shd w:val="clear" w:color="auto" w:fill="auto"/>
                  <w:vAlign w:val="center"/>
                </w:tcPr>
                <w:p>
                  <w:pPr>
                    <w:pStyle w:val="22"/>
                    <w:bidi w:val="0"/>
                    <w:rPr>
                      <w:rFonts w:hint="default" w:eastAsia="宋体"/>
                      <w:lang w:val="en-US" w:eastAsia="zh-CN"/>
                    </w:rPr>
                  </w:pPr>
                  <w:r>
                    <w:rPr>
                      <w:rFonts w:hint="eastAsia"/>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restart"/>
                  <w:shd w:val="clear" w:color="auto" w:fill="auto"/>
                  <w:noWrap/>
                  <w:vAlign w:val="center"/>
                </w:tcPr>
                <w:p>
                  <w:pPr>
                    <w:pStyle w:val="22"/>
                    <w:bidi w:val="0"/>
                    <w:rPr>
                      <w:rFonts w:hint="default"/>
                      <w:lang w:val="en-US"/>
                    </w:rPr>
                  </w:pPr>
                  <w:r>
                    <w:rPr>
                      <w:rFonts w:hint="eastAsia"/>
                      <w:lang w:val="en-US" w:eastAsia="zh-CN"/>
                    </w:rPr>
                    <w:t>停车场废水总排口</w:t>
                  </w:r>
                </w:p>
              </w:tc>
              <w:tc>
                <w:tcPr>
                  <w:tcW w:w="593" w:type="pct"/>
                  <w:shd w:val="clear" w:color="auto" w:fill="auto"/>
                  <w:vAlign w:val="center"/>
                </w:tcPr>
                <w:p>
                  <w:pPr>
                    <w:pStyle w:val="22"/>
                    <w:bidi w:val="0"/>
                    <w:rPr>
                      <w:rFonts w:hint="default"/>
                    </w:rPr>
                  </w:pPr>
                  <w:r>
                    <w:rPr>
                      <w:rFonts w:hint="default"/>
                      <w:lang w:val="en-US" w:eastAsia="zh-CN"/>
                    </w:rPr>
                    <w:t>CODcr</w:t>
                  </w:r>
                </w:p>
              </w:tc>
              <w:tc>
                <w:tcPr>
                  <w:tcW w:w="515" w:type="pct"/>
                  <w:vMerge w:val="restart"/>
                  <w:shd w:val="clear" w:color="auto" w:fill="auto"/>
                  <w:noWrap/>
                  <w:vAlign w:val="center"/>
                </w:tcPr>
                <w:p>
                  <w:pPr>
                    <w:pStyle w:val="22"/>
                    <w:bidi w:val="0"/>
                    <w:rPr>
                      <w:rFonts w:hint="eastAsia"/>
                    </w:rPr>
                  </w:pPr>
                  <w:r>
                    <w:rPr>
                      <w:rFonts w:hint="eastAsia"/>
                      <w:lang w:val="en-US" w:eastAsia="zh-CN"/>
                    </w:rPr>
                    <w:t>4932</w:t>
                  </w:r>
                </w:p>
              </w:tc>
              <w:tc>
                <w:tcPr>
                  <w:tcW w:w="658" w:type="pct"/>
                  <w:shd w:val="clear" w:color="auto" w:fill="auto"/>
                  <w:noWrap/>
                  <w:vAlign w:val="center"/>
                </w:tcPr>
                <w:p>
                  <w:pPr>
                    <w:pStyle w:val="22"/>
                    <w:bidi w:val="0"/>
                    <w:rPr>
                      <w:rFonts w:hint="eastAsia"/>
                    </w:rPr>
                  </w:pPr>
                  <w:r>
                    <w:rPr>
                      <w:rFonts w:hint="eastAsia"/>
                      <w:lang w:val="en-US" w:eastAsia="zh-CN"/>
                    </w:rPr>
                    <w:t>451.46</w:t>
                  </w:r>
                </w:p>
              </w:tc>
              <w:tc>
                <w:tcPr>
                  <w:tcW w:w="664" w:type="pct"/>
                  <w:shd w:val="clear" w:color="auto" w:fill="auto"/>
                  <w:vAlign w:val="center"/>
                </w:tcPr>
                <w:p>
                  <w:pPr>
                    <w:pStyle w:val="22"/>
                    <w:bidi w:val="0"/>
                    <w:rPr>
                      <w:rFonts w:hint="default"/>
                    </w:rPr>
                  </w:pPr>
                  <w:r>
                    <w:rPr>
                      <w:rFonts w:hint="default"/>
                      <w:lang w:val="en-US" w:eastAsia="zh-CN"/>
                    </w:rPr>
                    <w:t>2.2</w:t>
                  </w:r>
                  <w:r>
                    <w:rPr>
                      <w:rFonts w:hint="eastAsia"/>
                      <w:lang w:val="en-US" w:eastAsia="zh-CN"/>
                    </w:rPr>
                    <w:t>3</w:t>
                  </w:r>
                </w:p>
              </w:tc>
              <w:tc>
                <w:tcPr>
                  <w:tcW w:w="547" w:type="pct"/>
                  <w:shd w:val="clear" w:color="auto" w:fill="auto"/>
                  <w:vAlign w:val="center"/>
                </w:tcPr>
                <w:p>
                  <w:pPr>
                    <w:pStyle w:val="22"/>
                    <w:bidi w:val="0"/>
                    <w:rPr>
                      <w:rFonts w:hint="eastAsia" w:eastAsia="宋体"/>
                      <w:lang w:val="en-US" w:eastAsia="zh-CN"/>
                    </w:rPr>
                  </w:pPr>
                  <w:r>
                    <w:rPr>
                      <w:rFonts w:hint="eastAsia"/>
                      <w:lang w:val="en-US" w:eastAsia="zh-CN"/>
                    </w:rPr>
                    <w:t>/</w:t>
                  </w:r>
                </w:p>
              </w:tc>
              <w:tc>
                <w:tcPr>
                  <w:tcW w:w="645" w:type="pct"/>
                  <w:shd w:val="clear" w:color="auto" w:fill="auto"/>
                  <w:vAlign w:val="center"/>
                </w:tcPr>
                <w:p>
                  <w:pPr>
                    <w:pStyle w:val="22"/>
                    <w:bidi w:val="0"/>
                    <w:rPr>
                      <w:rFonts w:hint="default"/>
                    </w:rPr>
                  </w:pPr>
                  <w:r>
                    <w:rPr>
                      <w:rFonts w:hint="default"/>
                      <w:lang w:val="en-US" w:eastAsia="zh-CN"/>
                    </w:rPr>
                    <w:t xml:space="preserve">108.25 </w:t>
                  </w:r>
                </w:p>
              </w:tc>
              <w:tc>
                <w:tcPr>
                  <w:tcW w:w="547" w:type="pct"/>
                  <w:shd w:val="clear" w:color="auto" w:fill="auto"/>
                  <w:vAlign w:val="center"/>
                </w:tcPr>
                <w:p>
                  <w:pPr>
                    <w:pStyle w:val="22"/>
                    <w:bidi w:val="0"/>
                    <w:rPr>
                      <w:rFonts w:hint="default"/>
                    </w:rPr>
                  </w:pPr>
                  <w:r>
                    <w:rPr>
                      <w:rFonts w:hint="default"/>
                      <w:lang w:val="en-US" w:eastAsia="zh-CN"/>
                    </w:rPr>
                    <w:t xml:space="preserve">0.534 </w:t>
                  </w:r>
                </w:p>
              </w:tc>
              <w:tc>
                <w:tcPr>
                  <w:tcW w:w="436" w:type="pct"/>
                  <w:shd w:val="clear" w:color="auto" w:fill="auto"/>
                  <w:vAlign w:val="center"/>
                </w:tcPr>
                <w:p>
                  <w:pPr>
                    <w:pStyle w:val="22"/>
                    <w:bidi w:val="0"/>
                    <w:rPr>
                      <w:rFonts w:hint="default"/>
                    </w:rPr>
                  </w:pPr>
                  <w:r>
                    <w:rPr>
                      <w:rFonts w:hint="default"/>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default"/>
                    </w:rPr>
                  </w:pPr>
                  <w:r>
                    <w:rPr>
                      <w:rFonts w:hint="default"/>
                      <w:lang w:val="en-US" w:eastAsia="zh-CN"/>
                    </w:rPr>
                    <w:t>BOD</w:t>
                  </w:r>
                  <w:r>
                    <w:rPr>
                      <w:lang w:val="en-US" w:eastAsia="zh-CN"/>
                    </w:rPr>
                    <w:t>5</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247.3</w:t>
                  </w:r>
                </w:p>
              </w:tc>
              <w:tc>
                <w:tcPr>
                  <w:tcW w:w="664" w:type="pct"/>
                  <w:shd w:val="clear" w:color="auto" w:fill="auto"/>
                  <w:vAlign w:val="center"/>
                </w:tcPr>
                <w:p>
                  <w:pPr>
                    <w:pStyle w:val="22"/>
                    <w:bidi w:val="0"/>
                    <w:rPr>
                      <w:rFonts w:hint="default"/>
                    </w:rPr>
                  </w:pPr>
                  <w:r>
                    <w:rPr>
                      <w:rFonts w:hint="default"/>
                      <w:lang w:val="en-US" w:eastAsia="zh-CN"/>
                    </w:rPr>
                    <w:t>1.2</w:t>
                  </w:r>
                  <w:r>
                    <w:rPr>
                      <w:rFonts w:hint="eastAsia"/>
                      <w:lang w:val="en-US" w:eastAsia="zh-CN"/>
                    </w:rPr>
                    <w:t>2</w:t>
                  </w:r>
                </w:p>
              </w:tc>
              <w:tc>
                <w:tcPr>
                  <w:tcW w:w="547" w:type="pct"/>
                  <w:shd w:val="clear" w:color="auto" w:fill="auto"/>
                  <w:vAlign w:val="center"/>
                </w:tcPr>
                <w:p>
                  <w:pPr>
                    <w:pStyle w:val="22"/>
                    <w:bidi w:val="0"/>
                    <w:rPr>
                      <w:rFonts w:hint="default"/>
                    </w:rPr>
                  </w:pPr>
                  <w:r>
                    <w:rPr>
                      <w:rFonts w:hint="eastAsia"/>
                      <w:lang w:val="en-US" w:eastAsia="zh-CN"/>
                    </w:rPr>
                    <w:t>/</w:t>
                  </w:r>
                </w:p>
              </w:tc>
              <w:tc>
                <w:tcPr>
                  <w:tcW w:w="645" w:type="pct"/>
                  <w:shd w:val="clear" w:color="auto" w:fill="auto"/>
                  <w:vAlign w:val="center"/>
                </w:tcPr>
                <w:p>
                  <w:pPr>
                    <w:pStyle w:val="22"/>
                    <w:bidi w:val="0"/>
                    <w:rPr>
                      <w:rFonts w:hint="default"/>
                    </w:rPr>
                  </w:pPr>
                  <w:r>
                    <w:rPr>
                      <w:rFonts w:hint="default"/>
                      <w:lang w:val="en-US" w:eastAsia="zh-CN"/>
                    </w:rPr>
                    <w:t xml:space="preserve">43.95 </w:t>
                  </w:r>
                </w:p>
              </w:tc>
              <w:tc>
                <w:tcPr>
                  <w:tcW w:w="547" w:type="pct"/>
                  <w:shd w:val="clear" w:color="auto" w:fill="auto"/>
                  <w:vAlign w:val="center"/>
                </w:tcPr>
                <w:p>
                  <w:pPr>
                    <w:pStyle w:val="22"/>
                    <w:bidi w:val="0"/>
                    <w:rPr>
                      <w:rFonts w:hint="default"/>
                    </w:rPr>
                  </w:pPr>
                  <w:r>
                    <w:rPr>
                      <w:rFonts w:hint="default"/>
                      <w:lang w:val="en-US" w:eastAsia="zh-CN"/>
                    </w:rPr>
                    <w:t xml:space="preserve">0.217 </w:t>
                  </w:r>
                </w:p>
              </w:tc>
              <w:tc>
                <w:tcPr>
                  <w:tcW w:w="436" w:type="pct"/>
                  <w:shd w:val="clear" w:color="auto" w:fill="auto"/>
                  <w:vAlign w:val="center"/>
                </w:tcPr>
                <w:p>
                  <w:pPr>
                    <w:pStyle w:val="22"/>
                    <w:bidi w:val="0"/>
                    <w:rPr>
                      <w:rFonts w:hint="default"/>
                    </w:rPr>
                  </w:pPr>
                  <w:r>
                    <w:rPr>
                      <w:rFonts w:hint="default"/>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default"/>
                    </w:rPr>
                  </w:pPr>
                  <w:r>
                    <w:rPr>
                      <w:rFonts w:hint="default"/>
                      <w:lang w:val="en-US" w:eastAsia="zh-CN"/>
                    </w:rPr>
                    <w:t>SS</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190.8</w:t>
                  </w:r>
                </w:p>
              </w:tc>
              <w:tc>
                <w:tcPr>
                  <w:tcW w:w="664" w:type="pct"/>
                  <w:shd w:val="clear" w:color="auto" w:fill="auto"/>
                  <w:vAlign w:val="center"/>
                </w:tcPr>
                <w:p>
                  <w:pPr>
                    <w:pStyle w:val="22"/>
                    <w:bidi w:val="0"/>
                    <w:rPr>
                      <w:rFonts w:hint="default"/>
                    </w:rPr>
                  </w:pPr>
                  <w:r>
                    <w:rPr>
                      <w:rFonts w:hint="default"/>
                      <w:lang w:val="en-US" w:eastAsia="zh-CN"/>
                    </w:rPr>
                    <w:t>0.94</w:t>
                  </w:r>
                </w:p>
              </w:tc>
              <w:tc>
                <w:tcPr>
                  <w:tcW w:w="547" w:type="pct"/>
                  <w:shd w:val="clear" w:color="auto" w:fill="auto"/>
                  <w:vAlign w:val="center"/>
                </w:tcPr>
                <w:p>
                  <w:pPr>
                    <w:pStyle w:val="22"/>
                    <w:bidi w:val="0"/>
                    <w:rPr>
                      <w:rFonts w:hint="default"/>
                    </w:rPr>
                  </w:pPr>
                  <w:r>
                    <w:rPr>
                      <w:rFonts w:hint="eastAsia"/>
                      <w:lang w:val="en-US" w:eastAsia="zh-CN"/>
                    </w:rPr>
                    <w:t>/</w:t>
                  </w:r>
                </w:p>
              </w:tc>
              <w:tc>
                <w:tcPr>
                  <w:tcW w:w="645" w:type="pct"/>
                  <w:shd w:val="clear" w:color="auto" w:fill="auto"/>
                  <w:vAlign w:val="center"/>
                </w:tcPr>
                <w:p>
                  <w:pPr>
                    <w:pStyle w:val="22"/>
                    <w:bidi w:val="0"/>
                    <w:rPr>
                      <w:rFonts w:hint="default"/>
                    </w:rPr>
                  </w:pPr>
                  <w:r>
                    <w:rPr>
                      <w:rFonts w:hint="default"/>
                      <w:lang w:val="en-US" w:eastAsia="zh-CN"/>
                    </w:rPr>
                    <w:t xml:space="preserve">32.39 </w:t>
                  </w:r>
                </w:p>
              </w:tc>
              <w:tc>
                <w:tcPr>
                  <w:tcW w:w="547" w:type="pct"/>
                  <w:shd w:val="clear" w:color="auto" w:fill="auto"/>
                  <w:vAlign w:val="center"/>
                </w:tcPr>
                <w:p>
                  <w:pPr>
                    <w:pStyle w:val="22"/>
                    <w:bidi w:val="0"/>
                    <w:rPr>
                      <w:rFonts w:hint="default"/>
                    </w:rPr>
                  </w:pPr>
                  <w:r>
                    <w:rPr>
                      <w:rFonts w:hint="default"/>
                      <w:lang w:val="en-US" w:eastAsia="zh-CN"/>
                    </w:rPr>
                    <w:t xml:space="preserve">0.160 </w:t>
                  </w:r>
                </w:p>
              </w:tc>
              <w:tc>
                <w:tcPr>
                  <w:tcW w:w="436" w:type="pct"/>
                  <w:shd w:val="clear" w:color="auto" w:fill="auto"/>
                  <w:vAlign w:val="center"/>
                </w:tcPr>
                <w:p>
                  <w:pPr>
                    <w:pStyle w:val="22"/>
                    <w:bidi w:val="0"/>
                    <w:rPr>
                      <w:rFonts w:hint="default"/>
                    </w:rPr>
                  </w:pPr>
                  <w:r>
                    <w:rPr>
                      <w:rFonts w:hint="default"/>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eastAsia"/>
                    </w:rPr>
                  </w:pPr>
                  <w:r>
                    <w:rPr>
                      <w:rFonts w:hint="eastAsia"/>
                      <w:lang w:val="en-US" w:eastAsia="zh-CN"/>
                    </w:rPr>
                    <w:t>氨氮</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46.59</w:t>
                  </w:r>
                </w:p>
              </w:tc>
              <w:tc>
                <w:tcPr>
                  <w:tcW w:w="664" w:type="pct"/>
                  <w:shd w:val="clear" w:color="auto" w:fill="auto"/>
                  <w:vAlign w:val="center"/>
                </w:tcPr>
                <w:p>
                  <w:pPr>
                    <w:pStyle w:val="22"/>
                    <w:bidi w:val="0"/>
                    <w:rPr>
                      <w:rFonts w:hint="default"/>
                    </w:rPr>
                  </w:pPr>
                  <w:r>
                    <w:rPr>
                      <w:rFonts w:hint="default"/>
                      <w:lang w:val="en-US" w:eastAsia="zh-CN"/>
                    </w:rPr>
                    <w:t>0.2</w:t>
                  </w:r>
                  <w:r>
                    <w:rPr>
                      <w:rFonts w:hint="eastAsia"/>
                      <w:lang w:val="en-US" w:eastAsia="zh-CN"/>
                    </w:rPr>
                    <w:t>3</w:t>
                  </w:r>
                </w:p>
              </w:tc>
              <w:tc>
                <w:tcPr>
                  <w:tcW w:w="547" w:type="pct"/>
                  <w:shd w:val="clear" w:color="auto" w:fill="auto"/>
                  <w:vAlign w:val="center"/>
                </w:tcPr>
                <w:p>
                  <w:pPr>
                    <w:pStyle w:val="22"/>
                    <w:bidi w:val="0"/>
                    <w:rPr>
                      <w:rFonts w:hint="default"/>
                    </w:rPr>
                  </w:pPr>
                  <w:r>
                    <w:rPr>
                      <w:rFonts w:hint="eastAsia"/>
                      <w:lang w:val="en-US" w:eastAsia="zh-CN"/>
                    </w:rPr>
                    <w:t>/</w:t>
                  </w:r>
                </w:p>
              </w:tc>
              <w:tc>
                <w:tcPr>
                  <w:tcW w:w="645" w:type="pct"/>
                  <w:shd w:val="clear" w:color="auto" w:fill="auto"/>
                  <w:vAlign w:val="center"/>
                </w:tcPr>
                <w:p>
                  <w:pPr>
                    <w:pStyle w:val="22"/>
                    <w:bidi w:val="0"/>
                    <w:rPr>
                      <w:rFonts w:hint="default"/>
                    </w:rPr>
                  </w:pPr>
                  <w:r>
                    <w:rPr>
                      <w:rFonts w:hint="default"/>
                      <w:lang w:val="en-US" w:eastAsia="zh-CN"/>
                    </w:rPr>
                    <w:t xml:space="preserve">19.10 </w:t>
                  </w:r>
                </w:p>
              </w:tc>
              <w:tc>
                <w:tcPr>
                  <w:tcW w:w="547" w:type="pct"/>
                  <w:shd w:val="clear" w:color="auto" w:fill="auto"/>
                  <w:vAlign w:val="center"/>
                </w:tcPr>
                <w:p>
                  <w:pPr>
                    <w:pStyle w:val="22"/>
                    <w:bidi w:val="0"/>
                    <w:rPr>
                      <w:rFonts w:hint="default"/>
                    </w:rPr>
                  </w:pPr>
                  <w:r>
                    <w:rPr>
                      <w:rFonts w:hint="default"/>
                      <w:lang w:val="en-US" w:eastAsia="zh-CN"/>
                    </w:rPr>
                    <w:t xml:space="preserve">0.094 </w:t>
                  </w:r>
                </w:p>
              </w:tc>
              <w:tc>
                <w:tcPr>
                  <w:tcW w:w="436" w:type="pct"/>
                  <w:shd w:val="clear" w:color="auto" w:fill="auto"/>
                  <w:vAlign w:val="center"/>
                </w:tcPr>
                <w:p>
                  <w:pPr>
                    <w:pStyle w:val="22"/>
                    <w:bidi w:val="0"/>
                    <w:rPr>
                      <w:rFonts w:hint="default"/>
                    </w:rPr>
                  </w:pPr>
                  <w:r>
                    <w:rPr>
                      <w:rFonts w:hint="default"/>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eastAsia"/>
                    </w:rPr>
                  </w:pPr>
                  <w:r>
                    <w:rPr>
                      <w:rFonts w:hint="eastAsia"/>
                      <w:lang w:val="en-US" w:eastAsia="zh-CN"/>
                    </w:rPr>
                    <w:t>石油类</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204.09</w:t>
                  </w:r>
                </w:p>
              </w:tc>
              <w:tc>
                <w:tcPr>
                  <w:tcW w:w="664" w:type="pct"/>
                  <w:shd w:val="clear" w:color="auto" w:fill="auto"/>
                  <w:vAlign w:val="center"/>
                </w:tcPr>
                <w:p>
                  <w:pPr>
                    <w:pStyle w:val="22"/>
                    <w:bidi w:val="0"/>
                    <w:rPr>
                      <w:rFonts w:hint="default"/>
                    </w:rPr>
                  </w:pPr>
                  <w:r>
                    <w:rPr>
                      <w:rFonts w:hint="default"/>
                      <w:lang w:val="en-US" w:eastAsia="zh-CN"/>
                    </w:rPr>
                    <w:t>1</w:t>
                  </w:r>
                </w:p>
              </w:tc>
              <w:tc>
                <w:tcPr>
                  <w:tcW w:w="547" w:type="pct"/>
                  <w:shd w:val="clear" w:color="auto" w:fill="auto"/>
                  <w:vAlign w:val="center"/>
                </w:tcPr>
                <w:p>
                  <w:pPr>
                    <w:pStyle w:val="22"/>
                    <w:bidi w:val="0"/>
                    <w:rPr>
                      <w:rFonts w:hint="default"/>
                    </w:rPr>
                  </w:pPr>
                  <w:r>
                    <w:rPr>
                      <w:rFonts w:hint="eastAsia"/>
                      <w:lang w:val="en-US" w:eastAsia="zh-CN"/>
                    </w:rPr>
                    <w:t>/</w:t>
                  </w:r>
                </w:p>
              </w:tc>
              <w:tc>
                <w:tcPr>
                  <w:tcW w:w="645" w:type="pct"/>
                  <w:shd w:val="clear" w:color="auto" w:fill="auto"/>
                  <w:vAlign w:val="center"/>
                </w:tcPr>
                <w:p>
                  <w:pPr>
                    <w:pStyle w:val="22"/>
                    <w:bidi w:val="0"/>
                    <w:rPr>
                      <w:rFonts w:hint="default"/>
                    </w:rPr>
                  </w:pPr>
                  <w:r>
                    <w:rPr>
                      <w:rFonts w:hint="default"/>
                      <w:lang w:val="en-US" w:eastAsia="zh-CN"/>
                    </w:rPr>
                    <w:t xml:space="preserve">65.31 </w:t>
                  </w:r>
                </w:p>
              </w:tc>
              <w:tc>
                <w:tcPr>
                  <w:tcW w:w="547" w:type="pct"/>
                  <w:shd w:val="clear" w:color="auto" w:fill="auto"/>
                  <w:vAlign w:val="center"/>
                </w:tcPr>
                <w:p>
                  <w:pPr>
                    <w:pStyle w:val="22"/>
                    <w:bidi w:val="0"/>
                    <w:rPr>
                      <w:rFonts w:hint="default"/>
                    </w:rPr>
                  </w:pPr>
                  <w:r>
                    <w:rPr>
                      <w:rFonts w:hint="default"/>
                      <w:lang w:val="en-US" w:eastAsia="zh-CN"/>
                    </w:rPr>
                    <w:t xml:space="preserve">0.322 </w:t>
                  </w:r>
                </w:p>
              </w:tc>
              <w:tc>
                <w:tcPr>
                  <w:tcW w:w="436" w:type="pct"/>
                  <w:shd w:val="clear" w:color="auto" w:fill="auto"/>
                  <w:vAlign w:val="center"/>
                </w:tcPr>
                <w:p>
                  <w:pPr>
                    <w:pStyle w:val="22"/>
                    <w:bidi w:val="0"/>
                    <w:rPr>
                      <w:rFonts w:hint="default"/>
                    </w:rPr>
                  </w:pPr>
                  <w:r>
                    <w:rPr>
                      <w:rFonts w:hint="default"/>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vAlign w:val="center"/>
                </w:tcPr>
                <w:p>
                  <w:pPr>
                    <w:pStyle w:val="22"/>
                    <w:bidi w:val="0"/>
                    <w:rPr>
                      <w:rFonts w:hint="eastAsia"/>
                    </w:rPr>
                  </w:pPr>
                  <w:r>
                    <w:rPr>
                      <w:rFonts w:hint="eastAsia"/>
                      <w:lang w:val="en-US" w:eastAsia="zh-CN"/>
                    </w:rPr>
                    <w:t>全盐量</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437.96</w:t>
                  </w:r>
                </w:p>
              </w:tc>
              <w:tc>
                <w:tcPr>
                  <w:tcW w:w="664" w:type="pct"/>
                  <w:shd w:val="clear" w:color="auto" w:fill="auto"/>
                  <w:vAlign w:val="center"/>
                </w:tcPr>
                <w:p>
                  <w:pPr>
                    <w:pStyle w:val="22"/>
                    <w:bidi w:val="0"/>
                    <w:rPr>
                      <w:rFonts w:hint="default"/>
                    </w:rPr>
                  </w:pPr>
                  <w:r>
                    <w:rPr>
                      <w:rFonts w:hint="default"/>
                      <w:lang w:val="en-US" w:eastAsia="zh-CN"/>
                    </w:rPr>
                    <w:t>2.16</w:t>
                  </w:r>
                </w:p>
              </w:tc>
              <w:tc>
                <w:tcPr>
                  <w:tcW w:w="547" w:type="pct"/>
                  <w:shd w:val="clear" w:color="auto" w:fill="auto"/>
                  <w:noWrap/>
                  <w:vAlign w:val="center"/>
                </w:tcPr>
                <w:p>
                  <w:pPr>
                    <w:pStyle w:val="22"/>
                    <w:bidi w:val="0"/>
                    <w:rPr>
                      <w:rFonts w:hint="eastAsia"/>
                    </w:rPr>
                  </w:pPr>
                  <w:r>
                    <w:rPr>
                      <w:rFonts w:hint="eastAsia"/>
                      <w:lang w:val="en-US" w:eastAsia="zh-CN"/>
                    </w:rPr>
                    <w:t>/</w:t>
                  </w:r>
                </w:p>
              </w:tc>
              <w:tc>
                <w:tcPr>
                  <w:tcW w:w="645" w:type="pct"/>
                  <w:shd w:val="clear" w:color="auto" w:fill="auto"/>
                  <w:vAlign w:val="center"/>
                </w:tcPr>
                <w:p>
                  <w:pPr>
                    <w:pStyle w:val="22"/>
                    <w:bidi w:val="0"/>
                    <w:rPr>
                      <w:rFonts w:hint="default"/>
                    </w:rPr>
                  </w:pPr>
                  <w:r>
                    <w:rPr>
                      <w:rFonts w:hint="default"/>
                      <w:lang w:val="en-US" w:eastAsia="zh-CN"/>
                    </w:rPr>
                    <w:t xml:space="preserve">218.98 </w:t>
                  </w:r>
                </w:p>
              </w:tc>
              <w:tc>
                <w:tcPr>
                  <w:tcW w:w="547" w:type="pct"/>
                  <w:shd w:val="clear" w:color="auto" w:fill="auto"/>
                  <w:vAlign w:val="center"/>
                </w:tcPr>
                <w:p>
                  <w:pPr>
                    <w:pStyle w:val="22"/>
                    <w:bidi w:val="0"/>
                    <w:rPr>
                      <w:rFonts w:hint="default"/>
                    </w:rPr>
                  </w:pPr>
                  <w:r>
                    <w:rPr>
                      <w:rFonts w:hint="default"/>
                      <w:lang w:val="en-US" w:eastAsia="zh-CN"/>
                    </w:rPr>
                    <w:t xml:space="preserve">1.080 </w:t>
                  </w:r>
                </w:p>
              </w:tc>
              <w:tc>
                <w:tcPr>
                  <w:tcW w:w="436" w:type="pct"/>
                  <w:shd w:val="clear" w:color="auto" w:fill="auto"/>
                  <w:noWrap/>
                  <w:vAlign w:val="center"/>
                </w:tcPr>
                <w:p>
                  <w:pPr>
                    <w:pStyle w:val="22"/>
                    <w:bidi w:val="0"/>
                    <w:rPr>
                      <w:rFonts w:hint="eastAsia"/>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noWrap/>
                  <w:vAlign w:val="center"/>
                </w:tcPr>
                <w:p>
                  <w:pPr>
                    <w:pStyle w:val="22"/>
                    <w:bidi w:val="0"/>
                    <w:rPr>
                      <w:rFonts w:hint="eastAsia"/>
                    </w:rPr>
                  </w:pPr>
                  <w:r>
                    <w:rPr>
                      <w:rFonts w:hint="eastAsia"/>
                      <w:lang w:val="en-US" w:eastAsia="zh-CN"/>
                    </w:rPr>
                    <w:t>TN</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13.81</w:t>
                  </w:r>
                </w:p>
              </w:tc>
              <w:tc>
                <w:tcPr>
                  <w:tcW w:w="664" w:type="pct"/>
                  <w:shd w:val="clear" w:color="auto" w:fill="auto"/>
                  <w:noWrap/>
                  <w:vAlign w:val="center"/>
                </w:tcPr>
                <w:p>
                  <w:pPr>
                    <w:pStyle w:val="22"/>
                    <w:bidi w:val="0"/>
                    <w:rPr>
                      <w:rFonts w:hint="eastAsia"/>
                    </w:rPr>
                  </w:pPr>
                  <w:r>
                    <w:rPr>
                      <w:rFonts w:hint="eastAsia"/>
                      <w:lang w:val="en-US" w:eastAsia="zh-CN"/>
                    </w:rPr>
                    <w:t>0.068</w:t>
                  </w:r>
                </w:p>
              </w:tc>
              <w:tc>
                <w:tcPr>
                  <w:tcW w:w="547" w:type="pct"/>
                  <w:shd w:val="clear" w:color="auto" w:fill="auto"/>
                  <w:noWrap/>
                  <w:vAlign w:val="center"/>
                </w:tcPr>
                <w:p>
                  <w:pPr>
                    <w:pStyle w:val="22"/>
                    <w:bidi w:val="0"/>
                    <w:rPr>
                      <w:rFonts w:hint="eastAsia"/>
                    </w:rPr>
                  </w:pPr>
                  <w:r>
                    <w:rPr>
                      <w:rFonts w:hint="eastAsia"/>
                      <w:lang w:val="en-US" w:eastAsia="zh-CN"/>
                    </w:rPr>
                    <w:t>/</w:t>
                  </w:r>
                </w:p>
              </w:tc>
              <w:tc>
                <w:tcPr>
                  <w:tcW w:w="645" w:type="pct"/>
                  <w:shd w:val="clear" w:color="auto" w:fill="auto"/>
                  <w:noWrap/>
                  <w:vAlign w:val="center"/>
                </w:tcPr>
                <w:p>
                  <w:pPr>
                    <w:pStyle w:val="22"/>
                    <w:bidi w:val="0"/>
                    <w:rPr>
                      <w:rFonts w:hint="eastAsia"/>
                    </w:rPr>
                  </w:pPr>
                  <w:r>
                    <w:rPr>
                      <w:rFonts w:hint="eastAsia"/>
                      <w:lang w:val="en-US" w:eastAsia="zh-CN"/>
                    </w:rPr>
                    <w:t xml:space="preserve">13.40 </w:t>
                  </w:r>
                </w:p>
              </w:tc>
              <w:tc>
                <w:tcPr>
                  <w:tcW w:w="547" w:type="pct"/>
                  <w:shd w:val="clear" w:color="auto" w:fill="auto"/>
                  <w:noWrap/>
                  <w:vAlign w:val="center"/>
                </w:tcPr>
                <w:p>
                  <w:pPr>
                    <w:pStyle w:val="22"/>
                    <w:bidi w:val="0"/>
                    <w:rPr>
                      <w:rFonts w:hint="eastAsia"/>
                    </w:rPr>
                  </w:pPr>
                  <w:r>
                    <w:rPr>
                      <w:rFonts w:hint="eastAsia"/>
                      <w:lang w:val="en-US" w:eastAsia="zh-CN"/>
                    </w:rPr>
                    <w:t xml:space="preserve">0.066 </w:t>
                  </w:r>
                </w:p>
              </w:tc>
              <w:tc>
                <w:tcPr>
                  <w:tcW w:w="436" w:type="pct"/>
                  <w:shd w:val="clear" w:color="auto" w:fill="auto"/>
                  <w:noWrap/>
                  <w:vAlign w:val="center"/>
                </w:tcPr>
                <w:p>
                  <w:pPr>
                    <w:pStyle w:val="22"/>
                    <w:bidi w:val="0"/>
                    <w:rPr>
                      <w:rFonts w:hint="default" w:eastAsia="宋体"/>
                      <w:lang w:val="en-US" w:eastAsia="zh-CN"/>
                    </w:rPr>
                  </w:pPr>
                  <w:r>
                    <w:rPr>
                      <w:rFonts w:hint="eastAsia"/>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391" w:type="pct"/>
                  <w:vMerge w:val="continue"/>
                  <w:shd w:val="clear" w:color="auto" w:fill="auto"/>
                  <w:noWrap/>
                  <w:vAlign w:val="center"/>
                </w:tcPr>
                <w:p>
                  <w:pPr>
                    <w:pStyle w:val="22"/>
                    <w:bidi w:val="0"/>
                    <w:rPr>
                      <w:rFonts w:hint="eastAsia"/>
                    </w:rPr>
                  </w:pPr>
                </w:p>
              </w:tc>
              <w:tc>
                <w:tcPr>
                  <w:tcW w:w="593" w:type="pct"/>
                  <w:shd w:val="clear" w:color="auto" w:fill="auto"/>
                  <w:noWrap/>
                  <w:vAlign w:val="center"/>
                </w:tcPr>
                <w:p>
                  <w:pPr>
                    <w:pStyle w:val="22"/>
                    <w:bidi w:val="0"/>
                    <w:rPr>
                      <w:rFonts w:hint="eastAsia"/>
                    </w:rPr>
                  </w:pPr>
                  <w:r>
                    <w:rPr>
                      <w:rFonts w:hint="eastAsia"/>
                      <w:lang w:val="en-US" w:eastAsia="zh-CN"/>
                    </w:rPr>
                    <w:t>TP</w:t>
                  </w:r>
                </w:p>
              </w:tc>
              <w:tc>
                <w:tcPr>
                  <w:tcW w:w="515" w:type="pct"/>
                  <w:vMerge w:val="continue"/>
                  <w:shd w:val="clear" w:color="auto" w:fill="auto"/>
                  <w:noWrap/>
                  <w:vAlign w:val="center"/>
                </w:tcPr>
                <w:p>
                  <w:pPr>
                    <w:pStyle w:val="22"/>
                    <w:bidi w:val="0"/>
                    <w:rPr>
                      <w:rFonts w:hint="eastAsia"/>
                    </w:rPr>
                  </w:pPr>
                </w:p>
              </w:tc>
              <w:tc>
                <w:tcPr>
                  <w:tcW w:w="658" w:type="pct"/>
                  <w:shd w:val="clear" w:color="auto" w:fill="auto"/>
                  <w:noWrap/>
                  <w:vAlign w:val="center"/>
                </w:tcPr>
                <w:p>
                  <w:pPr>
                    <w:pStyle w:val="22"/>
                    <w:bidi w:val="0"/>
                    <w:rPr>
                      <w:rFonts w:hint="eastAsia"/>
                    </w:rPr>
                  </w:pPr>
                  <w:r>
                    <w:rPr>
                      <w:rFonts w:hint="eastAsia"/>
                      <w:lang w:val="en-US" w:eastAsia="zh-CN"/>
                    </w:rPr>
                    <w:t>1.187</w:t>
                  </w:r>
                </w:p>
              </w:tc>
              <w:tc>
                <w:tcPr>
                  <w:tcW w:w="664" w:type="pct"/>
                  <w:shd w:val="clear" w:color="auto" w:fill="auto"/>
                  <w:noWrap/>
                  <w:vAlign w:val="center"/>
                </w:tcPr>
                <w:p>
                  <w:pPr>
                    <w:pStyle w:val="22"/>
                    <w:bidi w:val="0"/>
                    <w:rPr>
                      <w:rFonts w:hint="eastAsia"/>
                    </w:rPr>
                  </w:pPr>
                  <w:r>
                    <w:rPr>
                      <w:rFonts w:hint="eastAsia"/>
                      <w:lang w:val="en-US" w:eastAsia="zh-CN"/>
                    </w:rPr>
                    <w:t>0.006</w:t>
                  </w:r>
                </w:p>
              </w:tc>
              <w:tc>
                <w:tcPr>
                  <w:tcW w:w="547" w:type="pct"/>
                  <w:shd w:val="clear" w:color="auto" w:fill="auto"/>
                  <w:noWrap/>
                  <w:vAlign w:val="center"/>
                </w:tcPr>
                <w:p>
                  <w:pPr>
                    <w:pStyle w:val="22"/>
                    <w:bidi w:val="0"/>
                    <w:rPr>
                      <w:rFonts w:hint="eastAsia"/>
                    </w:rPr>
                  </w:pPr>
                  <w:r>
                    <w:rPr>
                      <w:rFonts w:hint="eastAsia"/>
                      <w:lang w:val="en-US" w:eastAsia="zh-CN"/>
                    </w:rPr>
                    <w:t>/</w:t>
                  </w:r>
                </w:p>
              </w:tc>
              <w:tc>
                <w:tcPr>
                  <w:tcW w:w="645" w:type="pct"/>
                  <w:shd w:val="clear" w:color="auto" w:fill="auto"/>
                  <w:noWrap/>
                  <w:vAlign w:val="center"/>
                </w:tcPr>
                <w:p>
                  <w:pPr>
                    <w:pStyle w:val="22"/>
                    <w:bidi w:val="0"/>
                    <w:rPr>
                      <w:rFonts w:hint="eastAsia"/>
                    </w:rPr>
                  </w:pPr>
                  <w:r>
                    <w:rPr>
                      <w:rFonts w:hint="eastAsia"/>
                      <w:lang w:val="en-US" w:eastAsia="zh-CN"/>
                    </w:rPr>
                    <w:t xml:space="preserve">1.01 </w:t>
                  </w:r>
                </w:p>
              </w:tc>
              <w:tc>
                <w:tcPr>
                  <w:tcW w:w="547" w:type="pct"/>
                  <w:shd w:val="clear" w:color="auto" w:fill="auto"/>
                  <w:noWrap/>
                  <w:vAlign w:val="center"/>
                </w:tcPr>
                <w:p>
                  <w:pPr>
                    <w:pStyle w:val="22"/>
                    <w:bidi w:val="0"/>
                    <w:rPr>
                      <w:rFonts w:hint="eastAsia"/>
                    </w:rPr>
                  </w:pPr>
                  <w:r>
                    <w:rPr>
                      <w:rFonts w:hint="eastAsia"/>
                      <w:lang w:val="en-US" w:eastAsia="zh-CN"/>
                    </w:rPr>
                    <w:t xml:space="preserve">0.005 </w:t>
                  </w:r>
                </w:p>
              </w:tc>
              <w:tc>
                <w:tcPr>
                  <w:tcW w:w="436" w:type="pct"/>
                  <w:shd w:val="clear" w:color="auto" w:fill="auto"/>
                  <w:noWrap/>
                  <w:vAlign w:val="center"/>
                </w:tcPr>
                <w:p>
                  <w:pPr>
                    <w:pStyle w:val="22"/>
                    <w:bidi w:val="0"/>
                    <w:rPr>
                      <w:rFonts w:hint="eastAsia" w:eastAsia="宋体"/>
                      <w:lang w:val="en-US" w:eastAsia="zh-CN"/>
                    </w:rPr>
                  </w:pPr>
                  <w:r>
                    <w:rPr>
                      <w:rFonts w:hint="eastAsia"/>
                      <w:lang w:val="en-US" w:eastAsia="zh-CN"/>
                    </w:rPr>
                    <w:t>8</w:t>
                  </w:r>
                </w:p>
              </w:tc>
            </w:tr>
          </w:tbl>
          <w:p>
            <w:pPr>
              <w:rPr>
                <w:rFonts w:hint="default" w:ascii="Times New Roman" w:hAnsi="Times New Roman" w:cs="Times New Roman"/>
                <w:lang w:eastAsia="zh-CN"/>
              </w:rPr>
            </w:pPr>
            <w:r>
              <w:rPr>
                <w:rFonts w:hint="default" w:ascii="Times New Roman" w:hAnsi="Times New Roman" w:cs="Times New Roman"/>
                <w:lang w:eastAsia="zh-CN"/>
              </w:rPr>
              <w:t>综上，</w:t>
            </w:r>
            <w:r>
              <w:rPr>
                <w:rFonts w:hint="eastAsia" w:cs="Times New Roman"/>
                <w:lang w:val="en-US" w:eastAsia="zh-CN"/>
              </w:rPr>
              <w:t>停车场综合废水经处理后</w:t>
            </w:r>
            <w:r>
              <w:rPr>
                <w:rFonts w:hint="default" w:ascii="Times New Roman" w:hAnsi="Times New Roman" w:cs="Times New Roman"/>
                <w:lang w:eastAsia="zh-CN"/>
              </w:rPr>
              <w:t>可达到《</w:t>
            </w:r>
            <w:r>
              <w:rPr>
                <w:rFonts w:hint="default" w:ascii="Times New Roman" w:hAnsi="Times New Roman" w:cs="Times New Roman"/>
                <w:lang w:val="en-US" w:eastAsia="zh-CN"/>
              </w:rPr>
              <w:t>污水综合排放标准</w:t>
            </w:r>
            <w:r>
              <w:rPr>
                <w:rFonts w:hint="default" w:ascii="Times New Roman" w:hAnsi="Times New Roman" w:cs="Times New Roman"/>
                <w:lang w:eastAsia="zh-CN"/>
              </w:rPr>
              <w:t>》</w:t>
            </w:r>
            <w:r>
              <w:rPr>
                <w:rFonts w:hint="default" w:ascii="Times New Roman" w:hAnsi="Times New Roman" w:cs="Times New Roman"/>
                <w:lang w:val="en-US" w:eastAsia="zh-CN"/>
              </w:rPr>
              <w:t>三级标准后</w:t>
            </w:r>
            <w:r>
              <w:rPr>
                <w:rFonts w:hint="default" w:ascii="Times New Roman" w:hAnsi="Times New Roman" w:cs="Times New Roman"/>
                <w:lang w:eastAsia="zh-CN"/>
              </w:rPr>
              <w:t>通过污水管道输送至园区污水处理厂进行深度处理。</w:t>
            </w:r>
          </w:p>
          <w:p>
            <w:pPr>
              <w:rPr>
                <w:rFonts w:hint="eastAsia" w:cs="Times New Roman"/>
                <w:lang w:val="en-US" w:eastAsia="zh-CN"/>
              </w:rPr>
            </w:pPr>
            <w:r>
              <w:rPr>
                <w:rFonts w:hint="eastAsia" w:cs="Times New Roman"/>
                <w:lang w:eastAsia="zh-CN"/>
              </w:rPr>
              <w:t>（</w:t>
            </w:r>
            <w:r>
              <w:rPr>
                <w:rFonts w:hint="eastAsia" w:cs="Times New Roman"/>
                <w:lang w:val="en-US" w:eastAsia="zh-CN"/>
              </w:rPr>
              <w:t>5</w:t>
            </w:r>
            <w:r>
              <w:rPr>
                <w:rFonts w:hint="eastAsia" w:cs="Times New Roman"/>
                <w:lang w:eastAsia="zh-CN"/>
              </w:rPr>
              <w:t>）</w:t>
            </w:r>
            <w:r>
              <w:rPr>
                <w:rFonts w:hint="eastAsia" w:cs="Times New Roman"/>
                <w:lang w:val="en-US" w:eastAsia="zh-CN"/>
              </w:rPr>
              <w:t>初期雨水</w:t>
            </w:r>
          </w:p>
          <w:p>
            <w:pPr>
              <w:rPr>
                <w:rFonts w:hint="eastAsia" w:cs="Times New Roman"/>
                <w:lang w:val="en-US" w:eastAsia="zh-CN"/>
              </w:rPr>
            </w:pPr>
            <w:r>
              <w:rPr>
                <w:rFonts w:hint="eastAsia" w:cs="Times New Roman"/>
                <w:lang w:val="en-US" w:eastAsia="zh-CN"/>
              </w:rPr>
              <w:t>本项目停车场主要为危化品运输罐车，雨水冲刷仅对车辆外部冲刷，主要污染物为SS、石油类。本项目初期雨水经雨水管网收集至初期雨水收集池内，初期雨水收集池设置前期雨水、后期雨水切换阀组，初期雨水收集达到预设标高时经阀门切换，后期雨水管道作为清净下水排放至园区雨水管网。</w:t>
            </w:r>
          </w:p>
          <w:p>
            <w:pPr>
              <w:rPr>
                <w:rFonts w:hint="eastAsia" w:cs="Times New Roman"/>
                <w:lang w:val="en-US" w:eastAsia="zh-CN"/>
              </w:rPr>
            </w:pPr>
            <w:r>
              <w:rPr>
                <w:rFonts w:hint="eastAsia" w:cs="Times New Roman"/>
                <w:lang w:val="en-US" w:eastAsia="zh-CN"/>
              </w:rPr>
              <w:t>本项目位于宣汉县，参照《达州主城区暴雨强度总公式计算及对比分析》（肖鹏,陈怡蓓,郑文权,于竹娟(四川省达州市气象局,达州635000)）可知暴雨强度计算公示为：</w:t>
            </w:r>
          </w:p>
          <w:p>
            <w:pPr>
              <w:rPr>
                <w:rFonts w:hint="default" w:ascii="Times New Roman" w:hAnsi="Times New Roman" w:eastAsia="宋体" w:cs="Times New Roman"/>
                <w:lang w:val="en-US" w:eastAsia="zh-CN"/>
              </w:rPr>
            </w:pPr>
            <w:r>
              <w:rPr>
                <w:rFonts w:hint="default" w:ascii="Times New Roman" w:hAnsi="Times New Roman" w:eastAsia="宋体" w:cs="Times New Roman"/>
                <w:position w:val="-28"/>
                <w:lang w:val="en-US" w:eastAsia="zh-CN"/>
              </w:rPr>
              <w:object>
                <v:shape id="_x0000_i1026" o:spt="75" type="#_x0000_t75" style="height:33pt;width:153pt;" o:ole="t" filled="f" o:preferrelative="t" stroked="f" coordsize="21600,21600">
                  <v:path/>
                  <v:fill on="f" focussize="0,0"/>
                  <v:stroke on="f"/>
                  <v:imagedata r:id="rId20" o:title=""/>
                  <o:lock v:ext="edit" aspectratio="t"/>
                  <w10:wrap type="none"/>
                  <w10:anchorlock/>
                </v:shape>
                <o:OLEObject Type="Embed" ProgID="Equation.KSEE3" ShapeID="_x0000_i1026" DrawAspect="Content" ObjectID="_1468075726" r:id="rId19">
                  <o:LockedField>false</o:LockedField>
                </o:OLEObject>
              </w:object>
            </w:r>
          </w:p>
          <w:p>
            <w:pPr>
              <w:bidi w:val="0"/>
              <w:rPr>
                <w:rFonts w:hint="eastAsia"/>
                <w:lang w:val="en-US" w:eastAsia="zh-CN"/>
              </w:rPr>
            </w:pPr>
            <w:r>
              <w:rPr>
                <w:rFonts w:hint="eastAsia"/>
                <w:lang w:val="en-US" w:eastAsia="zh-CN"/>
              </w:rPr>
              <w:t>q—设计暴雨强度（L/s·hm</w:t>
            </w:r>
            <w:r>
              <w:rPr>
                <w:rFonts w:hint="eastAsia"/>
                <w:vertAlign w:val="superscript"/>
                <w:lang w:val="en-US" w:eastAsia="zh-CN"/>
              </w:rPr>
              <w:t>2</w:t>
            </w:r>
            <w:r>
              <w:rPr>
                <w:rFonts w:hint="eastAsia"/>
                <w:lang w:val="en-US" w:eastAsia="zh-CN"/>
              </w:rPr>
              <w:t>）</w:t>
            </w:r>
          </w:p>
          <w:p>
            <w:pPr>
              <w:rPr>
                <w:rFonts w:hint="eastAsia" w:eastAsia="宋体" w:cs="Times New Roman"/>
                <w:lang w:val="en-US" w:eastAsia="zh-CN"/>
              </w:rPr>
            </w:pPr>
            <w:r>
              <w:rPr>
                <w:rFonts w:hint="eastAsia" w:eastAsia="宋体" w:cs="Times New Roman"/>
                <w:lang w:val="en-US" w:eastAsia="zh-CN"/>
              </w:rPr>
              <w:t>t—设计降雨历时，min，按15min计；</w:t>
            </w:r>
          </w:p>
          <w:p>
            <w:pPr>
              <w:rPr>
                <w:rFonts w:hint="eastAsia" w:eastAsia="宋体" w:cs="Times New Roman"/>
                <w:lang w:val="en-US" w:eastAsia="zh-CN"/>
              </w:rPr>
            </w:pPr>
            <w:r>
              <w:rPr>
                <w:rFonts w:hint="eastAsia" w:eastAsia="宋体" w:cs="Times New Roman"/>
                <w:lang w:val="en-US" w:eastAsia="zh-CN"/>
              </w:rPr>
              <w:t>P—设计重现期，年，按2年计算。</w:t>
            </w:r>
          </w:p>
          <w:p>
            <w:pPr>
              <w:rPr>
                <w:rFonts w:hint="default" w:eastAsia="宋体" w:cs="Times New Roman"/>
                <w:lang w:val="en-US" w:eastAsia="zh-CN"/>
              </w:rPr>
            </w:pPr>
            <w:r>
              <w:rPr>
                <w:rFonts w:hint="eastAsia" w:eastAsia="宋体" w:cs="Times New Roman"/>
                <w:lang w:val="en-US" w:eastAsia="zh-CN"/>
              </w:rPr>
              <w:t>根据计算可知，区域暴雨强度q为211</w:t>
            </w:r>
            <w:r>
              <w:rPr>
                <w:rFonts w:hint="eastAsia"/>
                <w:lang w:val="en-US" w:eastAsia="zh-CN"/>
              </w:rPr>
              <w:t>L/s·hm</w:t>
            </w:r>
            <w:r>
              <w:rPr>
                <w:rFonts w:hint="eastAsia"/>
                <w:vertAlign w:val="superscript"/>
                <w:lang w:val="en-US" w:eastAsia="zh-CN"/>
              </w:rPr>
              <w:t>2</w:t>
            </w:r>
          </w:p>
          <w:p>
            <w:pPr>
              <w:rPr>
                <w:rFonts w:hint="eastAsia" w:cs="Times New Roman"/>
                <w:lang w:val="en-US" w:eastAsia="zh-CN"/>
              </w:rPr>
            </w:pPr>
            <w:r>
              <w:rPr>
                <w:rFonts w:hint="eastAsia" w:cs="Times New Roman"/>
                <w:lang w:val="en-US" w:eastAsia="zh-CN"/>
              </w:rPr>
              <w:t>根据《‌室外排水设计规范》可知雨水流量公式为：</w:t>
            </w:r>
          </w:p>
          <w:p>
            <w:pPr>
              <w:rPr>
                <w:rFonts w:hint="eastAsia" w:cs="Times New Roman"/>
                <w:lang w:val="en-US" w:eastAsia="zh-CN"/>
              </w:rPr>
            </w:pPr>
            <w:r>
              <w:rPr>
                <w:rFonts w:hint="eastAsia" w:cs="Times New Roman"/>
                <w:position w:val="-10"/>
                <w:lang w:val="en-US" w:eastAsia="zh-CN"/>
              </w:rPr>
              <w:object>
                <v:shape id="_x0000_i1027" o:spt="75" type="#_x0000_t75" style="height:16pt;width:67.95pt;" o:ole="t" filled="f" o:preferrelative="t" stroked="f" coordsize="21600,21600">
                  <v:path/>
                  <v:fill on="f" focussize="0,0"/>
                  <v:stroke on="f"/>
                  <v:imagedata r:id="rId22" o:title=""/>
                  <o:lock v:ext="edit" aspectratio="t"/>
                  <w10:wrap type="none"/>
                  <w10:anchorlock/>
                </v:shape>
                <o:OLEObject Type="Embed" ProgID="Equation.KSEE3" ShapeID="_x0000_i1027" DrawAspect="Content" ObjectID="_1468075727" r:id="rId21">
                  <o:LockedField>false</o:LockedField>
                </o:OLEObject>
              </w:object>
            </w:r>
          </w:p>
          <w:p>
            <w:pPr>
              <w:bidi w:val="0"/>
              <w:rPr>
                <w:rFonts w:hint="eastAsia"/>
                <w:lang w:val="en-US" w:eastAsia="zh-CN"/>
              </w:rPr>
            </w:pPr>
            <w:r>
              <w:rPr>
                <w:rFonts w:hint="eastAsia"/>
                <w:lang w:val="en-US" w:eastAsia="zh-CN"/>
              </w:rPr>
              <w:t>式中：Q—雨水设计流量（L/s）</w:t>
            </w:r>
          </w:p>
          <w:p>
            <w:pPr>
              <w:bidi w:val="0"/>
              <w:rPr>
                <w:rFonts w:hint="eastAsia"/>
                <w:lang w:val="en-US" w:eastAsia="zh-CN"/>
              </w:rPr>
            </w:pPr>
            <w:r>
              <w:rPr>
                <w:rFonts w:hint="eastAsia"/>
                <w:lang w:val="en-US" w:eastAsia="zh-CN"/>
              </w:rPr>
              <w:t>q—设计暴雨强度（L/s·hm</w:t>
            </w:r>
            <w:r>
              <w:rPr>
                <w:rFonts w:hint="eastAsia"/>
                <w:vertAlign w:val="superscript"/>
                <w:lang w:val="en-US" w:eastAsia="zh-CN"/>
              </w:rPr>
              <w:t>2</w:t>
            </w:r>
            <w:r>
              <w:rPr>
                <w:rFonts w:hint="eastAsia"/>
                <w:lang w:val="en-US" w:eastAsia="zh-CN"/>
              </w:rPr>
              <w:t>）</w:t>
            </w:r>
          </w:p>
          <w:p>
            <w:pPr>
              <w:bidi w:val="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Ф</w:t>
            </w:r>
            <w:r>
              <w:rPr>
                <w:rFonts w:hint="eastAsia" w:ascii="Times New Roman" w:hAnsi="Times New Roman" w:eastAsia="宋体" w:cs="Times New Roman"/>
                <w:lang w:val="en-US" w:eastAsia="zh-CN"/>
              </w:rPr>
              <w:t>—径流系数，一般取0.9</w:t>
            </w:r>
          </w:p>
          <w:p>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F—汇水面积（hm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w:t>
            </w:r>
          </w:p>
          <w:p>
            <w:p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项目停车场汇水面积为4.73hm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，则雨水设计流量为898.227L/s；初期雨水收集量为808.4043m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。本项目设置有一座初期雨水收集池，容积为</w:t>
            </w:r>
            <w:r>
              <w:rPr>
                <w:rFonts w:hint="eastAsia"/>
                <w:lang w:val="en-US" w:eastAsia="zh-CN"/>
              </w:rPr>
              <w:t>1119.6m</w:t>
            </w:r>
            <w:r>
              <w:rPr>
                <w:rFonts w:hint="eastAsia"/>
                <w:vertAlign w:val="superscript"/>
                <w:lang w:val="en-US" w:eastAsia="zh-CN"/>
              </w:rPr>
              <w:t>3</w:t>
            </w:r>
            <w:r>
              <w:rPr>
                <w:rFonts w:hint="eastAsia"/>
                <w:vertAlign w:val="baseline"/>
                <w:lang w:val="en-US" w:eastAsia="zh-CN"/>
              </w:rPr>
              <w:t>，能满足项目初期雨水收集；收集的</w:t>
            </w:r>
            <w:r>
              <w:rPr>
                <w:rFonts w:hint="eastAsia" w:ascii="Times New Roman" w:hAnsi="Times New Roman" w:eastAsia="宋体" w:cs="Times New Roman"/>
                <w:lang w:val="en-US" w:eastAsia="zh-CN"/>
              </w:rPr>
              <w:t>初期雨水</w:t>
            </w:r>
            <w:r>
              <w:rPr>
                <w:rFonts w:hint="eastAsia" w:cs="Times New Roman"/>
                <w:lang w:val="en-US" w:eastAsia="zh-CN"/>
              </w:rPr>
              <w:t>排入自建污水处理站处理后</w:t>
            </w:r>
            <w:r>
              <w:rPr>
                <w:rFonts w:hint="eastAsia" w:ascii="Times New Roman" w:hAnsi="Times New Roman" w:eastAsia="宋体" w:cs="Times New Roman"/>
                <w:lang w:val="en-US" w:eastAsia="zh-CN"/>
              </w:rPr>
              <w:t>，排入园区污水管网，经污水处理厂处理后排放。</w:t>
            </w:r>
          </w:p>
          <w:p>
            <w:pPr>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（6）蒸</w:t>
            </w:r>
            <w:r>
              <w:rPr>
                <w:rFonts w:hint="eastAsia" w:cs="Times New Roman"/>
                <w:lang w:val="en-US" w:eastAsia="zh-CN"/>
              </w:rPr>
              <w:t>洗废水</w:t>
            </w:r>
          </w:p>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本项目部分罐车需采用高温蒸汽清洗，本项目使用蒸汽清洗机提供蒸汽，蒸汽清洗机使用电能。使用蒸汽清洗机清洗罐车的用水量约为</w:t>
            </w:r>
            <w:r>
              <w:rPr>
                <w:rFonts w:hint="eastAsia" w:cs="Times New Roman"/>
                <w:lang w:val="en-US" w:eastAsia="zh-CN"/>
              </w:rPr>
              <w:t>0.05~0.2m</w:t>
            </w:r>
            <w:r>
              <w:rPr>
                <w:rFonts w:hint="eastAsia" w:cs="Times New Roman"/>
                <w:vertAlign w:val="superscript"/>
                <w:lang w:val="en-US" w:eastAsia="zh-CN"/>
              </w:rPr>
              <w:t>3</w:t>
            </w:r>
            <w:r>
              <w:rPr>
                <w:rFonts w:hint="eastAsia" w:ascii="Times New Roman" w:hAnsi="Times New Roman" w:eastAsia="宋体" w:cs="Times New Roman"/>
                <w:lang w:val="en-US" w:eastAsia="zh-CN"/>
              </w:rPr>
              <w:t>/辆</w:t>
            </w:r>
            <w:r>
              <w:rPr>
                <w:rFonts w:hint="eastAsia" w:cs="Times New Roman"/>
                <w:lang w:val="en-US" w:eastAsia="zh-CN"/>
              </w:rPr>
              <w:t>·次</w:t>
            </w:r>
            <w:r>
              <w:rPr>
                <w:rFonts w:hint="eastAsia" w:ascii="Times New Roman" w:hAnsi="Times New Roman" w:eastAsia="宋体" w:cs="Times New Roman"/>
                <w:lang w:val="en-US" w:eastAsia="zh-CN"/>
              </w:rPr>
              <w:t>，</w:t>
            </w:r>
            <w:r>
              <w:rPr>
                <w:rFonts w:hint="eastAsia" w:cs="Times New Roman"/>
                <w:lang w:val="en-US" w:eastAsia="zh-CN"/>
              </w:rPr>
              <w:t>本项目以0.2m</w:t>
            </w:r>
            <w:r>
              <w:rPr>
                <w:rFonts w:hint="eastAsia" w:cs="Times New Roman"/>
                <w:vertAlign w:val="superscript"/>
                <w:lang w:val="en-US" w:eastAsia="zh-CN"/>
              </w:rPr>
              <w:t>3</w:t>
            </w:r>
            <w:r>
              <w:rPr>
                <w:rFonts w:hint="eastAsia" w:ascii="Times New Roman" w:hAnsi="Times New Roman" w:eastAsia="宋体" w:cs="Times New Roman"/>
                <w:lang w:val="en-US" w:eastAsia="zh-CN"/>
              </w:rPr>
              <w:t>/辆</w:t>
            </w:r>
            <w:r>
              <w:rPr>
                <w:rFonts w:hint="eastAsia" w:cs="Times New Roman"/>
                <w:lang w:val="en-US" w:eastAsia="zh-CN"/>
              </w:rPr>
              <w:t>·次计，</w:t>
            </w:r>
            <w:r>
              <w:rPr>
                <w:rFonts w:hint="eastAsia" w:ascii="Times New Roman" w:hAnsi="Times New Roman" w:eastAsia="宋体" w:cs="Times New Roman"/>
                <w:lang w:val="en-US" w:eastAsia="zh-CN"/>
              </w:rPr>
              <w:t>本项目需使用蒸汽清洗的罐车数量为</w:t>
            </w:r>
            <w:r>
              <w:rPr>
                <w:rFonts w:hint="eastAsia" w:cs="Times New Roman"/>
                <w:lang w:val="en-US" w:eastAsia="zh-CN"/>
              </w:rPr>
              <w:t>600</w:t>
            </w:r>
            <w:r>
              <w:rPr>
                <w:rFonts w:hint="eastAsia" w:ascii="Times New Roman" w:hAnsi="Times New Roman" w:eastAsia="宋体" w:cs="Times New Roman"/>
                <w:lang w:val="en-US" w:eastAsia="zh-CN"/>
              </w:rPr>
              <w:t>辆/a，则用水量约为</w:t>
            </w:r>
            <w:r>
              <w:rPr>
                <w:rFonts w:hint="eastAsia" w:cs="Times New Roman"/>
                <w:lang w:val="en-US" w:eastAsia="zh-CN"/>
              </w:rPr>
              <w:t>120</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/a（日最大产生量约为</w:t>
            </w:r>
            <w:r>
              <w:rPr>
                <w:rFonts w:hint="eastAsia" w:cs="Times New Roman"/>
                <w:lang w:val="en-US" w:eastAsia="zh-CN"/>
              </w:rPr>
              <w:t>0.4m</w:t>
            </w:r>
            <w:r>
              <w:rPr>
                <w:rFonts w:hint="eastAsia" w:cs="Times New Roman"/>
                <w:vertAlign w:val="superscript"/>
                <w:lang w:val="en-US" w:eastAsia="zh-CN"/>
              </w:rPr>
              <w:t>3</w:t>
            </w:r>
            <w:r>
              <w:rPr>
                <w:rFonts w:hint="eastAsia" w:ascii="Times New Roman" w:hAnsi="Times New Roman" w:eastAsia="宋体" w:cs="Times New Roman"/>
                <w:lang w:val="en-US" w:eastAsia="zh-CN"/>
              </w:rPr>
              <w:t>）。蒸汽通过车辆内壁成冷凝水沉积在罐内，经分类收集后暂存于危废暂存间，后交由有资质的单位处置。</w:t>
            </w:r>
          </w:p>
          <w:p>
            <w:pPr>
              <w:pStyle w:val="8"/>
              <w:rPr>
                <w:rFonts w:hint="default" w:ascii="Times New Roman" w:hAnsi="Times New Roman" w:cs="Times New Roman"/>
                <w:b/>
                <w:bCs/>
                <w:lang w:eastAsia="zh-CN"/>
              </w:rPr>
            </w:pPr>
            <w:r>
              <w:rPr>
                <w:rFonts w:hint="default" w:ascii="Times New Roman" w:hAnsi="Times New Roman" w:cs="Times New Roman"/>
                <w:b/>
                <w:bCs/>
                <w:lang w:val="en-US" w:eastAsia="zh-CN"/>
              </w:rPr>
              <w:t>4.3.2</w:t>
            </w:r>
            <w:r>
              <w:rPr>
                <w:rFonts w:hint="default" w:ascii="Times New Roman" w:hAnsi="Times New Roman" w:cs="Times New Roman"/>
                <w:b/>
                <w:bCs/>
                <w:lang w:eastAsia="zh-CN"/>
              </w:rPr>
              <w:t>废水监测计划</w:t>
            </w:r>
          </w:p>
          <w:p>
            <w:pPr>
              <w:pStyle w:val="8"/>
              <w:rPr>
                <w:rFonts w:hint="default" w:ascii="Times New Roman" w:hAnsi="Times New Roman" w:cs="Times New Roman"/>
                <w:lang w:eastAsia="zh-CN"/>
              </w:rPr>
            </w:pPr>
            <w:r>
              <w:rPr>
                <w:rFonts w:hint="default" w:ascii="Times New Roman" w:hAnsi="Times New Roman" w:cs="Times New Roman"/>
                <w:lang w:eastAsia="zh-CN"/>
              </w:rPr>
              <w:t>根据《建设项目竣工环境保护验收暂行办法》(国环规环评[201714号)《排污许可证申请与核发技术规范-总则》(HJ819-2017)和《建设项目竣工环境保护验收技术指南 污染影响类》(生态环境部公告 2018年第9号)相关要求，废水监测计划见下表。</w:t>
            </w:r>
          </w:p>
          <w:p>
            <w:pPr>
              <w:pStyle w:val="26"/>
              <w:bidi w:val="0"/>
              <w:rPr>
                <w:rFonts w:hint="default"/>
                <w:lang w:eastAsia="zh-CN"/>
              </w:rPr>
            </w:pPr>
            <w:r>
              <w:rPr>
                <w:rFonts w:hint="default"/>
                <w:lang w:eastAsia="zh-CN"/>
              </w:rPr>
              <w:t>表 4.3-3 项目废水监测计划表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3032"/>
              <w:gridCol w:w="1051"/>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pStyle w:val="22"/>
                    <w:bidi w:val="0"/>
                    <w:rPr>
                      <w:rFonts w:hint="default"/>
                      <w:lang w:val="en-US" w:eastAsia="zh-CN"/>
                    </w:rPr>
                  </w:pPr>
                  <w:r>
                    <w:rPr>
                      <w:rFonts w:hint="default"/>
                      <w:lang w:val="en-US" w:eastAsia="zh-CN"/>
                    </w:rPr>
                    <w:t>监测点位</w:t>
                  </w:r>
                </w:p>
              </w:tc>
              <w:tc>
                <w:tcPr>
                  <w:tcW w:w="1856" w:type="pct"/>
                  <w:noWrap w:val="0"/>
                  <w:vAlign w:val="center"/>
                </w:tcPr>
                <w:p>
                  <w:pPr>
                    <w:pStyle w:val="22"/>
                    <w:bidi w:val="0"/>
                    <w:rPr>
                      <w:rFonts w:hint="default"/>
                      <w:lang w:val="en-US" w:eastAsia="zh-CN"/>
                    </w:rPr>
                  </w:pPr>
                  <w:r>
                    <w:rPr>
                      <w:rFonts w:hint="default"/>
                      <w:lang w:val="en-US" w:eastAsia="zh-CN"/>
                    </w:rPr>
                    <w:t>监测指标</w:t>
                  </w:r>
                </w:p>
              </w:tc>
              <w:tc>
                <w:tcPr>
                  <w:tcW w:w="643" w:type="pct"/>
                  <w:noWrap w:val="0"/>
                  <w:vAlign w:val="center"/>
                </w:tcPr>
                <w:p>
                  <w:pPr>
                    <w:pStyle w:val="22"/>
                    <w:bidi w:val="0"/>
                    <w:rPr>
                      <w:rFonts w:hint="default"/>
                      <w:lang w:val="en-US" w:eastAsia="zh-CN"/>
                    </w:rPr>
                  </w:pPr>
                  <w:r>
                    <w:rPr>
                      <w:rFonts w:hint="default"/>
                      <w:lang w:val="en-US" w:eastAsia="zh-CN"/>
                    </w:rPr>
                    <w:t>监测频次</w:t>
                  </w:r>
                </w:p>
              </w:tc>
              <w:tc>
                <w:tcPr>
                  <w:tcW w:w="1250" w:type="pct"/>
                  <w:noWrap w:val="0"/>
                  <w:vAlign w:val="center"/>
                </w:tcPr>
                <w:p>
                  <w:pPr>
                    <w:pStyle w:val="22"/>
                    <w:bidi w:val="0"/>
                    <w:rPr>
                      <w:rFonts w:hint="default"/>
                      <w:lang w:val="en-US" w:eastAsia="zh-CN"/>
                    </w:rPr>
                  </w:pPr>
                  <w:r>
                    <w:rPr>
                      <w:rFonts w:hint="default"/>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9" w:type="pct"/>
                  <w:noWrap w:val="0"/>
                  <w:vAlign w:val="center"/>
                </w:tcPr>
                <w:p>
                  <w:pPr>
                    <w:pStyle w:val="22"/>
                    <w:bidi w:val="0"/>
                    <w:rPr>
                      <w:rFonts w:hint="default"/>
                      <w:lang w:val="en-US" w:eastAsia="zh-CN"/>
                    </w:rPr>
                  </w:pPr>
                  <w:r>
                    <w:rPr>
                      <w:rFonts w:hint="eastAsia"/>
                      <w:lang w:val="en-US" w:eastAsia="zh-CN"/>
                    </w:rPr>
                    <w:t>停车场</w:t>
                  </w:r>
                  <w:r>
                    <w:rPr>
                      <w:rFonts w:hint="default"/>
                      <w:lang w:val="en-US" w:eastAsia="zh-CN"/>
                    </w:rPr>
                    <w:t>废水总排放口DW001</w:t>
                  </w:r>
                </w:p>
              </w:tc>
              <w:tc>
                <w:tcPr>
                  <w:tcW w:w="1856" w:type="pct"/>
                  <w:noWrap w:val="0"/>
                  <w:vAlign w:val="center"/>
                </w:tcPr>
                <w:p>
                  <w:pPr>
                    <w:pStyle w:val="22"/>
                    <w:bidi w:val="0"/>
                    <w:rPr>
                      <w:rFonts w:hint="default"/>
                      <w:lang w:val="en-US" w:eastAsia="zh-CN"/>
                    </w:rPr>
                  </w:pPr>
                  <w:r>
                    <w:rPr>
                      <w:rFonts w:hint="default"/>
                      <w:lang w:val="en-US" w:eastAsia="zh-CN"/>
                    </w:rPr>
                    <w:t>pH 值、悬浮物、化学需氧量、五日生化需氧量、氨氮、总磷、总氮、石油类、LAS</w:t>
                  </w:r>
                </w:p>
              </w:tc>
              <w:tc>
                <w:tcPr>
                  <w:tcW w:w="643" w:type="pct"/>
                  <w:noWrap w:val="0"/>
                  <w:vAlign w:val="center"/>
                </w:tcPr>
                <w:p>
                  <w:pPr>
                    <w:pStyle w:val="22"/>
                    <w:bidi w:val="0"/>
                    <w:rPr>
                      <w:rFonts w:hint="default"/>
                      <w:lang w:val="en-US" w:eastAsia="zh-CN"/>
                    </w:rPr>
                  </w:pPr>
                  <w:r>
                    <w:rPr>
                      <w:rFonts w:hint="default"/>
                      <w:lang w:val="en-US" w:eastAsia="zh-CN"/>
                    </w:rPr>
                    <w:t>1年/1次</w:t>
                  </w:r>
                </w:p>
              </w:tc>
              <w:tc>
                <w:tcPr>
                  <w:tcW w:w="1250" w:type="pct"/>
                  <w:noWrap w:val="0"/>
                  <w:vAlign w:val="center"/>
                </w:tcPr>
                <w:p>
                  <w:pPr>
                    <w:pStyle w:val="22"/>
                    <w:bidi w:val="0"/>
                    <w:rPr>
                      <w:rFonts w:hint="default"/>
                      <w:lang w:val="en-US" w:eastAsia="zh-CN"/>
                    </w:rPr>
                  </w:pPr>
                  <w:r>
                    <w:rPr>
                      <w:rFonts w:hint="default"/>
                      <w:lang w:eastAsia="zh-CN"/>
                    </w:rPr>
                    <w:t>《</w:t>
                  </w:r>
                  <w:r>
                    <w:rPr>
                      <w:rFonts w:hint="default"/>
                      <w:lang w:val="en-US" w:eastAsia="zh-CN"/>
                    </w:rPr>
                    <w:t>污水综合排放标准</w:t>
                  </w:r>
                  <w:r>
                    <w:rPr>
                      <w:rFonts w:hint="default"/>
                      <w:lang w:eastAsia="zh-CN"/>
                    </w:rPr>
                    <w:t>》</w:t>
                  </w:r>
                  <w:r>
                    <w:rPr>
                      <w:rFonts w:hint="default"/>
                      <w:lang w:val="en-US" w:eastAsia="zh-CN"/>
                    </w:rPr>
                    <w:t>三级标准</w:t>
                  </w:r>
                </w:p>
              </w:tc>
            </w:tr>
          </w:tbl>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4.3.3废水污染物排放情况</w:t>
            </w:r>
          </w:p>
          <w:p>
            <w:pPr>
              <w:pStyle w:val="26"/>
              <w:bidi w:val="0"/>
              <w:rPr>
                <w:rFonts w:hint="default"/>
                <w:lang w:val="en-US" w:eastAsia="zh-CN"/>
              </w:rPr>
            </w:pPr>
            <w:r>
              <w:rPr>
                <w:rFonts w:hint="default"/>
                <w:lang w:val="en-US" w:eastAsia="zh-CN"/>
              </w:rPr>
              <w:t>表 4.3-4 废水类别、污染物及污染治理设施信息表</w:t>
            </w:r>
          </w:p>
          <w:tbl>
            <w:tblPr>
              <w:tblStyle w:val="1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967"/>
              <w:gridCol w:w="634"/>
              <w:gridCol w:w="815"/>
              <w:gridCol w:w="704"/>
              <w:gridCol w:w="719"/>
              <w:gridCol w:w="781"/>
              <w:gridCol w:w="709"/>
              <w:gridCol w:w="897"/>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517" w:type="pct"/>
                  <w:vMerge w:val="restart"/>
                  <w:noWrap w:val="0"/>
                  <w:vAlign w:val="top"/>
                </w:tcPr>
                <w:p>
                  <w:pPr>
                    <w:pStyle w:val="22"/>
                    <w:bidi w:val="0"/>
                    <w:rPr>
                      <w:rFonts w:hint="default"/>
                      <w:lang w:val="en-US" w:eastAsia="zh-CN"/>
                    </w:rPr>
                  </w:pPr>
                  <w:r>
                    <w:rPr>
                      <w:rFonts w:hint="default"/>
                      <w:lang w:val="en-US" w:eastAsia="zh-CN"/>
                    </w:rPr>
                    <w:t>废水类型</w:t>
                  </w:r>
                </w:p>
              </w:tc>
              <w:tc>
                <w:tcPr>
                  <w:tcW w:w="592" w:type="pct"/>
                  <w:vMerge w:val="restart"/>
                  <w:noWrap w:val="0"/>
                  <w:vAlign w:val="top"/>
                </w:tcPr>
                <w:p>
                  <w:pPr>
                    <w:pStyle w:val="22"/>
                    <w:bidi w:val="0"/>
                    <w:rPr>
                      <w:rFonts w:hint="default"/>
                      <w:lang w:val="en-US" w:eastAsia="zh-CN"/>
                    </w:rPr>
                  </w:pPr>
                  <w:r>
                    <w:rPr>
                      <w:rFonts w:hint="default"/>
                      <w:lang w:val="en-US" w:eastAsia="zh-CN"/>
                    </w:rPr>
                    <w:t>污染物种类</w:t>
                  </w:r>
                </w:p>
              </w:tc>
              <w:tc>
                <w:tcPr>
                  <w:tcW w:w="388" w:type="pct"/>
                  <w:vMerge w:val="restart"/>
                  <w:noWrap w:val="0"/>
                  <w:vAlign w:val="top"/>
                </w:tcPr>
                <w:p>
                  <w:pPr>
                    <w:pStyle w:val="22"/>
                    <w:bidi w:val="0"/>
                    <w:rPr>
                      <w:rFonts w:hint="default"/>
                      <w:lang w:val="en-US" w:eastAsia="zh-CN"/>
                    </w:rPr>
                  </w:pPr>
                  <w:r>
                    <w:rPr>
                      <w:rFonts w:hint="default"/>
                      <w:lang w:val="en-US" w:eastAsia="zh-CN"/>
                    </w:rPr>
                    <w:t>排放去向</w:t>
                  </w:r>
                </w:p>
              </w:tc>
              <w:tc>
                <w:tcPr>
                  <w:tcW w:w="499" w:type="pct"/>
                  <w:vMerge w:val="restart"/>
                  <w:noWrap w:val="0"/>
                  <w:vAlign w:val="top"/>
                </w:tcPr>
                <w:p>
                  <w:pPr>
                    <w:pStyle w:val="22"/>
                    <w:bidi w:val="0"/>
                    <w:rPr>
                      <w:rFonts w:hint="default"/>
                      <w:lang w:val="en-US" w:eastAsia="zh-CN"/>
                    </w:rPr>
                  </w:pPr>
                  <w:r>
                    <w:rPr>
                      <w:rFonts w:hint="default"/>
                      <w:lang w:val="en-US" w:eastAsia="zh-CN"/>
                    </w:rPr>
                    <w:t>排放规律</w:t>
                  </w:r>
                </w:p>
              </w:tc>
              <w:tc>
                <w:tcPr>
                  <w:tcW w:w="1349" w:type="pct"/>
                  <w:gridSpan w:val="3"/>
                  <w:noWrap w:val="0"/>
                  <w:vAlign w:val="top"/>
                </w:tcPr>
                <w:p>
                  <w:pPr>
                    <w:pStyle w:val="22"/>
                    <w:bidi w:val="0"/>
                    <w:rPr>
                      <w:rFonts w:hint="default"/>
                      <w:lang w:val="en-US" w:eastAsia="zh-CN"/>
                    </w:rPr>
                  </w:pPr>
                  <w:r>
                    <w:rPr>
                      <w:rFonts w:hint="eastAsia"/>
                      <w:lang w:val="en-US" w:eastAsia="zh-CN"/>
                    </w:rPr>
                    <w:t>污染治理设施</w:t>
                  </w:r>
                </w:p>
              </w:tc>
              <w:tc>
                <w:tcPr>
                  <w:tcW w:w="434" w:type="pct"/>
                  <w:vMerge w:val="restart"/>
                  <w:noWrap w:val="0"/>
                  <w:vAlign w:val="top"/>
                </w:tcPr>
                <w:p>
                  <w:pPr>
                    <w:pStyle w:val="22"/>
                    <w:bidi w:val="0"/>
                    <w:rPr>
                      <w:rFonts w:hint="default"/>
                      <w:lang w:val="en-US" w:eastAsia="zh-CN"/>
                    </w:rPr>
                  </w:pPr>
                  <w:r>
                    <w:rPr>
                      <w:rFonts w:hint="default"/>
                      <w:lang w:val="en-US" w:eastAsia="zh-CN"/>
                    </w:rPr>
                    <w:t>排放口编号</w:t>
                  </w:r>
                </w:p>
              </w:tc>
              <w:tc>
                <w:tcPr>
                  <w:tcW w:w="549" w:type="pct"/>
                  <w:vMerge w:val="restart"/>
                  <w:noWrap w:val="0"/>
                  <w:vAlign w:val="top"/>
                </w:tcPr>
                <w:p>
                  <w:pPr>
                    <w:pStyle w:val="22"/>
                    <w:bidi w:val="0"/>
                    <w:rPr>
                      <w:rFonts w:hint="default"/>
                      <w:lang w:val="en-US" w:eastAsia="zh-CN"/>
                    </w:rPr>
                  </w:pPr>
                  <w:r>
                    <w:rPr>
                      <w:rFonts w:hint="default"/>
                      <w:lang w:val="en-US" w:eastAsia="zh-CN"/>
                    </w:rPr>
                    <w:t>排放口设置是否符合要求</w:t>
                  </w:r>
                </w:p>
              </w:tc>
              <w:tc>
                <w:tcPr>
                  <w:tcW w:w="667" w:type="pct"/>
                  <w:vMerge w:val="restart"/>
                  <w:noWrap w:val="0"/>
                  <w:vAlign w:val="top"/>
                </w:tcPr>
                <w:p>
                  <w:pPr>
                    <w:pStyle w:val="22"/>
                    <w:bidi w:val="0"/>
                    <w:rPr>
                      <w:rFonts w:hint="default"/>
                      <w:lang w:val="en-US" w:eastAsia="zh-CN"/>
                    </w:rPr>
                  </w:pPr>
                  <w:r>
                    <w:rPr>
                      <w:rFonts w:hint="default"/>
                      <w:lang w:val="en-US" w:eastAsia="zh-CN"/>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7" w:type="pct"/>
                  <w:vMerge w:val="continue"/>
                  <w:noWrap w:val="0"/>
                  <w:vAlign w:val="top"/>
                </w:tcPr>
                <w:p>
                  <w:pPr>
                    <w:pStyle w:val="22"/>
                    <w:bidi w:val="0"/>
                    <w:rPr>
                      <w:rFonts w:hint="default"/>
                      <w:lang w:val="en-US" w:eastAsia="zh-CN"/>
                    </w:rPr>
                  </w:pPr>
                </w:p>
              </w:tc>
              <w:tc>
                <w:tcPr>
                  <w:tcW w:w="592" w:type="pct"/>
                  <w:vMerge w:val="continue"/>
                  <w:noWrap w:val="0"/>
                  <w:vAlign w:val="top"/>
                </w:tcPr>
                <w:p>
                  <w:pPr>
                    <w:pStyle w:val="22"/>
                    <w:bidi w:val="0"/>
                    <w:rPr>
                      <w:rFonts w:hint="default"/>
                      <w:lang w:val="en-US" w:eastAsia="zh-CN"/>
                    </w:rPr>
                  </w:pPr>
                </w:p>
              </w:tc>
              <w:tc>
                <w:tcPr>
                  <w:tcW w:w="388" w:type="pct"/>
                  <w:vMerge w:val="continue"/>
                  <w:noWrap w:val="0"/>
                  <w:vAlign w:val="top"/>
                </w:tcPr>
                <w:p>
                  <w:pPr>
                    <w:pStyle w:val="22"/>
                    <w:bidi w:val="0"/>
                    <w:rPr>
                      <w:rFonts w:hint="default"/>
                      <w:lang w:val="en-US" w:eastAsia="zh-CN"/>
                    </w:rPr>
                  </w:pPr>
                </w:p>
              </w:tc>
              <w:tc>
                <w:tcPr>
                  <w:tcW w:w="499" w:type="pct"/>
                  <w:vMerge w:val="continue"/>
                  <w:noWrap w:val="0"/>
                  <w:vAlign w:val="top"/>
                </w:tcPr>
                <w:p>
                  <w:pPr>
                    <w:pStyle w:val="22"/>
                    <w:bidi w:val="0"/>
                    <w:rPr>
                      <w:rFonts w:hint="default"/>
                      <w:lang w:val="en-US" w:eastAsia="zh-CN"/>
                    </w:rPr>
                  </w:pPr>
                </w:p>
              </w:tc>
              <w:tc>
                <w:tcPr>
                  <w:tcW w:w="431" w:type="pct"/>
                  <w:noWrap w:val="0"/>
                  <w:vAlign w:val="top"/>
                </w:tcPr>
                <w:p>
                  <w:pPr>
                    <w:pStyle w:val="22"/>
                    <w:bidi w:val="0"/>
                    <w:rPr>
                      <w:rFonts w:hint="default"/>
                      <w:lang w:val="en-US" w:eastAsia="zh-CN"/>
                    </w:rPr>
                  </w:pPr>
                  <w:r>
                    <w:rPr>
                      <w:rFonts w:hint="default"/>
                      <w:lang w:val="en-US" w:eastAsia="zh-CN"/>
                    </w:rPr>
                    <w:t>污染治理设施编号</w:t>
                  </w:r>
                </w:p>
              </w:tc>
              <w:tc>
                <w:tcPr>
                  <w:tcW w:w="440" w:type="pct"/>
                  <w:noWrap w:val="0"/>
                  <w:vAlign w:val="top"/>
                </w:tcPr>
                <w:p>
                  <w:pPr>
                    <w:pStyle w:val="22"/>
                    <w:bidi w:val="0"/>
                    <w:rPr>
                      <w:rFonts w:hint="default"/>
                      <w:lang w:val="en-US" w:eastAsia="zh-CN"/>
                    </w:rPr>
                  </w:pPr>
                  <w:r>
                    <w:rPr>
                      <w:rFonts w:hint="default"/>
                      <w:lang w:val="en-US" w:eastAsia="zh-CN"/>
                    </w:rPr>
                    <w:t>污染治理设施名称</w:t>
                  </w:r>
                </w:p>
              </w:tc>
              <w:tc>
                <w:tcPr>
                  <w:tcW w:w="477" w:type="pct"/>
                  <w:noWrap w:val="0"/>
                  <w:vAlign w:val="top"/>
                </w:tcPr>
                <w:p>
                  <w:pPr>
                    <w:pStyle w:val="22"/>
                    <w:bidi w:val="0"/>
                    <w:rPr>
                      <w:rFonts w:hint="default"/>
                      <w:lang w:val="en-US" w:eastAsia="zh-CN"/>
                    </w:rPr>
                  </w:pPr>
                  <w:r>
                    <w:rPr>
                      <w:rFonts w:hint="default"/>
                      <w:lang w:val="en-US" w:eastAsia="zh-CN"/>
                    </w:rPr>
                    <w:t>污染治理设施工艺</w:t>
                  </w:r>
                </w:p>
              </w:tc>
              <w:tc>
                <w:tcPr>
                  <w:tcW w:w="434" w:type="pct"/>
                  <w:vMerge w:val="continue"/>
                  <w:noWrap w:val="0"/>
                  <w:vAlign w:val="top"/>
                </w:tcPr>
                <w:p>
                  <w:pPr>
                    <w:pStyle w:val="22"/>
                    <w:bidi w:val="0"/>
                    <w:rPr>
                      <w:rFonts w:hint="default"/>
                      <w:lang w:val="en-US" w:eastAsia="zh-CN"/>
                    </w:rPr>
                  </w:pPr>
                </w:p>
              </w:tc>
              <w:tc>
                <w:tcPr>
                  <w:tcW w:w="549" w:type="pct"/>
                  <w:vMerge w:val="continue"/>
                  <w:noWrap w:val="0"/>
                  <w:vAlign w:val="top"/>
                </w:tcPr>
                <w:p>
                  <w:pPr>
                    <w:pStyle w:val="22"/>
                    <w:bidi w:val="0"/>
                    <w:rPr>
                      <w:rFonts w:hint="default"/>
                      <w:lang w:val="en-US" w:eastAsia="zh-CN"/>
                    </w:rPr>
                  </w:pPr>
                </w:p>
              </w:tc>
              <w:tc>
                <w:tcPr>
                  <w:tcW w:w="667" w:type="pct"/>
                  <w:vMerge w:val="continue"/>
                  <w:noWrap w:val="0"/>
                  <w:vAlign w:val="top"/>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noWrap w:val="0"/>
                  <w:vAlign w:val="top"/>
                </w:tcPr>
                <w:p>
                  <w:pPr>
                    <w:pStyle w:val="22"/>
                    <w:bidi w:val="0"/>
                    <w:rPr>
                      <w:rFonts w:hint="default"/>
                      <w:lang w:val="en-US" w:eastAsia="zh-CN"/>
                    </w:rPr>
                  </w:pPr>
                  <w:r>
                    <w:rPr>
                      <w:rFonts w:hint="eastAsia"/>
                      <w:lang w:val="en-US" w:eastAsia="zh-CN"/>
                    </w:rPr>
                    <w:t>生产废水</w:t>
                  </w:r>
                </w:p>
              </w:tc>
              <w:tc>
                <w:tcPr>
                  <w:tcW w:w="592" w:type="pct"/>
                  <w:noWrap w:val="0"/>
                  <w:vAlign w:val="top"/>
                </w:tcPr>
                <w:p>
                  <w:pPr>
                    <w:pStyle w:val="22"/>
                    <w:bidi w:val="0"/>
                    <w:rPr>
                      <w:rFonts w:hint="default"/>
                      <w:lang w:val="en-US" w:eastAsia="zh-CN"/>
                    </w:rPr>
                  </w:pPr>
                  <w:r>
                    <w:rPr>
                      <w:rFonts w:hint="default"/>
                      <w:lang w:val="en-US" w:eastAsia="zh-CN"/>
                    </w:rPr>
                    <w:t>pH值、悬浮物、化学需氧量、五日生化需氧量、氨氮、总磷、总氮、石油类、LAS</w:t>
                  </w:r>
                </w:p>
              </w:tc>
              <w:tc>
                <w:tcPr>
                  <w:tcW w:w="388" w:type="pct"/>
                  <w:vMerge w:val="restart"/>
                  <w:noWrap w:val="0"/>
                  <w:vAlign w:val="top"/>
                </w:tcPr>
                <w:p>
                  <w:pPr>
                    <w:pStyle w:val="22"/>
                    <w:bidi w:val="0"/>
                    <w:rPr>
                      <w:rFonts w:hint="default"/>
                      <w:lang w:val="en-US" w:eastAsia="zh-CN"/>
                    </w:rPr>
                  </w:pPr>
                  <w:r>
                    <w:rPr>
                      <w:rFonts w:hint="eastAsia"/>
                      <w:lang w:val="en-US" w:eastAsia="zh-CN"/>
                    </w:rPr>
                    <w:t>进入园区污水处理厂</w:t>
                  </w:r>
                </w:p>
              </w:tc>
              <w:tc>
                <w:tcPr>
                  <w:tcW w:w="499" w:type="pct"/>
                  <w:vMerge w:val="restart"/>
                  <w:noWrap w:val="0"/>
                  <w:vAlign w:val="top"/>
                </w:tcPr>
                <w:p>
                  <w:pPr>
                    <w:pStyle w:val="22"/>
                    <w:bidi w:val="0"/>
                    <w:rPr>
                      <w:rFonts w:hint="default"/>
                      <w:lang w:val="en-US" w:eastAsia="zh-CN"/>
                    </w:rPr>
                  </w:pPr>
                  <w:r>
                    <w:rPr>
                      <w:rFonts w:hint="default"/>
                      <w:lang w:val="en-US" w:eastAsia="zh-CN"/>
                    </w:rPr>
                    <w:t>间断排放</w:t>
                  </w:r>
                  <w:r>
                    <w:rPr>
                      <w:rFonts w:hint="eastAsia"/>
                      <w:lang w:val="en-US" w:eastAsia="zh-CN"/>
                    </w:rPr>
                    <w:t>，</w:t>
                  </w:r>
                  <w:r>
                    <w:rPr>
                      <w:rFonts w:hint="default"/>
                      <w:lang w:val="en-US" w:eastAsia="zh-CN"/>
                    </w:rPr>
                    <w:t>排放期间流量不稳定且无规律，但不属于冲击型排放</w:t>
                  </w:r>
                </w:p>
              </w:tc>
              <w:tc>
                <w:tcPr>
                  <w:tcW w:w="431" w:type="pct"/>
                  <w:noWrap w:val="0"/>
                  <w:vAlign w:val="top"/>
                </w:tcPr>
                <w:p>
                  <w:pPr>
                    <w:pStyle w:val="22"/>
                    <w:bidi w:val="0"/>
                    <w:rPr>
                      <w:rFonts w:hint="default"/>
                      <w:lang w:val="en-US" w:eastAsia="zh-CN"/>
                    </w:rPr>
                  </w:pPr>
                  <w:r>
                    <w:rPr>
                      <w:rFonts w:hint="eastAsia"/>
                      <w:lang w:val="en-US" w:eastAsia="zh-CN"/>
                    </w:rPr>
                    <w:t>TW001</w:t>
                  </w:r>
                </w:p>
              </w:tc>
              <w:tc>
                <w:tcPr>
                  <w:tcW w:w="440" w:type="pct"/>
                  <w:noWrap w:val="0"/>
                  <w:vAlign w:val="top"/>
                </w:tcPr>
                <w:p>
                  <w:pPr>
                    <w:pStyle w:val="22"/>
                    <w:bidi w:val="0"/>
                    <w:rPr>
                      <w:rFonts w:hint="default"/>
                      <w:lang w:val="en-US" w:eastAsia="zh-CN"/>
                    </w:rPr>
                  </w:pPr>
                  <w:r>
                    <w:rPr>
                      <w:rFonts w:hint="eastAsia"/>
                      <w:lang w:val="en-US" w:eastAsia="zh-CN"/>
                    </w:rPr>
                    <w:t>一体化污水处理设施</w:t>
                  </w:r>
                </w:p>
              </w:tc>
              <w:tc>
                <w:tcPr>
                  <w:tcW w:w="477" w:type="pct"/>
                  <w:noWrap w:val="0"/>
                  <w:vAlign w:val="top"/>
                </w:tcPr>
                <w:p>
                  <w:pPr>
                    <w:pStyle w:val="22"/>
                    <w:bidi w:val="0"/>
                    <w:rPr>
                      <w:rFonts w:hint="default"/>
                      <w:lang w:val="en-US" w:eastAsia="zh-CN"/>
                    </w:rPr>
                  </w:pPr>
                  <w:r>
                    <w:rPr>
                      <w:rFonts w:hint="eastAsia"/>
                      <w:lang w:val="en-US" w:eastAsia="zh-CN"/>
                    </w:rPr>
                    <w:t>格栅-气浮-厌氧池-缺氧池-好氧池-MBR膜</w:t>
                  </w:r>
                </w:p>
              </w:tc>
              <w:tc>
                <w:tcPr>
                  <w:tcW w:w="434" w:type="pct"/>
                  <w:noWrap w:val="0"/>
                  <w:vAlign w:val="top"/>
                </w:tcPr>
                <w:p>
                  <w:pPr>
                    <w:pStyle w:val="22"/>
                    <w:bidi w:val="0"/>
                    <w:rPr>
                      <w:rFonts w:hint="default"/>
                      <w:lang w:val="en-US" w:eastAsia="zh-CN"/>
                    </w:rPr>
                  </w:pPr>
                  <w:r>
                    <w:rPr>
                      <w:rFonts w:hint="eastAsia"/>
                      <w:lang w:val="en-US" w:eastAsia="zh-CN"/>
                    </w:rPr>
                    <w:t>DW001</w:t>
                  </w:r>
                </w:p>
              </w:tc>
              <w:tc>
                <w:tcPr>
                  <w:tcW w:w="549" w:type="pct"/>
                  <w:noWrap w:val="0"/>
                  <w:vAlign w:val="top"/>
                </w:tcPr>
                <w:p>
                  <w:pPr>
                    <w:pStyle w:val="22"/>
                    <w:bidi w:val="0"/>
                    <w:rPr>
                      <w:rFonts w:hint="eastAsia"/>
                      <w:lang w:val="en-US" w:eastAsia="zh-CN"/>
                    </w:rPr>
                  </w:pPr>
                  <w:r>
                    <w:rPr>
                      <w:rFonts w:hint="eastAsia"/>
                      <w:lang w:val="en-US" w:eastAsia="zh-CN"/>
                    </w:rPr>
                    <w:sym w:font="Wingdings 2" w:char="0052"/>
                  </w:r>
                  <w:r>
                    <w:rPr>
                      <w:rFonts w:hint="eastAsia"/>
                      <w:lang w:val="en-US" w:eastAsia="zh-CN"/>
                    </w:rPr>
                    <w:t>是</w:t>
                  </w:r>
                </w:p>
                <w:p>
                  <w:pPr>
                    <w:pStyle w:val="22"/>
                    <w:bidi w:val="0"/>
                    <w:rPr>
                      <w:rFonts w:hint="default"/>
                      <w:lang w:val="en-US" w:eastAsia="zh-CN"/>
                    </w:rPr>
                  </w:pPr>
                  <w:r>
                    <w:rPr>
                      <w:rFonts w:hint="eastAsia"/>
                      <w:lang w:val="en-US" w:eastAsia="zh-CN"/>
                    </w:rPr>
                    <w:sym w:font="Wingdings 2" w:char="00A3"/>
                  </w:r>
                  <w:r>
                    <w:rPr>
                      <w:rFonts w:hint="eastAsia"/>
                      <w:lang w:val="en-US" w:eastAsia="zh-CN"/>
                    </w:rPr>
                    <w:t>否</w:t>
                  </w:r>
                </w:p>
              </w:tc>
              <w:tc>
                <w:tcPr>
                  <w:tcW w:w="667" w:type="pct"/>
                  <w:noWrap w:val="0"/>
                  <w:vAlign w:val="top"/>
                </w:tcPr>
                <w:p>
                  <w:pPr>
                    <w:pStyle w:val="22"/>
                    <w:bidi w:val="0"/>
                    <w:rPr>
                      <w:rFonts w:hint="eastAsia"/>
                      <w:lang w:val="en-US" w:eastAsia="zh-CN"/>
                    </w:rPr>
                  </w:pPr>
                  <w:r>
                    <w:rPr>
                      <w:rFonts w:hint="eastAsia"/>
                      <w:lang w:val="en-US" w:eastAsia="zh-CN"/>
                    </w:rPr>
                    <w:sym w:font="Wingdings 2" w:char="0052"/>
                  </w:r>
                  <w:r>
                    <w:rPr>
                      <w:rFonts w:hint="eastAsia"/>
                      <w:lang w:val="en-US" w:eastAsia="zh-CN"/>
                    </w:rPr>
                    <w:t>企业总排口</w:t>
                  </w:r>
                </w:p>
                <w:p>
                  <w:pPr>
                    <w:pStyle w:val="22"/>
                    <w:bidi w:val="0"/>
                    <w:rPr>
                      <w:rFonts w:hint="eastAsia"/>
                      <w:lang w:val="en-US" w:eastAsia="zh-CN"/>
                    </w:rPr>
                  </w:pPr>
                  <w:r>
                    <w:rPr>
                      <w:rFonts w:hint="eastAsia"/>
                      <w:lang w:val="en-US" w:eastAsia="zh-CN"/>
                    </w:rPr>
                    <w:sym w:font="Wingdings 2" w:char="0052"/>
                  </w:r>
                  <w:r>
                    <w:rPr>
                      <w:rFonts w:hint="eastAsia"/>
                      <w:lang w:val="en-US" w:eastAsia="zh-CN"/>
                    </w:rPr>
                    <w:t>初期雨水排放口</w:t>
                  </w:r>
                </w:p>
                <w:p>
                  <w:pPr>
                    <w:pStyle w:val="22"/>
                    <w:bidi w:val="0"/>
                    <w:rPr>
                      <w:rFonts w:hint="eastAsia"/>
                      <w:lang w:val="en-US" w:eastAsia="zh-CN"/>
                    </w:rPr>
                  </w:pPr>
                  <w:r>
                    <w:rPr>
                      <w:rFonts w:hint="eastAsia"/>
                      <w:lang w:val="en-US" w:eastAsia="zh-CN"/>
                    </w:rPr>
                    <w:sym w:font="Wingdings 2" w:char="0052"/>
                  </w:r>
                  <w:r>
                    <w:rPr>
                      <w:rFonts w:hint="eastAsia"/>
                      <w:lang w:val="en-US" w:eastAsia="zh-CN"/>
                    </w:rPr>
                    <w:t>清净下水排放口</w:t>
                  </w:r>
                </w:p>
                <w:p>
                  <w:pPr>
                    <w:pStyle w:val="22"/>
                    <w:bidi w:val="0"/>
                    <w:rPr>
                      <w:rFonts w:hint="eastAsia"/>
                      <w:lang w:val="en-US" w:eastAsia="zh-CN"/>
                    </w:rPr>
                  </w:pPr>
                  <w:r>
                    <w:rPr>
                      <w:rFonts w:hint="eastAsia"/>
                      <w:lang w:val="en-US" w:eastAsia="zh-CN"/>
                    </w:rPr>
                    <w:sym w:font="Wingdings 2" w:char="0052"/>
                  </w:r>
                  <w:r>
                    <w:rPr>
                      <w:rFonts w:hint="eastAsia"/>
                      <w:lang w:val="en-US" w:eastAsia="zh-CN"/>
                    </w:rPr>
                    <w:t>温排水排放口</w:t>
                  </w:r>
                </w:p>
                <w:p>
                  <w:pPr>
                    <w:pStyle w:val="22"/>
                    <w:bidi w:val="0"/>
                    <w:rPr>
                      <w:rFonts w:hint="default"/>
                      <w:lang w:val="en-US" w:eastAsia="zh-CN"/>
                    </w:rPr>
                  </w:pPr>
                  <w:r>
                    <w:rPr>
                      <w:rFonts w:hint="eastAsia"/>
                      <w:lang w:val="en-US" w:eastAsia="zh-CN"/>
                    </w:rPr>
                    <w:sym w:font="Wingdings 2" w:char="0052"/>
                  </w:r>
                  <w:r>
                    <w:rPr>
                      <w:rFonts w:hint="eastAsia"/>
                      <w:lang w:val="en-US" w:eastAsia="zh-CN"/>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noWrap w:val="0"/>
                  <w:vAlign w:val="top"/>
                </w:tcPr>
                <w:p>
                  <w:pPr>
                    <w:pStyle w:val="22"/>
                    <w:bidi w:val="0"/>
                    <w:rPr>
                      <w:rFonts w:hint="default"/>
                      <w:lang w:val="en-US" w:eastAsia="zh-CN"/>
                    </w:rPr>
                  </w:pPr>
                  <w:r>
                    <w:rPr>
                      <w:rFonts w:hint="eastAsia"/>
                      <w:lang w:val="en-US" w:eastAsia="zh-CN"/>
                    </w:rPr>
                    <w:t>消防站生活污水</w:t>
                  </w:r>
                </w:p>
              </w:tc>
              <w:tc>
                <w:tcPr>
                  <w:tcW w:w="592" w:type="pct"/>
                  <w:vMerge w:val="restart"/>
                  <w:noWrap w:val="0"/>
                  <w:vAlign w:val="top"/>
                </w:tcPr>
                <w:p>
                  <w:pPr>
                    <w:pStyle w:val="22"/>
                    <w:bidi w:val="0"/>
                    <w:rPr>
                      <w:rFonts w:hint="default"/>
                      <w:lang w:val="en-US" w:eastAsia="zh-CN"/>
                    </w:rPr>
                  </w:pPr>
                  <w:r>
                    <w:rPr>
                      <w:rFonts w:hint="default"/>
                      <w:lang w:val="en-US" w:eastAsia="zh-CN"/>
                    </w:rPr>
                    <w:t>化学需氧量、五日生化需氧量、氨氮、动植物油</w:t>
                  </w:r>
                </w:p>
              </w:tc>
              <w:tc>
                <w:tcPr>
                  <w:tcW w:w="388" w:type="pct"/>
                  <w:vMerge w:val="continue"/>
                  <w:noWrap w:val="0"/>
                  <w:vAlign w:val="top"/>
                </w:tcPr>
                <w:p>
                  <w:pPr>
                    <w:pStyle w:val="22"/>
                    <w:bidi w:val="0"/>
                    <w:rPr>
                      <w:rFonts w:hint="default"/>
                      <w:lang w:val="en-US" w:eastAsia="zh-CN"/>
                    </w:rPr>
                  </w:pPr>
                </w:p>
              </w:tc>
              <w:tc>
                <w:tcPr>
                  <w:tcW w:w="499" w:type="pct"/>
                  <w:vMerge w:val="continue"/>
                  <w:noWrap w:val="0"/>
                  <w:vAlign w:val="top"/>
                </w:tcPr>
                <w:p>
                  <w:pPr>
                    <w:pStyle w:val="22"/>
                    <w:bidi w:val="0"/>
                    <w:rPr>
                      <w:rFonts w:hint="default"/>
                      <w:lang w:val="en-US" w:eastAsia="zh-CN"/>
                    </w:rPr>
                  </w:pPr>
                </w:p>
              </w:tc>
              <w:tc>
                <w:tcPr>
                  <w:tcW w:w="431" w:type="pct"/>
                  <w:noWrap w:val="0"/>
                  <w:vAlign w:val="top"/>
                </w:tcPr>
                <w:p>
                  <w:pPr>
                    <w:pStyle w:val="22"/>
                    <w:bidi w:val="0"/>
                    <w:rPr>
                      <w:rFonts w:hint="default"/>
                      <w:lang w:val="en-US" w:eastAsia="zh-CN"/>
                    </w:rPr>
                  </w:pPr>
                  <w:r>
                    <w:rPr>
                      <w:rFonts w:hint="eastAsia"/>
                      <w:lang w:val="en-US" w:eastAsia="zh-CN"/>
                    </w:rPr>
                    <w:t>TW003</w:t>
                  </w:r>
                </w:p>
              </w:tc>
              <w:tc>
                <w:tcPr>
                  <w:tcW w:w="440" w:type="pct"/>
                  <w:noWrap w:val="0"/>
                  <w:vAlign w:val="top"/>
                </w:tcPr>
                <w:p>
                  <w:pPr>
                    <w:pStyle w:val="22"/>
                    <w:bidi w:val="0"/>
                    <w:rPr>
                      <w:rFonts w:hint="default"/>
                      <w:lang w:val="en-US" w:eastAsia="zh-CN"/>
                    </w:rPr>
                  </w:pPr>
                  <w:r>
                    <w:rPr>
                      <w:rFonts w:hint="eastAsia"/>
                      <w:lang w:val="en-US" w:eastAsia="zh-CN"/>
                    </w:rPr>
                    <w:t>预处理池</w:t>
                  </w:r>
                </w:p>
              </w:tc>
              <w:tc>
                <w:tcPr>
                  <w:tcW w:w="477" w:type="pct"/>
                  <w:noWrap w:val="0"/>
                  <w:vAlign w:val="top"/>
                </w:tcPr>
                <w:p>
                  <w:pPr>
                    <w:pStyle w:val="22"/>
                    <w:bidi w:val="0"/>
                    <w:rPr>
                      <w:rFonts w:hint="default"/>
                      <w:lang w:val="en-US" w:eastAsia="zh-CN"/>
                    </w:rPr>
                  </w:pPr>
                  <w:r>
                    <w:rPr>
                      <w:rFonts w:hint="eastAsia"/>
                      <w:lang w:val="en-US" w:eastAsia="zh-CN"/>
                    </w:rPr>
                    <w:t>厌氧、沉淀过滤</w:t>
                  </w:r>
                </w:p>
              </w:tc>
              <w:tc>
                <w:tcPr>
                  <w:tcW w:w="434" w:type="pct"/>
                  <w:noWrap w:val="0"/>
                  <w:vAlign w:val="top"/>
                </w:tcPr>
                <w:p>
                  <w:pPr>
                    <w:pStyle w:val="22"/>
                    <w:bidi w:val="0"/>
                    <w:rPr>
                      <w:rFonts w:hint="default"/>
                      <w:lang w:val="en-US" w:eastAsia="zh-CN"/>
                    </w:rPr>
                  </w:pPr>
                  <w:r>
                    <w:rPr>
                      <w:rFonts w:hint="eastAsia"/>
                      <w:lang w:val="en-US" w:eastAsia="zh-CN"/>
                    </w:rPr>
                    <w:t>DW002</w:t>
                  </w:r>
                </w:p>
              </w:tc>
              <w:tc>
                <w:tcPr>
                  <w:tcW w:w="549" w:type="pct"/>
                  <w:noWrap w:val="0"/>
                  <w:vAlign w:val="top"/>
                </w:tcPr>
                <w:p>
                  <w:pPr>
                    <w:pStyle w:val="22"/>
                    <w:bidi w:val="0"/>
                    <w:rPr>
                      <w:rFonts w:hint="eastAsia"/>
                      <w:lang w:val="en-US" w:eastAsia="zh-CN"/>
                    </w:rPr>
                  </w:pPr>
                  <w:r>
                    <w:rPr>
                      <w:rFonts w:hint="eastAsia"/>
                      <w:lang w:val="en-US" w:eastAsia="zh-CN"/>
                    </w:rPr>
                    <w:sym w:font="Wingdings 2" w:char="0052"/>
                  </w:r>
                  <w:r>
                    <w:rPr>
                      <w:rFonts w:hint="eastAsia"/>
                      <w:lang w:val="en-US" w:eastAsia="zh-CN"/>
                    </w:rPr>
                    <w:t>是</w:t>
                  </w:r>
                </w:p>
                <w:p>
                  <w:pPr>
                    <w:pStyle w:val="22"/>
                    <w:bidi w:val="0"/>
                    <w:rPr>
                      <w:rFonts w:hint="default"/>
                      <w:lang w:val="en-US" w:eastAsia="zh-CN"/>
                    </w:rPr>
                  </w:pPr>
                  <w:r>
                    <w:rPr>
                      <w:rFonts w:hint="eastAsia"/>
                      <w:lang w:val="en-US" w:eastAsia="zh-CN"/>
                    </w:rPr>
                    <w:sym w:font="Wingdings 2" w:char="00A3"/>
                  </w:r>
                  <w:r>
                    <w:rPr>
                      <w:rFonts w:hint="eastAsia"/>
                      <w:lang w:val="en-US" w:eastAsia="zh-CN"/>
                    </w:rPr>
                    <w:t>否</w:t>
                  </w:r>
                </w:p>
              </w:tc>
              <w:tc>
                <w:tcPr>
                  <w:tcW w:w="667" w:type="pct"/>
                  <w:noWrap w:val="0"/>
                  <w:vAlign w:val="top"/>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noWrap w:val="0"/>
                  <w:vAlign w:val="top"/>
                </w:tcPr>
                <w:p>
                  <w:pPr>
                    <w:pStyle w:val="22"/>
                    <w:bidi w:val="0"/>
                    <w:rPr>
                      <w:rFonts w:hint="default"/>
                      <w:lang w:val="en-US" w:eastAsia="zh-CN"/>
                    </w:rPr>
                  </w:pPr>
                  <w:r>
                    <w:rPr>
                      <w:rFonts w:hint="eastAsia"/>
                      <w:lang w:val="en-US" w:eastAsia="zh-CN"/>
                    </w:rPr>
                    <w:t>停车场生活污水</w:t>
                  </w:r>
                </w:p>
              </w:tc>
              <w:tc>
                <w:tcPr>
                  <w:tcW w:w="592" w:type="pct"/>
                  <w:vMerge w:val="continue"/>
                  <w:noWrap w:val="0"/>
                  <w:vAlign w:val="top"/>
                </w:tcPr>
                <w:p>
                  <w:pPr>
                    <w:pStyle w:val="22"/>
                    <w:bidi w:val="0"/>
                    <w:rPr>
                      <w:rFonts w:hint="default"/>
                      <w:lang w:val="en-US" w:eastAsia="zh-CN"/>
                    </w:rPr>
                  </w:pPr>
                </w:p>
              </w:tc>
              <w:tc>
                <w:tcPr>
                  <w:tcW w:w="388" w:type="pct"/>
                  <w:vMerge w:val="continue"/>
                  <w:noWrap w:val="0"/>
                  <w:vAlign w:val="top"/>
                </w:tcPr>
                <w:p>
                  <w:pPr>
                    <w:pStyle w:val="22"/>
                    <w:bidi w:val="0"/>
                    <w:rPr>
                      <w:rFonts w:hint="default"/>
                      <w:lang w:val="en-US" w:eastAsia="zh-CN"/>
                    </w:rPr>
                  </w:pPr>
                </w:p>
              </w:tc>
              <w:tc>
                <w:tcPr>
                  <w:tcW w:w="499" w:type="pct"/>
                  <w:vMerge w:val="continue"/>
                  <w:noWrap w:val="0"/>
                  <w:vAlign w:val="top"/>
                </w:tcPr>
                <w:p>
                  <w:pPr>
                    <w:pStyle w:val="22"/>
                    <w:bidi w:val="0"/>
                    <w:rPr>
                      <w:rFonts w:hint="default"/>
                      <w:lang w:val="en-US" w:eastAsia="zh-CN"/>
                    </w:rPr>
                  </w:pPr>
                </w:p>
              </w:tc>
              <w:tc>
                <w:tcPr>
                  <w:tcW w:w="431" w:type="pct"/>
                  <w:noWrap w:val="0"/>
                  <w:vAlign w:val="top"/>
                </w:tcPr>
                <w:p>
                  <w:pPr>
                    <w:pStyle w:val="22"/>
                    <w:bidi w:val="0"/>
                    <w:rPr>
                      <w:rFonts w:hint="eastAsia"/>
                      <w:lang w:val="en-US" w:eastAsia="zh-CN"/>
                    </w:rPr>
                  </w:pPr>
                  <w:r>
                    <w:rPr>
                      <w:rFonts w:hint="eastAsia"/>
                      <w:lang w:val="en-US" w:eastAsia="zh-CN"/>
                    </w:rPr>
                    <w:t>TW002</w:t>
                  </w:r>
                </w:p>
              </w:tc>
              <w:tc>
                <w:tcPr>
                  <w:tcW w:w="440" w:type="pct"/>
                  <w:noWrap w:val="0"/>
                  <w:vAlign w:val="top"/>
                </w:tcPr>
                <w:p>
                  <w:pPr>
                    <w:pStyle w:val="22"/>
                    <w:bidi w:val="0"/>
                    <w:rPr>
                      <w:rFonts w:hint="eastAsia"/>
                      <w:lang w:val="en-US" w:eastAsia="zh-CN"/>
                    </w:rPr>
                  </w:pPr>
                  <w:r>
                    <w:rPr>
                      <w:rFonts w:hint="eastAsia"/>
                      <w:lang w:val="en-US" w:eastAsia="zh-CN"/>
                    </w:rPr>
                    <w:t>预处理池</w:t>
                  </w:r>
                </w:p>
              </w:tc>
              <w:tc>
                <w:tcPr>
                  <w:tcW w:w="477" w:type="pct"/>
                  <w:noWrap w:val="0"/>
                  <w:vAlign w:val="top"/>
                </w:tcPr>
                <w:p>
                  <w:pPr>
                    <w:pStyle w:val="22"/>
                    <w:bidi w:val="0"/>
                    <w:rPr>
                      <w:rFonts w:hint="eastAsia"/>
                      <w:lang w:val="en-US" w:eastAsia="zh-CN"/>
                    </w:rPr>
                  </w:pPr>
                  <w:r>
                    <w:rPr>
                      <w:rFonts w:hint="eastAsia"/>
                      <w:lang w:val="en-US" w:eastAsia="zh-CN"/>
                    </w:rPr>
                    <w:t>厌氧、沉淀过滤</w:t>
                  </w:r>
                </w:p>
              </w:tc>
              <w:tc>
                <w:tcPr>
                  <w:tcW w:w="434" w:type="pct"/>
                  <w:noWrap w:val="0"/>
                  <w:vAlign w:val="top"/>
                </w:tcPr>
                <w:p>
                  <w:pPr>
                    <w:pStyle w:val="22"/>
                    <w:bidi w:val="0"/>
                    <w:rPr>
                      <w:rFonts w:hint="eastAsia"/>
                      <w:lang w:val="en-US" w:eastAsia="zh-CN"/>
                    </w:rPr>
                  </w:pPr>
                  <w:r>
                    <w:rPr>
                      <w:rFonts w:hint="eastAsia"/>
                      <w:lang w:val="en-US" w:eastAsia="zh-CN"/>
                    </w:rPr>
                    <w:t>DW001</w:t>
                  </w:r>
                </w:p>
              </w:tc>
              <w:tc>
                <w:tcPr>
                  <w:tcW w:w="549" w:type="pct"/>
                  <w:noWrap w:val="0"/>
                  <w:vAlign w:val="top"/>
                </w:tcPr>
                <w:p>
                  <w:pPr>
                    <w:pStyle w:val="22"/>
                    <w:bidi w:val="0"/>
                    <w:rPr>
                      <w:rFonts w:hint="eastAsia"/>
                      <w:lang w:val="en-US" w:eastAsia="zh-CN"/>
                    </w:rPr>
                  </w:pPr>
                  <w:r>
                    <w:rPr>
                      <w:rFonts w:hint="eastAsia"/>
                      <w:lang w:val="en-US" w:eastAsia="zh-CN"/>
                    </w:rPr>
                    <w:sym w:font="Wingdings 2" w:char="0052"/>
                  </w:r>
                  <w:r>
                    <w:rPr>
                      <w:rFonts w:hint="eastAsia"/>
                      <w:lang w:val="en-US" w:eastAsia="zh-CN"/>
                    </w:rPr>
                    <w:t>是</w:t>
                  </w:r>
                </w:p>
                <w:p>
                  <w:pPr>
                    <w:pStyle w:val="22"/>
                    <w:bidi w:val="0"/>
                    <w:rPr>
                      <w:rFonts w:hint="eastAsia"/>
                      <w:lang w:val="en-US" w:eastAsia="zh-CN"/>
                    </w:rPr>
                  </w:pPr>
                  <w:r>
                    <w:rPr>
                      <w:rFonts w:hint="eastAsia"/>
                      <w:lang w:val="en-US" w:eastAsia="zh-CN"/>
                    </w:rPr>
                    <w:sym w:font="Wingdings 2" w:char="00A3"/>
                  </w:r>
                  <w:r>
                    <w:rPr>
                      <w:rFonts w:hint="eastAsia"/>
                      <w:lang w:val="en-US" w:eastAsia="zh-CN"/>
                    </w:rPr>
                    <w:t>否</w:t>
                  </w:r>
                </w:p>
              </w:tc>
              <w:tc>
                <w:tcPr>
                  <w:tcW w:w="667" w:type="pct"/>
                  <w:noWrap w:val="0"/>
                  <w:vAlign w:val="top"/>
                </w:tcPr>
                <w:p>
                  <w:pPr>
                    <w:pStyle w:val="22"/>
                    <w:bidi w:val="0"/>
                    <w:rPr>
                      <w:rFonts w:hint="default"/>
                      <w:lang w:val="en-US" w:eastAsia="zh-CN"/>
                    </w:rPr>
                  </w:pPr>
                  <w:r>
                    <w:rPr>
                      <w:rFonts w:hint="eastAsia"/>
                      <w:lang w:val="en-US" w:eastAsia="zh-CN"/>
                    </w:rPr>
                    <w:t>/</w:t>
                  </w:r>
                </w:p>
              </w:tc>
            </w:tr>
          </w:tbl>
          <w:p>
            <w:pPr>
              <w:pStyle w:val="26"/>
              <w:bidi w:val="0"/>
              <w:rPr>
                <w:rFonts w:hint="default"/>
                <w:lang w:val="en-US" w:eastAsia="zh-CN"/>
              </w:rPr>
            </w:pPr>
            <w:r>
              <w:rPr>
                <w:rFonts w:hint="default"/>
                <w:lang w:val="en-US" w:eastAsia="zh-CN"/>
              </w:rPr>
              <w:t>表 4.3-5 项目废水间接排放口基本情况表</w:t>
            </w:r>
          </w:p>
          <w:tbl>
            <w:tblPr>
              <w:tblStyle w:val="17"/>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115"/>
              <w:gridCol w:w="890"/>
              <w:gridCol w:w="644"/>
              <w:gridCol w:w="995"/>
              <w:gridCol w:w="771"/>
              <w:gridCol w:w="883"/>
              <w:gridCol w:w="883"/>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82"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排放口编号</w:t>
                  </w:r>
                </w:p>
              </w:tc>
              <w:tc>
                <w:tcPr>
                  <w:tcW w:w="1115"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地理坐标</w:t>
                  </w:r>
                </w:p>
              </w:tc>
              <w:tc>
                <w:tcPr>
                  <w:tcW w:w="890"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排放量</w:t>
                  </w:r>
                  <w:r>
                    <w:rPr>
                      <w:rFonts w:hint="eastAsia" w:ascii="Times New Roman" w:hAnsi="Times New Roman" w:cs="Times New Roman"/>
                      <w:lang w:val="en-US" w:eastAsia="zh-CN"/>
                    </w:rPr>
                    <w:t>t/a</w:t>
                  </w:r>
                </w:p>
              </w:tc>
              <w:tc>
                <w:tcPr>
                  <w:tcW w:w="644"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排放去向</w:t>
                  </w:r>
                </w:p>
              </w:tc>
              <w:tc>
                <w:tcPr>
                  <w:tcW w:w="995"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排放规律</w:t>
                  </w:r>
                </w:p>
              </w:tc>
              <w:tc>
                <w:tcPr>
                  <w:tcW w:w="771"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排放时段</w:t>
                  </w:r>
                </w:p>
              </w:tc>
              <w:tc>
                <w:tcPr>
                  <w:tcW w:w="2649" w:type="dxa"/>
                  <w:gridSpan w:val="3"/>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收纳污水厂信息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restart"/>
                  <w:noWrap w:val="0"/>
                  <w:vAlign w:val="center"/>
                </w:tcPr>
                <w:p>
                  <w:pPr>
                    <w:pStyle w:val="28"/>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DW001</w:t>
                  </w:r>
                </w:p>
              </w:tc>
              <w:tc>
                <w:tcPr>
                  <w:tcW w:w="1115" w:type="dxa"/>
                  <w:vMerge w:val="restart"/>
                  <w:noWrap w:val="0"/>
                  <w:vAlign w:val="center"/>
                </w:tcPr>
                <w:p>
                  <w:pPr>
                    <w:pStyle w:val="28"/>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107.693051577,31.512997774</w:t>
                  </w:r>
                </w:p>
              </w:tc>
              <w:tc>
                <w:tcPr>
                  <w:tcW w:w="890" w:type="dxa"/>
                  <w:vMerge w:val="restart"/>
                  <w:noWrap w:val="0"/>
                  <w:vAlign w:val="center"/>
                </w:tcPr>
                <w:p>
                  <w:pPr>
                    <w:pStyle w:val="28"/>
                    <w:bidi w:val="0"/>
                    <w:jc w:val="center"/>
                    <w:rPr>
                      <w:rFonts w:hint="default" w:ascii="Times New Roman" w:hAnsi="Times New Roman" w:cs="Times New Roman"/>
                      <w:lang w:val="en-US" w:eastAsia="zh-CN"/>
                    </w:rPr>
                  </w:pPr>
                  <w:r>
                    <w:rPr>
                      <w:rFonts w:hint="eastAsia"/>
                      <w:lang w:val="en-US" w:eastAsia="zh-CN"/>
                    </w:rPr>
                    <w:t>4932</w:t>
                  </w:r>
                </w:p>
              </w:tc>
              <w:tc>
                <w:tcPr>
                  <w:tcW w:w="644"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进入污水处理厂</w:t>
                  </w:r>
                </w:p>
              </w:tc>
              <w:tc>
                <w:tcPr>
                  <w:tcW w:w="995"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间断排放，排放期间流量不稳定且无规律，但不属于冲击型排放</w:t>
                  </w:r>
                </w:p>
              </w:tc>
              <w:tc>
                <w:tcPr>
                  <w:tcW w:w="771"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83"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园区污水处理厂</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pH</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noWrap w:val="0"/>
                  <w:vAlign w:val="center"/>
                </w:tcPr>
                <w:p>
                  <w:pPr>
                    <w:pStyle w:val="28"/>
                    <w:bidi w:val="0"/>
                    <w:jc w:val="center"/>
                    <w:rPr>
                      <w:rFonts w:hint="default" w:ascii="Times New Roman" w:hAnsi="Times New Roman" w:cs="Times New Roman"/>
                      <w:color w:val="auto"/>
                      <w:lang w:val="en-US" w:eastAsia="zh-CN"/>
                    </w:rPr>
                  </w:pPr>
                </w:p>
              </w:tc>
              <w:tc>
                <w:tcPr>
                  <w:tcW w:w="1115" w:type="dxa"/>
                  <w:vMerge w:val="continue"/>
                  <w:noWrap w:val="0"/>
                  <w:vAlign w:val="center"/>
                </w:tcPr>
                <w:p>
                  <w:pPr>
                    <w:pStyle w:val="28"/>
                    <w:bidi w:val="0"/>
                    <w:jc w:val="center"/>
                    <w:rPr>
                      <w:rFonts w:hint="default" w:ascii="Times New Roman" w:hAnsi="Times New Roman" w:cs="Times New Roman"/>
                      <w:color w:val="auto"/>
                      <w:lang w:val="en-US" w:eastAsia="zh-CN"/>
                    </w:rPr>
                  </w:pPr>
                </w:p>
              </w:tc>
              <w:tc>
                <w:tcPr>
                  <w:tcW w:w="890" w:type="dxa"/>
                  <w:vMerge w:val="continue"/>
                  <w:noWrap w:val="0"/>
                  <w:vAlign w:val="center"/>
                </w:tcPr>
                <w:p>
                  <w:pPr>
                    <w:pStyle w:val="28"/>
                    <w:bidi w:val="0"/>
                    <w:jc w:val="center"/>
                    <w:rPr>
                      <w:rFonts w:hint="default" w:ascii="Times New Roman" w:hAnsi="Times New Roman" w:cs="Times New Roman"/>
                      <w:lang w:val="en-US" w:eastAsia="zh-CN"/>
                    </w:rPr>
                  </w:pPr>
                </w:p>
              </w:tc>
              <w:tc>
                <w:tcPr>
                  <w:tcW w:w="644" w:type="dxa"/>
                  <w:vMerge w:val="continue"/>
                  <w:noWrap w:val="0"/>
                  <w:vAlign w:val="center"/>
                </w:tcPr>
                <w:p>
                  <w:pPr>
                    <w:pStyle w:val="28"/>
                    <w:bidi w:val="0"/>
                    <w:jc w:val="center"/>
                    <w:rPr>
                      <w:rFonts w:hint="default" w:ascii="Times New Roman" w:hAnsi="Times New Roman" w:cs="Times New Roman"/>
                      <w:lang w:val="en-US" w:eastAsia="zh-CN"/>
                    </w:rPr>
                  </w:pPr>
                </w:p>
              </w:tc>
              <w:tc>
                <w:tcPr>
                  <w:tcW w:w="995" w:type="dxa"/>
                  <w:vMerge w:val="continue"/>
                  <w:noWrap w:val="0"/>
                  <w:vAlign w:val="center"/>
                </w:tcPr>
                <w:p>
                  <w:pPr>
                    <w:pStyle w:val="28"/>
                    <w:bidi w:val="0"/>
                    <w:jc w:val="center"/>
                    <w:rPr>
                      <w:rFonts w:hint="default" w:ascii="Times New Roman" w:hAnsi="Times New Roman" w:cs="Times New Roman"/>
                      <w:lang w:val="en-US" w:eastAsia="zh-CN"/>
                    </w:rPr>
                  </w:pPr>
                </w:p>
              </w:tc>
              <w:tc>
                <w:tcPr>
                  <w:tcW w:w="771"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COD</w:t>
                  </w:r>
                  <w:r>
                    <w:rPr>
                      <w:rFonts w:hint="default" w:ascii="Times New Roman" w:hAnsi="Times New Roman" w:cs="Times New Roman"/>
                      <w:vertAlign w:val="subscript"/>
                      <w:lang w:val="en-US" w:eastAsia="zh-CN"/>
                    </w:rPr>
                    <w:t>Cr</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noWrap w:val="0"/>
                  <w:vAlign w:val="center"/>
                </w:tcPr>
                <w:p>
                  <w:pPr>
                    <w:pStyle w:val="28"/>
                    <w:bidi w:val="0"/>
                    <w:jc w:val="center"/>
                    <w:rPr>
                      <w:rFonts w:hint="default" w:ascii="Times New Roman" w:hAnsi="Times New Roman" w:cs="Times New Roman"/>
                      <w:color w:val="auto"/>
                      <w:lang w:val="en-US" w:eastAsia="zh-CN"/>
                    </w:rPr>
                  </w:pPr>
                </w:p>
              </w:tc>
              <w:tc>
                <w:tcPr>
                  <w:tcW w:w="1115" w:type="dxa"/>
                  <w:vMerge w:val="continue"/>
                  <w:noWrap w:val="0"/>
                  <w:vAlign w:val="center"/>
                </w:tcPr>
                <w:p>
                  <w:pPr>
                    <w:pStyle w:val="28"/>
                    <w:bidi w:val="0"/>
                    <w:jc w:val="center"/>
                    <w:rPr>
                      <w:rFonts w:hint="default" w:ascii="Times New Roman" w:hAnsi="Times New Roman" w:cs="Times New Roman"/>
                      <w:color w:val="auto"/>
                      <w:lang w:val="en-US" w:eastAsia="zh-CN"/>
                    </w:rPr>
                  </w:pPr>
                </w:p>
              </w:tc>
              <w:tc>
                <w:tcPr>
                  <w:tcW w:w="890" w:type="dxa"/>
                  <w:vMerge w:val="continue"/>
                  <w:noWrap w:val="0"/>
                  <w:vAlign w:val="center"/>
                </w:tcPr>
                <w:p>
                  <w:pPr>
                    <w:pStyle w:val="28"/>
                    <w:bidi w:val="0"/>
                    <w:jc w:val="center"/>
                    <w:rPr>
                      <w:rFonts w:hint="default" w:ascii="Times New Roman" w:hAnsi="Times New Roman" w:cs="Times New Roman"/>
                      <w:lang w:val="en-US" w:eastAsia="zh-CN"/>
                    </w:rPr>
                  </w:pPr>
                </w:p>
              </w:tc>
              <w:tc>
                <w:tcPr>
                  <w:tcW w:w="644" w:type="dxa"/>
                  <w:vMerge w:val="continue"/>
                  <w:noWrap w:val="0"/>
                  <w:vAlign w:val="center"/>
                </w:tcPr>
                <w:p>
                  <w:pPr>
                    <w:pStyle w:val="28"/>
                    <w:bidi w:val="0"/>
                    <w:jc w:val="center"/>
                    <w:rPr>
                      <w:rFonts w:hint="default" w:ascii="Times New Roman" w:hAnsi="Times New Roman" w:cs="Times New Roman"/>
                      <w:lang w:val="en-US" w:eastAsia="zh-CN"/>
                    </w:rPr>
                  </w:pPr>
                </w:p>
              </w:tc>
              <w:tc>
                <w:tcPr>
                  <w:tcW w:w="995" w:type="dxa"/>
                  <w:vMerge w:val="continue"/>
                  <w:noWrap w:val="0"/>
                  <w:vAlign w:val="center"/>
                </w:tcPr>
                <w:p>
                  <w:pPr>
                    <w:pStyle w:val="28"/>
                    <w:bidi w:val="0"/>
                    <w:jc w:val="center"/>
                    <w:rPr>
                      <w:rFonts w:hint="default" w:ascii="Times New Roman" w:hAnsi="Times New Roman" w:cs="Times New Roman"/>
                      <w:lang w:val="en-US" w:eastAsia="zh-CN"/>
                    </w:rPr>
                  </w:pPr>
                </w:p>
              </w:tc>
              <w:tc>
                <w:tcPr>
                  <w:tcW w:w="771"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noWrap w:val="0"/>
                  <w:vAlign w:val="center"/>
                </w:tcPr>
                <w:p>
                  <w:pPr>
                    <w:pStyle w:val="28"/>
                    <w:bidi w:val="0"/>
                    <w:ind w:firstLine="0" w:firstLineChars="0"/>
                    <w:jc w:val="center"/>
                    <w:rPr>
                      <w:rFonts w:hint="default" w:ascii="Times New Roman" w:hAnsi="Times New Roman" w:cs="Times New Roman"/>
                      <w:color w:val="auto"/>
                      <w:lang w:val="en-US" w:eastAsia="zh-CN"/>
                    </w:rPr>
                  </w:pPr>
                </w:p>
              </w:tc>
              <w:tc>
                <w:tcPr>
                  <w:tcW w:w="1115" w:type="dxa"/>
                  <w:vMerge w:val="continue"/>
                  <w:noWrap w:val="0"/>
                  <w:vAlign w:val="center"/>
                </w:tcPr>
                <w:p>
                  <w:pPr>
                    <w:pStyle w:val="28"/>
                    <w:bidi w:val="0"/>
                    <w:jc w:val="center"/>
                    <w:rPr>
                      <w:rFonts w:hint="default" w:ascii="Times New Roman" w:hAnsi="Times New Roman" w:cs="Times New Roman"/>
                      <w:color w:val="auto"/>
                      <w:lang w:val="en-US" w:eastAsia="zh-CN"/>
                    </w:rPr>
                  </w:pPr>
                </w:p>
              </w:tc>
              <w:tc>
                <w:tcPr>
                  <w:tcW w:w="890" w:type="dxa"/>
                  <w:vMerge w:val="continue"/>
                  <w:noWrap w:val="0"/>
                  <w:vAlign w:val="center"/>
                </w:tcPr>
                <w:p>
                  <w:pPr>
                    <w:pStyle w:val="28"/>
                    <w:bidi w:val="0"/>
                    <w:jc w:val="center"/>
                    <w:rPr>
                      <w:rFonts w:hint="default" w:ascii="Times New Roman" w:hAnsi="Times New Roman" w:cs="Times New Roman"/>
                      <w:lang w:val="en-US" w:eastAsia="zh-CN"/>
                    </w:rPr>
                  </w:pPr>
                </w:p>
              </w:tc>
              <w:tc>
                <w:tcPr>
                  <w:tcW w:w="644" w:type="dxa"/>
                  <w:vMerge w:val="continue"/>
                  <w:noWrap w:val="0"/>
                  <w:vAlign w:val="center"/>
                </w:tcPr>
                <w:p>
                  <w:pPr>
                    <w:pStyle w:val="28"/>
                    <w:bidi w:val="0"/>
                    <w:jc w:val="center"/>
                    <w:rPr>
                      <w:rFonts w:hint="default" w:ascii="Times New Roman" w:hAnsi="Times New Roman" w:cs="Times New Roman"/>
                      <w:lang w:val="en-US" w:eastAsia="zh-CN"/>
                    </w:rPr>
                  </w:pPr>
                </w:p>
              </w:tc>
              <w:tc>
                <w:tcPr>
                  <w:tcW w:w="995" w:type="dxa"/>
                  <w:vMerge w:val="continue"/>
                  <w:noWrap w:val="0"/>
                  <w:vAlign w:val="center"/>
                </w:tcPr>
                <w:p>
                  <w:pPr>
                    <w:pStyle w:val="28"/>
                    <w:bidi w:val="0"/>
                    <w:jc w:val="center"/>
                    <w:rPr>
                      <w:rFonts w:hint="default" w:ascii="Times New Roman" w:hAnsi="Times New Roman" w:cs="Times New Roman"/>
                      <w:lang w:val="en-US" w:eastAsia="zh-CN"/>
                    </w:rPr>
                  </w:pPr>
                </w:p>
              </w:tc>
              <w:tc>
                <w:tcPr>
                  <w:tcW w:w="771"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SS</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noWrap w:val="0"/>
                  <w:vAlign w:val="center"/>
                </w:tcPr>
                <w:p>
                  <w:pPr>
                    <w:pStyle w:val="28"/>
                    <w:bidi w:val="0"/>
                    <w:ind w:firstLine="0" w:firstLineChars="0"/>
                    <w:jc w:val="center"/>
                    <w:rPr>
                      <w:rFonts w:hint="default" w:ascii="Times New Roman" w:hAnsi="Times New Roman" w:cs="Times New Roman"/>
                      <w:color w:val="FF0000"/>
                      <w:lang w:val="en-US" w:eastAsia="zh-CN"/>
                    </w:rPr>
                  </w:pPr>
                </w:p>
              </w:tc>
              <w:tc>
                <w:tcPr>
                  <w:tcW w:w="1115" w:type="dxa"/>
                  <w:vMerge w:val="continue"/>
                  <w:noWrap w:val="0"/>
                  <w:vAlign w:val="center"/>
                </w:tcPr>
                <w:p>
                  <w:pPr>
                    <w:pStyle w:val="28"/>
                    <w:bidi w:val="0"/>
                    <w:jc w:val="center"/>
                    <w:rPr>
                      <w:rFonts w:hint="default" w:ascii="Times New Roman" w:hAnsi="Times New Roman" w:cs="Times New Roman"/>
                      <w:color w:val="FF0000"/>
                      <w:lang w:val="en-US" w:eastAsia="zh-CN"/>
                    </w:rPr>
                  </w:pPr>
                </w:p>
              </w:tc>
              <w:tc>
                <w:tcPr>
                  <w:tcW w:w="890" w:type="dxa"/>
                  <w:vMerge w:val="continue"/>
                  <w:noWrap w:val="0"/>
                  <w:vAlign w:val="center"/>
                </w:tcPr>
                <w:p>
                  <w:pPr>
                    <w:pStyle w:val="28"/>
                    <w:bidi w:val="0"/>
                    <w:jc w:val="center"/>
                    <w:rPr>
                      <w:rFonts w:hint="default" w:ascii="Times New Roman" w:hAnsi="Times New Roman" w:cs="Times New Roman"/>
                      <w:lang w:val="en-US" w:eastAsia="zh-CN"/>
                    </w:rPr>
                  </w:pPr>
                </w:p>
              </w:tc>
              <w:tc>
                <w:tcPr>
                  <w:tcW w:w="644" w:type="dxa"/>
                  <w:vMerge w:val="continue"/>
                  <w:noWrap w:val="0"/>
                  <w:vAlign w:val="center"/>
                </w:tcPr>
                <w:p>
                  <w:pPr>
                    <w:pStyle w:val="28"/>
                    <w:bidi w:val="0"/>
                    <w:jc w:val="center"/>
                    <w:rPr>
                      <w:rFonts w:hint="default" w:ascii="Times New Roman" w:hAnsi="Times New Roman" w:cs="Times New Roman"/>
                      <w:lang w:val="en-US" w:eastAsia="zh-CN"/>
                    </w:rPr>
                  </w:pPr>
                </w:p>
              </w:tc>
              <w:tc>
                <w:tcPr>
                  <w:tcW w:w="995" w:type="dxa"/>
                  <w:vMerge w:val="continue"/>
                  <w:noWrap w:val="0"/>
                  <w:vAlign w:val="center"/>
                </w:tcPr>
                <w:p>
                  <w:pPr>
                    <w:pStyle w:val="28"/>
                    <w:bidi w:val="0"/>
                    <w:jc w:val="center"/>
                    <w:rPr>
                      <w:rFonts w:hint="default" w:ascii="Times New Roman" w:hAnsi="Times New Roman" w:cs="Times New Roman"/>
                      <w:lang w:val="en-US" w:eastAsia="zh-CN"/>
                    </w:rPr>
                  </w:pPr>
                </w:p>
              </w:tc>
              <w:tc>
                <w:tcPr>
                  <w:tcW w:w="771"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石油类</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2" w:type="dxa"/>
                  <w:vMerge w:val="continue"/>
                  <w:noWrap w:val="0"/>
                  <w:vAlign w:val="center"/>
                </w:tcPr>
                <w:p>
                  <w:pPr>
                    <w:pStyle w:val="28"/>
                    <w:bidi w:val="0"/>
                    <w:ind w:firstLine="0" w:firstLineChars="0"/>
                    <w:jc w:val="center"/>
                    <w:rPr>
                      <w:rFonts w:hint="default" w:ascii="Times New Roman" w:hAnsi="Times New Roman" w:eastAsia="宋体" w:cs="Times New Roman"/>
                      <w:color w:val="FF0000"/>
                      <w:kern w:val="0"/>
                      <w:sz w:val="20"/>
                      <w:szCs w:val="24"/>
                      <w:lang w:val="en-US" w:eastAsia="zh-CN" w:bidi="ar-SA"/>
                    </w:rPr>
                  </w:pPr>
                </w:p>
              </w:tc>
              <w:tc>
                <w:tcPr>
                  <w:tcW w:w="1115" w:type="dxa"/>
                  <w:vMerge w:val="continue"/>
                  <w:noWrap w:val="0"/>
                  <w:vAlign w:val="center"/>
                </w:tcPr>
                <w:p>
                  <w:pPr>
                    <w:pStyle w:val="28"/>
                    <w:bidi w:val="0"/>
                    <w:jc w:val="center"/>
                    <w:rPr>
                      <w:rFonts w:hint="default" w:ascii="Times New Roman" w:hAnsi="Times New Roman" w:cs="Times New Roman"/>
                      <w:color w:val="FF0000"/>
                      <w:lang w:val="en-US" w:eastAsia="zh-CN"/>
                    </w:rPr>
                  </w:pPr>
                </w:p>
              </w:tc>
              <w:tc>
                <w:tcPr>
                  <w:tcW w:w="890" w:type="dxa"/>
                  <w:vMerge w:val="continue"/>
                  <w:noWrap w:val="0"/>
                  <w:vAlign w:val="center"/>
                </w:tcPr>
                <w:p>
                  <w:pPr>
                    <w:pStyle w:val="28"/>
                    <w:bidi w:val="0"/>
                    <w:jc w:val="center"/>
                    <w:rPr>
                      <w:rFonts w:hint="default" w:ascii="Times New Roman" w:hAnsi="Times New Roman" w:cs="Times New Roman"/>
                      <w:lang w:val="en-US" w:eastAsia="zh-CN"/>
                    </w:rPr>
                  </w:pPr>
                </w:p>
              </w:tc>
              <w:tc>
                <w:tcPr>
                  <w:tcW w:w="644" w:type="dxa"/>
                  <w:vMerge w:val="continue"/>
                  <w:noWrap w:val="0"/>
                  <w:vAlign w:val="center"/>
                </w:tcPr>
                <w:p>
                  <w:pPr>
                    <w:pStyle w:val="28"/>
                    <w:bidi w:val="0"/>
                    <w:jc w:val="center"/>
                    <w:rPr>
                      <w:rFonts w:hint="default" w:ascii="Times New Roman" w:hAnsi="Times New Roman" w:cs="Times New Roman"/>
                      <w:lang w:val="en-US" w:eastAsia="zh-CN"/>
                    </w:rPr>
                  </w:pPr>
                </w:p>
              </w:tc>
              <w:tc>
                <w:tcPr>
                  <w:tcW w:w="995" w:type="dxa"/>
                  <w:vMerge w:val="continue"/>
                  <w:noWrap w:val="0"/>
                  <w:vAlign w:val="center"/>
                </w:tcPr>
                <w:p>
                  <w:pPr>
                    <w:pStyle w:val="28"/>
                    <w:bidi w:val="0"/>
                    <w:jc w:val="center"/>
                    <w:rPr>
                      <w:rFonts w:hint="default" w:ascii="Times New Roman" w:hAnsi="Times New Roman" w:cs="Times New Roman"/>
                      <w:lang w:val="en-US" w:eastAsia="zh-CN"/>
                    </w:rPr>
                  </w:pPr>
                </w:p>
              </w:tc>
              <w:tc>
                <w:tcPr>
                  <w:tcW w:w="771"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氨氮</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restart"/>
                  <w:noWrap w:val="0"/>
                  <w:vAlign w:val="center"/>
                </w:tcPr>
                <w:p>
                  <w:pPr>
                    <w:pStyle w:val="28"/>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DW00</w:t>
                  </w:r>
                  <w:r>
                    <w:rPr>
                      <w:rFonts w:hint="eastAsia" w:cs="Times New Roman"/>
                      <w:color w:val="auto"/>
                      <w:lang w:val="en-US" w:eastAsia="zh-CN"/>
                    </w:rPr>
                    <w:t>2</w:t>
                  </w:r>
                </w:p>
              </w:tc>
              <w:tc>
                <w:tcPr>
                  <w:tcW w:w="1115" w:type="dxa"/>
                  <w:vMerge w:val="restart"/>
                  <w:noWrap w:val="0"/>
                  <w:vAlign w:val="center"/>
                </w:tcPr>
                <w:p>
                  <w:pPr>
                    <w:pStyle w:val="28"/>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eastAsia="宋体" w:cs="Times New Roman"/>
                      <w:color w:val="auto"/>
                      <w:kern w:val="0"/>
                      <w:sz w:val="20"/>
                      <w:szCs w:val="24"/>
                      <w:lang w:val="en-US" w:eastAsia="zh-CN" w:bidi="ar-SA"/>
                    </w:rPr>
                    <w:t>107.655524894,31.509429448</w:t>
                  </w:r>
                </w:p>
              </w:tc>
              <w:tc>
                <w:tcPr>
                  <w:tcW w:w="890" w:type="dxa"/>
                  <w:vMerge w:val="restart"/>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eastAsia" w:ascii="Times New Roman" w:hAnsi="Times New Roman" w:cs="Times New Roman"/>
                      <w:lang w:val="en-US" w:eastAsia="zh-CN"/>
                    </w:rPr>
                    <w:t>1949.4</w:t>
                  </w:r>
                </w:p>
              </w:tc>
              <w:tc>
                <w:tcPr>
                  <w:tcW w:w="644" w:type="dxa"/>
                  <w:vMerge w:val="continue"/>
                  <w:noWrap w:val="0"/>
                  <w:vAlign w:val="center"/>
                </w:tcPr>
                <w:p>
                  <w:pPr>
                    <w:pStyle w:val="28"/>
                    <w:bidi w:val="0"/>
                    <w:jc w:val="center"/>
                    <w:rPr>
                      <w:rFonts w:hint="default" w:ascii="Times New Roman" w:hAnsi="Times New Roman" w:cs="Times New Roman"/>
                      <w:lang w:val="en-US" w:eastAsia="zh-CN"/>
                    </w:rPr>
                  </w:pPr>
                </w:p>
              </w:tc>
              <w:tc>
                <w:tcPr>
                  <w:tcW w:w="995" w:type="dxa"/>
                  <w:vMerge w:val="continue"/>
                  <w:noWrap w:val="0"/>
                  <w:vAlign w:val="center"/>
                </w:tcPr>
                <w:p>
                  <w:pPr>
                    <w:pStyle w:val="28"/>
                    <w:bidi w:val="0"/>
                    <w:jc w:val="center"/>
                    <w:rPr>
                      <w:rFonts w:hint="default" w:ascii="Times New Roman" w:hAnsi="Times New Roman" w:cs="Times New Roman"/>
                      <w:lang w:val="en-US" w:eastAsia="zh-CN"/>
                    </w:rPr>
                  </w:pPr>
                </w:p>
              </w:tc>
              <w:tc>
                <w:tcPr>
                  <w:tcW w:w="771"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总磷</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noWrap w:val="0"/>
                  <w:vAlign w:val="center"/>
                </w:tcPr>
                <w:p>
                  <w:pPr>
                    <w:pStyle w:val="28"/>
                    <w:bidi w:val="0"/>
                    <w:jc w:val="center"/>
                    <w:rPr>
                      <w:rFonts w:hint="default" w:ascii="Times New Roman" w:hAnsi="Times New Roman" w:cs="Times New Roman"/>
                      <w:lang w:val="en-US" w:eastAsia="zh-CN"/>
                    </w:rPr>
                  </w:pPr>
                </w:p>
              </w:tc>
              <w:tc>
                <w:tcPr>
                  <w:tcW w:w="1115" w:type="dxa"/>
                  <w:vMerge w:val="continue"/>
                  <w:noWrap w:val="0"/>
                  <w:vAlign w:val="center"/>
                </w:tcPr>
                <w:p>
                  <w:pPr>
                    <w:pStyle w:val="28"/>
                    <w:bidi w:val="0"/>
                    <w:jc w:val="center"/>
                    <w:rPr>
                      <w:rFonts w:hint="default" w:ascii="Times New Roman" w:hAnsi="Times New Roman" w:cs="Times New Roman"/>
                      <w:lang w:val="en-US" w:eastAsia="zh-CN"/>
                    </w:rPr>
                  </w:pPr>
                </w:p>
              </w:tc>
              <w:tc>
                <w:tcPr>
                  <w:tcW w:w="890" w:type="dxa"/>
                  <w:vMerge w:val="continue"/>
                  <w:noWrap w:val="0"/>
                  <w:vAlign w:val="center"/>
                </w:tcPr>
                <w:p>
                  <w:pPr>
                    <w:pStyle w:val="28"/>
                    <w:bidi w:val="0"/>
                    <w:jc w:val="center"/>
                    <w:rPr>
                      <w:rFonts w:hint="default" w:ascii="Times New Roman" w:hAnsi="Times New Roman" w:cs="Times New Roman"/>
                      <w:lang w:val="en-US" w:eastAsia="zh-CN"/>
                    </w:rPr>
                  </w:pPr>
                </w:p>
              </w:tc>
              <w:tc>
                <w:tcPr>
                  <w:tcW w:w="644" w:type="dxa"/>
                  <w:vMerge w:val="continue"/>
                  <w:noWrap w:val="0"/>
                  <w:vAlign w:val="center"/>
                </w:tcPr>
                <w:p>
                  <w:pPr>
                    <w:pStyle w:val="28"/>
                    <w:bidi w:val="0"/>
                    <w:jc w:val="center"/>
                    <w:rPr>
                      <w:rFonts w:hint="default" w:ascii="Times New Roman" w:hAnsi="Times New Roman" w:cs="Times New Roman"/>
                      <w:lang w:val="en-US" w:eastAsia="zh-CN"/>
                    </w:rPr>
                  </w:pPr>
                </w:p>
              </w:tc>
              <w:tc>
                <w:tcPr>
                  <w:tcW w:w="995" w:type="dxa"/>
                  <w:vMerge w:val="continue"/>
                  <w:noWrap w:val="0"/>
                  <w:vAlign w:val="center"/>
                </w:tcPr>
                <w:p>
                  <w:pPr>
                    <w:pStyle w:val="28"/>
                    <w:bidi w:val="0"/>
                    <w:jc w:val="center"/>
                    <w:rPr>
                      <w:rFonts w:hint="default" w:ascii="Times New Roman" w:hAnsi="Times New Roman" w:cs="Times New Roman"/>
                      <w:lang w:val="en-US" w:eastAsia="zh-CN"/>
                    </w:rPr>
                  </w:pPr>
                </w:p>
              </w:tc>
              <w:tc>
                <w:tcPr>
                  <w:tcW w:w="771"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总氮</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 w:type="dxa"/>
                  <w:vMerge w:val="continue"/>
                  <w:noWrap w:val="0"/>
                  <w:vAlign w:val="center"/>
                </w:tcPr>
                <w:p>
                  <w:pPr>
                    <w:pStyle w:val="28"/>
                    <w:bidi w:val="0"/>
                    <w:jc w:val="center"/>
                    <w:rPr>
                      <w:rFonts w:hint="default" w:ascii="Times New Roman" w:hAnsi="Times New Roman" w:cs="Times New Roman"/>
                      <w:lang w:val="en-US" w:eastAsia="zh-CN"/>
                    </w:rPr>
                  </w:pPr>
                </w:p>
              </w:tc>
              <w:tc>
                <w:tcPr>
                  <w:tcW w:w="1115" w:type="dxa"/>
                  <w:vMerge w:val="continue"/>
                  <w:noWrap w:val="0"/>
                  <w:vAlign w:val="center"/>
                </w:tcPr>
                <w:p>
                  <w:pPr>
                    <w:pStyle w:val="28"/>
                    <w:bidi w:val="0"/>
                    <w:jc w:val="center"/>
                    <w:rPr>
                      <w:rFonts w:hint="default" w:ascii="Times New Roman" w:hAnsi="Times New Roman" w:cs="Times New Roman"/>
                      <w:lang w:val="en-US" w:eastAsia="zh-CN"/>
                    </w:rPr>
                  </w:pPr>
                </w:p>
              </w:tc>
              <w:tc>
                <w:tcPr>
                  <w:tcW w:w="890" w:type="dxa"/>
                  <w:vMerge w:val="continue"/>
                  <w:noWrap w:val="0"/>
                  <w:vAlign w:val="center"/>
                </w:tcPr>
                <w:p>
                  <w:pPr>
                    <w:pStyle w:val="28"/>
                    <w:bidi w:val="0"/>
                    <w:jc w:val="center"/>
                    <w:rPr>
                      <w:rFonts w:hint="default" w:ascii="Times New Roman" w:hAnsi="Times New Roman" w:cs="Times New Roman"/>
                      <w:lang w:val="en-US" w:eastAsia="zh-CN"/>
                    </w:rPr>
                  </w:pPr>
                </w:p>
              </w:tc>
              <w:tc>
                <w:tcPr>
                  <w:tcW w:w="644" w:type="dxa"/>
                  <w:vMerge w:val="continue"/>
                  <w:noWrap w:val="0"/>
                  <w:vAlign w:val="center"/>
                </w:tcPr>
                <w:p>
                  <w:pPr>
                    <w:pStyle w:val="28"/>
                    <w:bidi w:val="0"/>
                    <w:jc w:val="center"/>
                    <w:rPr>
                      <w:rFonts w:hint="default" w:ascii="Times New Roman" w:hAnsi="Times New Roman" w:cs="Times New Roman"/>
                      <w:lang w:val="en-US" w:eastAsia="zh-CN"/>
                    </w:rPr>
                  </w:pPr>
                </w:p>
              </w:tc>
              <w:tc>
                <w:tcPr>
                  <w:tcW w:w="995" w:type="dxa"/>
                  <w:vMerge w:val="continue"/>
                  <w:noWrap w:val="0"/>
                  <w:vAlign w:val="center"/>
                </w:tcPr>
                <w:p>
                  <w:pPr>
                    <w:pStyle w:val="28"/>
                    <w:bidi w:val="0"/>
                    <w:jc w:val="center"/>
                    <w:rPr>
                      <w:rFonts w:hint="default" w:ascii="Times New Roman" w:hAnsi="Times New Roman" w:cs="Times New Roman"/>
                      <w:lang w:val="en-US" w:eastAsia="zh-CN"/>
                    </w:rPr>
                  </w:pPr>
                </w:p>
              </w:tc>
              <w:tc>
                <w:tcPr>
                  <w:tcW w:w="771"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vMerge w:val="continue"/>
                  <w:noWrap w:val="0"/>
                  <w:vAlign w:val="center"/>
                </w:tcPr>
                <w:p>
                  <w:pPr>
                    <w:pStyle w:val="28"/>
                    <w:bidi w:val="0"/>
                    <w:jc w:val="center"/>
                    <w:rPr>
                      <w:rFonts w:hint="default" w:ascii="Times New Roman" w:hAnsi="Times New Roman" w:cs="Times New Roman"/>
                      <w:lang w:val="en-US" w:eastAsia="zh-CN"/>
                    </w:rPr>
                  </w:pP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LAS</w:t>
                  </w:r>
                </w:p>
              </w:tc>
              <w:tc>
                <w:tcPr>
                  <w:tcW w:w="883"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20</w:t>
                  </w:r>
                </w:p>
              </w:tc>
            </w:tr>
          </w:tbl>
          <w:p>
            <w:pPr>
              <w:pStyle w:val="26"/>
              <w:bidi w:val="0"/>
              <w:rPr>
                <w:rFonts w:hint="default"/>
                <w:lang w:val="en-US" w:eastAsia="zh-CN"/>
              </w:rPr>
            </w:pPr>
            <w:r>
              <w:rPr>
                <w:rFonts w:hint="default"/>
                <w:lang w:val="en-US" w:eastAsia="zh-CN"/>
              </w:rPr>
              <w:t>表 4.3-6 项目废水污染物排放执行标准表</w:t>
            </w:r>
          </w:p>
          <w:tbl>
            <w:tblPr>
              <w:tblStyle w:val="17"/>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1130"/>
              <w:gridCol w:w="3090"/>
              <w:gridCol w:w="1049"/>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47"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序号</w:t>
                  </w:r>
                </w:p>
              </w:tc>
              <w:tc>
                <w:tcPr>
                  <w:tcW w:w="1130"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排放口编号</w:t>
                  </w:r>
                </w:p>
              </w:tc>
              <w:tc>
                <w:tcPr>
                  <w:tcW w:w="3090"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污染物种类</w:t>
                  </w:r>
                </w:p>
              </w:tc>
              <w:tc>
                <w:tcPr>
                  <w:tcW w:w="3179" w:type="dxa"/>
                  <w:gridSpan w:val="2"/>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noWrap w:val="0"/>
                  <w:vAlign w:val="center"/>
                </w:tcPr>
                <w:p>
                  <w:pPr>
                    <w:pStyle w:val="28"/>
                    <w:bidi w:val="0"/>
                    <w:jc w:val="center"/>
                    <w:rPr>
                      <w:rFonts w:hint="default" w:ascii="Times New Roman" w:hAnsi="Times New Roman" w:cs="Times New Roman"/>
                      <w:lang w:val="en-US" w:eastAsia="zh-CN"/>
                    </w:rPr>
                  </w:pPr>
                </w:p>
              </w:tc>
              <w:tc>
                <w:tcPr>
                  <w:tcW w:w="1130" w:type="dxa"/>
                  <w:vMerge w:val="continue"/>
                  <w:noWrap w:val="0"/>
                  <w:vAlign w:val="center"/>
                </w:tcPr>
                <w:p>
                  <w:pPr>
                    <w:pStyle w:val="28"/>
                    <w:bidi w:val="0"/>
                    <w:jc w:val="center"/>
                    <w:rPr>
                      <w:rFonts w:hint="default" w:ascii="Times New Roman" w:hAnsi="Times New Roman" w:cs="Times New Roman"/>
                      <w:lang w:val="en-US" w:eastAsia="zh-CN"/>
                    </w:rPr>
                  </w:pPr>
                </w:p>
              </w:tc>
              <w:tc>
                <w:tcPr>
                  <w:tcW w:w="3090" w:type="dxa"/>
                  <w:vMerge w:val="continue"/>
                  <w:noWrap w:val="0"/>
                  <w:vAlign w:val="center"/>
                </w:tcPr>
                <w:p>
                  <w:pPr>
                    <w:pStyle w:val="28"/>
                    <w:bidi w:val="0"/>
                    <w:jc w:val="center"/>
                    <w:rPr>
                      <w:rFonts w:hint="default" w:ascii="Times New Roman" w:hAnsi="Times New Roman" w:cs="Times New Roman"/>
                      <w:lang w:val="en-US" w:eastAsia="zh-CN"/>
                    </w:rPr>
                  </w:pPr>
                </w:p>
              </w:tc>
              <w:tc>
                <w:tcPr>
                  <w:tcW w:w="1049"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名称</w:t>
                  </w:r>
                </w:p>
              </w:tc>
              <w:tc>
                <w:tcPr>
                  <w:tcW w:w="2130" w:type="dxa"/>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30"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DW001</w:t>
                  </w:r>
                  <w:r>
                    <w:rPr>
                      <w:rFonts w:hint="eastAsia" w:ascii="Times New Roman" w:hAnsi="Times New Roman" w:cs="Times New Roman"/>
                      <w:lang w:val="en-US" w:eastAsia="zh-CN"/>
                    </w:rPr>
                    <w:t>、DW002</w:t>
                  </w:r>
                </w:p>
              </w:tc>
              <w:tc>
                <w:tcPr>
                  <w:tcW w:w="309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pH</w:t>
                  </w:r>
                </w:p>
              </w:tc>
              <w:tc>
                <w:tcPr>
                  <w:tcW w:w="1049" w:type="dxa"/>
                  <w:vMerge w:val="restart"/>
                  <w:noWrap w:val="0"/>
                  <w:vAlign w:val="center"/>
                </w:tcPr>
                <w:p>
                  <w:pPr>
                    <w:pStyle w:val="28"/>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《污水综合排放标准》三级标准</w:t>
                  </w:r>
                </w:p>
              </w:tc>
              <w:tc>
                <w:tcPr>
                  <w:tcW w:w="213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noWrap w:val="0"/>
                  <w:vAlign w:val="center"/>
                </w:tcPr>
                <w:p>
                  <w:pPr>
                    <w:pStyle w:val="28"/>
                    <w:bidi w:val="0"/>
                    <w:jc w:val="center"/>
                    <w:rPr>
                      <w:rFonts w:hint="default" w:ascii="Times New Roman" w:hAnsi="Times New Roman" w:cs="Times New Roman"/>
                      <w:lang w:val="en-US" w:eastAsia="zh-CN"/>
                    </w:rPr>
                  </w:pPr>
                </w:p>
              </w:tc>
              <w:tc>
                <w:tcPr>
                  <w:tcW w:w="1130" w:type="dxa"/>
                  <w:vMerge w:val="continue"/>
                  <w:noWrap w:val="0"/>
                  <w:vAlign w:val="center"/>
                </w:tcPr>
                <w:p>
                  <w:pPr>
                    <w:pStyle w:val="28"/>
                    <w:bidi w:val="0"/>
                    <w:jc w:val="center"/>
                    <w:rPr>
                      <w:rFonts w:hint="default" w:ascii="Times New Roman" w:hAnsi="Times New Roman" w:cs="Times New Roman"/>
                      <w:lang w:val="en-US" w:eastAsia="zh-CN"/>
                    </w:rPr>
                  </w:pPr>
                </w:p>
              </w:tc>
              <w:tc>
                <w:tcPr>
                  <w:tcW w:w="309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COD</w:t>
                  </w:r>
                  <w:r>
                    <w:rPr>
                      <w:rFonts w:hint="default" w:ascii="Times New Roman" w:hAnsi="Times New Roman" w:cs="Times New Roman"/>
                      <w:vertAlign w:val="subscript"/>
                      <w:lang w:val="en-US" w:eastAsia="zh-CN"/>
                    </w:rPr>
                    <w:t>Cr</w:t>
                  </w:r>
                </w:p>
              </w:tc>
              <w:tc>
                <w:tcPr>
                  <w:tcW w:w="1049" w:type="dxa"/>
                  <w:vMerge w:val="continue"/>
                  <w:noWrap w:val="0"/>
                  <w:vAlign w:val="center"/>
                </w:tcPr>
                <w:p>
                  <w:pPr>
                    <w:pStyle w:val="28"/>
                    <w:bidi w:val="0"/>
                    <w:jc w:val="center"/>
                    <w:rPr>
                      <w:rFonts w:hint="default" w:ascii="Times New Roman" w:hAnsi="Times New Roman" w:cs="Times New Roman"/>
                      <w:lang w:val="en-US" w:eastAsia="zh-CN"/>
                    </w:rPr>
                  </w:pPr>
                </w:p>
              </w:tc>
              <w:tc>
                <w:tcPr>
                  <w:tcW w:w="213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noWrap w:val="0"/>
                  <w:vAlign w:val="center"/>
                </w:tcPr>
                <w:p>
                  <w:pPr>
                    <w:pStyle w:val="28"/>
                    <w:bidi w:val="0"/>
                    <w:jc w:val="center"/>
                    <w:rPr>
                      <w:rFonts w:hint="default" w:ascii="Times New Roman" w:hAnsi="Times New Roman" w:cs="Times New Roman"/>
                      <w:lang w:val="en-US" w:eastAsia="zh-CN"/>
                    </w:rPr>
                  </w:pPr>
                </w:p>
              </w:tc>
              <w:tc>
                <w:tcPr>
                  <w:tcW w:w="1130" w:type="dxa"/>
                  <w:vMerge w:val="continue"/>
                  <w:noWrap w:val="0"/>
                  <w:vAlign w:val="center"/>
                </w:tcPr>
                <w:p>
                  <w:pPr>
                    <w:pStyle w:val="28"/>
                    <w:bidi w:val="0"/>
                    <w:jc w:val="center"/>
                    <w:rPr>
                      <w:rFonts w:hint="default" w:ascii="Times New Roman" w:hAnsi="Times New Roman" w:cs="Times New Roman"/>
                      <w:lang w:val="en-US" w:eastAsia="zh-CN"/>
                    </w:rPr>
                  </w:pPr>
                </w:p>
              </w:tc>
              <w:tc>
                <w:tcPr>
                  <w:tcW w:w="309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BOD</w:t>
                  </w:r>
                  <w:r>
                    <w:rPr>
                      <w:rFonts w:hint="default" w:ascii="Times New Roman" w:hAnsi="Times New Roman" w:cs="Times New Roman"/>
                      <w:vertAlign w:val="subscript"/>
                      <w:lang w:val="en-US" w:eastAsia="zh-CN"/>
                    </w:rPr>
                    <w:t>5</w:t>
                  </w:r>
                </w:p>
              </w:tc>
              <w:tc>
                <w:tcPr>
                  <w:tcW w:w="1049" w:type="dxa"/>
                  <w:vMerge w:val="continue"/>
                  <w:noWrap w:val="0"/>
                  <w:vAlign w:val="center"/>
                </w:tcPr>
                <w:p>
                  <w:pPr>
                    <w:pStyle w:val="28"/>
                    <w:bidi w:val="0"/>
                    <w:jc w:val="center"/>
                    <w:rPr>
                      <w:rFonts w:hint="default" w:ascii="Times New Roman" w:hAnsi="Times New Roman" w:cs="Times New Roman"/>
                      <w:lang w:val="en-US" w:eastAsia="zh-CN"/>
                    </w:rPr>
                  </w:pPr>
                </w:p>
              </w:tc>
              <w:tc>
                <w:tcPr>
                  <w:tcW w:w="213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noWrap w:val="0"/>
                  <w:vAlign w:val="center"/>
                </w:tcPr>
                <w:p>
                  <w:pPr>
                    <w:pStyle w:val="28"/>
                    <w:bidi w:val="0"/>
                    <w:jc w:val="center"/>
                    <w:rPr>
                      <w:rFonts w:hint="default" w:ascii="Times New Roman" w:hAnsi="Times New Roman" w:cs="Times New Roman"/>
                      <w:lang w:val="en-US" w:eastAsia="zh-CN"/>
                    </w:rPr>
                  </w:pPr>
                </w:p>
              </w:tc>
              <w:tc>
                <w:tcPr>
                  <w:tcW w:w="1130" w:type="dxa"/>
                  <w:vMerge w:val="continue"/>
                  <w:noWrap w:val="0"/>
                  <w:vAlign w:val="center"/>
                </w:tcPr>
                <w:p>
                  <w:pPr>
                    <w:pStyle w:val="28"/>
                    <w:bidi w:val="0"/>
                    <w:jc w:val="center"/>
                    <w:rPr>
                      <w:rFonts w:hint="default" w:ascii="Times New Roman" w:hAnsi="Times New Roman" w:cs="Times New Roman"/>
                      <w:lang w:val="en-US" w:eastAsia="zh-CN"/>
                    </w:rPr>
                  </w:pPr>
                </w:p>
              </w:tc>
              <w:tc>
                <w:tcPr>
                  <w:tcW w:w="309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SS</w:t>
                  </w:r>
                </w:p>
              </w:tc>
              <w:tc>
                <w:tcPr>
                  <w:tcW w:w="1049" w:type="dxa"/>
                  <w:vMerge w:val="continue"/>
                  <w:noWrap w:val="0"/>
                  <w:vAlign w:val="center"/>
                </w:tcPr>
                <w:p>
                  <w:pPr>
                    <w:pStyle w:val="28"/>
                    <w:bidi w:val="0"/>
                    <w:jc w:val="center"/>
                    <w:rPr>
                      <w:rFonts w:hint="default" w:ascii="Times New Roman" w:hAnsi="Times New Roman" w:cs="Times New Roman"/>
                      <w:lang w:val="en-US" w:eastAsia="zh-CN"/>
                    </w:rPr>
                  </w:pPr>
                </w:p>
              </w:tc>
              <w:tc>
                <w:tcPr>
                  <w:tcW w:w="213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noWrap w:val="0"/>
                  <w:vAlign w:val="center"/>
                </w:tcPr>
                <w:p>
                  <w:pPr>
                    <w:pStyle w:val="28"/>
                    <w:bidi w:val="0"/>
                    <w:jc w:val="center"/>
                    <w:rPr>
                      <w:rFonts w:hint="default" w:ascii="Times New Roman" w:hAnsi="Times New Roman" w:cs="Times New Roman"/>
                      <w:lang w:val="en-US" w:eastAsia="zh-CN"/>
                    </w:rPr>
                  </w:pPr>
                </w:p>
              </w:tc>
              <w:tc>
                <w:tcPr>
                  <w:tcW w:w="1130" w:type="dxa"/>
                  <w:vMerge w:val="continue"/>
                  <w:noWrap w:val="0"/>
                  <w:vAlign w:val="center"/>
                </w:tcPr>
                <w:p>
                  <w:pPr>
                    <w:pStyle w:val="28"/>
                    <w:bidi w:val="0"/>
                    <w:jc w:val="center"/>
                    <w:rPr>
                      <w:rFonts w:hint="default" w:ascii="Times New Roman" w:hAnsi="Times New Roman" w:cs="Times New Roman"/>
                      <w:lang w:val="en-US" w:eastAsia="zh-CN"/>
                    </w:rPr>
                  </w:pPr>
                </w:p>
              </w:tc>
              <w:tc>
                <w:tcPr>
                  <w:tcW w:w="309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石油类</w:t>
                  </w:r>
                </w:p>
              </w:tc>
              <w:tc>
                <w:tcPr>
                  <w:tcW w:w="1049" w:type="dxa"/>
                  <w:vMerge w:val="continue"/>
                  <w:noWrap w:val="0"/>
                  <w:vAlign w:val="center"/>
                </w:tcPr>
                <w:p>
                  <w:pPr>
                    <w:pStyle w:val="28"/>
                    <w:bidi w:val="0"/>
                    <w:jc w:val="center"/>
                    <w:rPr>
                      <w:rFonts w:hint="default" w:ascii="Times New Roman" w:hAnsi="Times New Roman" w:cs="Times New Roman"/>
                      <w:lang w:val="en-US" w:eastAsia="zh-CN"/>
                    </w:rPr>
                  </w:pPr>
                </w:p>
              </w:tc>
              <w:tc>
                <w:tcPr>
                  <w:tcW w:w="213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noWrap w:val="0"/>
                  <w:vAlign w:val="center"/>
                </w:tcPr>
                <w:p>
                  <w:pPr>
                    <w:pStyle w:val="28"/>
                    <w:bidi w:val="0"/>
                    <w:jc w:val="center"/>
                    <w:rPr>
                      <w:rFonts w:hint="default" w:ascii="Times New Roman" w:hAnsi="Times New Roman" w:cs="Times New Roman"/>
                      <w:lang w:val="en-US" w:eastAsia="zh-CN"/>
                    </w:rPr>
                  </w:pPr>
                </w:p>
              </w:tc>
              <w:tc>
                <w:tcPr>
                  <w:tcW w:w="1130" w:type="dxa"/>
                  <w:vMerge w:val="continue"/>
                  <w:noWrap w:val="0"/>
                  <w:vAlign w:val="center"/>
                </w:tcPr>
                <w:p>
                  <w:pPr>
                    <w:pStyle w:val="28"/>
                    <w:bidi w:val="0"/>
                    <w:jc w:val="center"/>
                    <w:rPr>
                      <w:rFonts w:hint="default" w:ascii="Times New Roman" w:hAnsi="Times New Roman" w:cs="Times New Roman"/>
                      <w:lang w:val="en-US" w:eastAsia="zh-CN"/>
                    </w:rPr>
                  </w:pPr>
                </w:p>
              </w:tc>
              <w:tc>
                <w:tcPr>
                  <w:tcW w:w="309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氨氮</w:t>
                  </w:r>
                </w:p>
              </w:tc>
              <w:tc>
                <w:tcPr>
                  <w:tcW w:w="1049" w:type="dxa"/>
                  <w:vMerge w:val="continue"/>
                  <w:noWrap w:val="0"/>
                  <w:vAlign w:val="center"/>
                </w:tcPr>
                <w:p>
                  <w:pPr>
                    <w:pStyle w:val="28"/>
                    <w:bidi w:val="0"/>
                    <w:jc w:val="center"/>
                    <w:rPr>
                      <w:rFonts w:hint="default" w:ascii="Times New Roman" w:hAnsi="Times New Roman" w:cs="Times New Roman"/>
                      <w:lang w:val="en-US" w:eastAsia="zh-CN"/>
                    </w:rPr>
                  </w:pPr>
                </w:p>
              </w:tc>
              <w:tc>
                <w:tcPr>
                  <w:tcW w:w="213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noWrap w:val="0"/>
                  <w:vAlign w:val="center"/>
                </w:tcPr>
                <w:p>
                  <w:pPr>
                    <w:pStyle w:val="28"/>
                    <w:bidi w:val="0"/>
                    <w:jc w:val="center"/>
                    <w:rPr>
                      <w:rFonts w:hint="default" w:ascii="Times New Roman" w:hAnsi="Times New Roman" w:cs="Times New Roman"/>
                      <w:lang w:val="en-US" w:eastAsia="zh-CN"/>
                    </w:rPr>
                  </w:pPr>
                </w:p>
              </w:tc>
              <w:tc>
                <w:tcPr>
                  <w:tcW w:w="1130" w:type="dxa"/>
                  <w:vMerge w:val="continue"/>
                  <w:noWrap w:val="0"/>
                  <w:vAlign w:val="center"/>
                </w:tcPr>
                <w:p>
                  <w:pPr>
                    <w:pStyle w:val="28"/>
                    <w:bidi w:val="0"/>
                    <w:jc w:val="center"/>
                    <w:rPr>
                      <w:rFonts w:hint="default" w:ascii="Times New Roman" w:hAnsi="Times New Roman" w:cs="Times New Roman"/>
                      <w:lang w:val="en-US" w:eastAsia="zh-CN"/>
                    </w:rPr>
                  </w:pPr>
                </w:p>
              </w:tc>
              <w:tc>
                <w:tcPr>
                  <w:tcW w:w="309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总磷</w:t>
                  </w:r>
                </w:p>
              </w:tc>
              <w:tc>
                <w:tcPr>
                  <w:tcW w:w="1049" w:type="dxa"/>
                  <w:vMerge w:val="continue"/>
                  <w:noWrap w:val="0"/>
                  <w:vAlign w:val="center"/>
                </w:tcPr>
                <w:p>
                  <w:pPr>
                    <w:pStyle w:val="28"/>
                    <w:bidi w:val="0"/>
                    <w:jc w:val="center"/>
                    <w:rPr>
                      <w:rFonts w:hint="default" w:ascii="Times New Roman" w:hAnsi="Times New Roman" w:cs="Times New Roman"/>
                      <w:lang w:val="en-US" w:eastAsia="zh-CN"/>
                    </w:rPr>
                  </w:pPr>
                </w:p>
              </w:tc>
              <w:tc>
                <w:tcPr>
                  <w:tcW w:w="213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noWrap w:val="0"/>
                  <w:vAlign w:val="center"/>
                </w:tcPr>
                <w:p>
                  <w:pPr>
                    <w:pStyle w:val="28"/>
                    <w:bidi w:val="0"/>
                    <w:jc w:val="center"/>
                    <w:rPr>
                      <w:rFonts w:hint="default" w:ascii="Times New Roman" w:hAnsi="Times New Roman" w:cs="Times New Roman"/>
                      <w:lang w:val="en-US" w:eastAsia="zh-CN"/>
                    </w:rPr>
                  </w:pPr>
                </w:p>
              </w:tc>
              <w:tc>
                <w:tcPr>
                  <w:tcW w:w="1130" w:type="dxa"/>
                  <w:vMerge w:val="continue"/>
                  <w:noWrap w:val="0"/>
                  <w:vAlign w:val="center"/>
                </w:tcPr>
                <w:p>
                  <w:pPr>
                    <w:pStyle w:val="28"/>
                    <w:bidi w:val="0"/>
                    <w:jc w:val="center"/>
                    <w:rPr>
                      <w:rFonts w:hint="default" w:ascii="Times New Roman" w:hAnsi="Times New Roman" w:cs="Times New Roman"/>
                      <w:lang w:val="en-US" w:eastAsia="zh-CN"/>
                    </w:rPr>
                  </w:pPr>
                </w:p>
              </w:tc>
              <w:tc>
                <w:tcPr>
                  <w:tcW w:w="309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总氮</w:t>
                  </w:r>
                </w:p>
              </w:tc>
              <w:tc>
                <w:tcPr>
                  <w:tcW w:w="1049" w:type="dxa"/>
                  <w:vMerge w:val="continue"/>
                  <w:noWrap w:val="0"/>
                  <w:vAlign w:val="center"/>
                </w:tcPr>
                <w:p>
                  <w:pPr>
                    <w:pStyle w:val="28"/>
                    <w:bidi w:val="0"/>
                    <w:jc w:val="center"/>
                    <w:rPr>
                      <w:rFonts w:hint="default" w:ascii="Times New Roman" w:hAnsi="Times New Roman" w:cs="Times New Roman"/>
                      <w:lang w:val="en-US" w:eastAsia="zh-CN"/>
                    </w:rPr>
                  </w:pPr>
                </w:p>
              </w:tc>
              <w:tc>
                <w:tcPr>
                  <w:tcW w:w="213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7" w:type="dxa"/>
                  <w:vMerge w:val="continue"/>
                  <w:noWrap w:val="0"/>
                  <w:vAlign w:val="center"/>
                </w:tcPr>
                <w:p>
                  <w:pPr>
                    <w:pStyle w:val="28"/>
                    <w:bidi w:val="0"/>
                    <w:jc w:val="center"/>
                    <w:rPr>
                      <w:rFonts w:hint="default" w:ascii="Times New Roman" w:hAnsi="Times New Roman" w:cs="Times New Roman"/>
                      <w:lang w:val="en-US" w:eastAsia="zh-CN"/>
                    </w:rPr>
                  </w:pPr>
                </w:p>
              </w:tc>
              <w:tc>
                <w:tcPr>
                  <w:tcW w:w="1130" w:type="dxa"/>
                  <w:vMerge w:val="continue"/>
                  <w:noWrap w:val="0"/>
                  <w:vAlign w:val="center"/>
                </w:tcPr>
                <w:p>
                  <w:pPr>
                    <w:pStyle w:val="28"/>
                    <w:bidi w:val="0"/>
                    <w:jc w:val="center"/>
                    <w:rPr>
                      <w:rFonts w:hint="default" w:ascii="Times New Roman" w:hAnsi="Times New Roman" w:cs="Times New Roman"/>
                      <w:lang w:val="en-US" w:eastAsia="zh-CN"/>
                    </w:rPr>
                  </w:pPr>
                </w:p>
              </w:tc>
              <w:tc>
                <w:tcPr>
                  <w:tcW w:w="309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LAS</w:t>
                  </w:r>
                </w:p>
              </w:tc>
              <w:tc>
                <w:tcPr>
                  <w:tcW w:w="1049" w:type="dxa"/>
                  <w:vMerge w:val="continue"/>
                  <w:noWrap w:val="0"/>
                  <w:vAlign w:val="center"/>
                </w:tcPr>
                <w:p>
                  <w:pPr>
                    <w:pStyle w:val="28"/>
                    <w:bidi w:val="0"/>
                    <w:jc w:val="center"/>
                    <w:rPr>
                      <w:rFonts w:hint="default" w:ascii="Times New Roman" w:hAnsi="Times New Roman" w:cs="Times New Roman"/>
                      <w:lang w:val="en-US" w:eastAsia="zh-CN"/>
                    </w:rPr>
                  </w:pPr>
                </w:p>
              </w:tc>
              <w:tc>
                <w:tcPr>
                  <w:tcW w:w="2130" w:type="dxa"/>
                  <w:noWrap w:val="0"/>
                  <w:vAlign w:val="center"/>
                </w:tcPr>
                <w:p>
                  <w:pPr>
                    <w:pStyle w:val="28"/>
                    <w:bidi w:val="0"/>
                    <w:ind w:firstLine="0" w:firstLineChars="0"/>
                    <w:jc w:val="center"/>
                    <w:rPr>
                      <w:rFonts w:hint="default" w:ascii="Times New Roman" w:hAnsi="Times New Roman" w:eastAsia="宋体" w:cs="Times New Roman"/>
                      <w:kern w:val="0"/>
                      <w:sz w:val="20"/>
                      <w:szCs w:val="24"/>
                      <w:lang w:val="en-US" w:eastAsia="zh-CN" w:bidi="ar-SA"/>
                    </w:rPr>
                  </w:pPr>
                  <w:r>
                    <w:rPr>
                      <w:rFonts w:hint="default" w:ascii="Times New Roman" w:hAnsi="Times New Roman" w:cs="Times New Roman"/>
                      <w:lang w:val="en-US" w:eastAsia="zh-CN"/>
                    </w:rPr>
                    <w:t>20</w:t>
                  </w:r>
                </w:p>
              </w:tc>
            </w:tr>
          </w:tbl>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4.3.4 措施可行性及影响分析</w:t>
            </w:r>
          </w:p>
          <w:p>
            <w:pPr>
              <w:rPr>
                <w:rFonts w:hint="default" w:ascii="Times New Roman" w:hAnsi="Times New Roman" w:cs="Times New Roman"/>
                <w:lang w:val="en-US" w:eastAsia="zh-CN"/>
              </w:rPr>
            </w:pPr>
            <w:r>
              <w:rPr>
                <w:rFonts w:hint="default" w:ascii="Times New Roman" w:hAnsi="Times New Roman" w:cs="Times New Roman"/>
                <w:lang w:val="en-US" w:eastAsia="zh-CN"/>
              </w:rPr>
              <w:t>(1)水污染物控制和水环境影响减缓措施有效性评价</w:t>
            </w:r>
          </w:p>
          <w:p>
            <w:pPr>
              <w:rPr>
                <w:rFonts w:hint="default" w:ascii="Times New Roman" w:hAnsi="Times New Roman" w:cs="Times New Roman"/>
                <w:lang w:val="en-US" w:eastAsia="zh-CN"/>
              </w:rPr>
            </w:pPr>
            <w:r>
              <w:rPr>
                <w:rFonts w:hint="default" w:ascii="Times New Roman" w:hAnsi="Times New Roman" w:cs="Times New Roman"/>
                <w:lang w:val="en-US" w:eastAsia="zh-CN"/>
              </w:rPr>
              <w:t>生活污水经三级预处理达到《污水综合排放标准》三级标准后排入园区污水管道。项目</w:t>
            </w:r>
            <w:r>
              <w:rPr>
                <w:rFonts w:hint="eastAsia" w:ascii="Times New Roman" w:hAnsi="Times New Roman" w:cs="Times New Roman"/>
                <w:lang w:val="en-US" w:eastAsia="zh-CN"/>
              </w:rPr>
              <w:t>停车场</w:t>
            </w:r>
            <w:r>
              <w:rPr>
                <w:rFonts w:hint="default" w:ascii="Times New Roman" w:hAnsi="Times New Roman" w:cs="Times New Roman"/>
                <w:lang w:val="en-US" w:eastAsia="zh-CN"/>
              </w:rPr>
              <w:t>生活污水产生量为</w:t>
            </w:r>
            <w:r>
              <w:rPr>
                <w:rFonts w:hint="eastAsia" w:ascii="Times New Roman" w:hAnsi="Times New Roman" w:cs="Times New Roman"/>
                <w:lang w:val="en-US" w:eastAsia="zh-CN"/>
              </w:rPr>
              <w:t>4.56</w:t>
            </w:r>
            <w:r>
              <w:rPr>
                <w:rFonts w:hint="default" w:ascii="Times New Roman" w:hAnsi="Times New Roman" w:cs="Times New Roman"/>
                <w:lang w:val="en-US" w:eastAsia="zh-CN"/>
              </w:rPr>
              <w:t>t</w:t>
            </w:r>
            <w:r>
              <w:rPr>
                <w:rFonts w:hint="eastAsia" w:ascii="Times New Roman" w:hAnsi="Times New Roman" w:cs="Times New Roman"/>
                <w:lang w:val="en-US" w:eastAsia="zh-CN"/>
              </w:rPr>
              <w:t>/</w:t>
            </w:r>
            <w:r>
              <w:rPr>
                <w:rFonts w:hint="default" w:ascii="Times New Roman" w:hAnsi="Times New Roman" w:cs="Times New Roman"/>
                <w:lang w:val="en-US" w:eastAsia="zh-CN"/>
              </w:rPr>
              <w:t>d、</w:t>
            </w:r>
            <w:r>
              <w:rPr>
                <w:rFonts w:hint="eastAsia" w:ascii="Times New Roman" w:hAnsi="Times New Roman" w:cs="Times New Roman"/>
                <w:lang w:val="en-US" w:eastAsia="zh-CN"/>
              </w:rPr>
              <w:t>1368</w:t>
            </w:r>
            <w:r>
              <w:rPr>
                <w:rFonts w:hint="default" w:ascii="Times New Roman" w:hAnsi="Times New Roman" w:cs="Times New Roman"/>
                <w:lang w:val="en-US" w:eastAsia="zh-CN"/>
              </w:rPr>
              <w:t>t/a，化粪池有效容积约</w:t>
            </w:r>
            <w:r>
              <w:rPr>
                <w:rFonts w:hint="eastAsia" w:ascii="Times New Roman" w:hAnsi="Times New Roman" w:cs="Times New Roman"/>
                <w:lang w:val="en-US" w:eastAsia="zh-CN"/>
              </w:rPr>
              <w:t>10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，能够容纳项目生活污水处理量</w:t>
            </w:r>
            <w:r>
              <w:rPr>
                <w:rFonts w:hint="eastAsia" w:ascii="Times New Roman" w:hAnsi="Times New Roman" w:cs="Times New Roman"/>
                <w:lang w:val="en-US" w:eastAsia="zh-CN"/>
              </w:rPr>
              <w:t>；消防站</w:t>
            </w:r>
            <w:r>
              <w:rPr>
                <w:rFonts w:hint="default" w:ascii="Times New Roman" w:hAnsi="Times New Roman" w:cs="Times New Roman"/>
                <w:lang w:val="en-US" w:eastAsia="zh-CN"/>
              </w:rPr>
              <w:t>生活污水产生量为</w:t>
            </w:r>
            <w:r>
              <w:rPr>
                <w:rFonts w:hint="eastAsia" w:ascii="Times New Roman" w:hAnsi="Times New Roman" w:cs="Times New Roman"/>
                <w:lang w:val="en-US" w:eastAsia="zh-CN"/>
              </w:rPr>
              <w:t>5.34</w:t>
            </w:r>
            <w:r>
              <w:rPr>
                <w:rFonts w:hint="default" w:ascii="Times New Roman" w:hAnsi="Times New Roman" w:cs="Times New Roman"/>
                <w:lang w:val="en-US" w:eastAsia="zh-CN"/>
              </w:rPr>
              <w:t>t</w:t>
            </w:r>
            <w:r>
              <w:rPr>
                <w:rFonts w:hint="eastAsia" w:ascii="Times New Roman" w:hAnsi="Times New Roman" w:cs="Times New Roman"/>
                <w:lang w:val="en-US" w:eastAsia="zh-CN"/>
              </w:rPr>
              <w:t>/</w:t>
            </w:r>
            <w:r>
              <w:rPr>
                <w:rFonts w:hint="default" w:ascii="Times New Roman" w:hAnsi="Times New Roman" w:cs="Times New Roman"/>
                <w:lang w:val="en-US" w:eastAsia="zh-CN"/>
              </w:rPr>
              <w:t>d、</w:t>
            </w:r>
            <w:r>
              <w:rPr>
                <w:rFonts w:hint="eastAsia" w:ascii="Times New Roman" w:hAnsi="Times New Roman" w:cs="Times New Roman"/>
                <w:lang w:val="en-US" w:eastAsia="zh-CN"/>
              </w:rPr>
              <w:t>1949.4</w:t>
            </w:r>
            <w:r>
              <w:rPr>
                <w:rFonts w:hint="default" w:ascii="Times New Roman" w:hAnsi="Times New Roman" w:cs="Times New Roman"/>
                <w:lang w:val="en-US" w:eastAsia="zh-CN"/>
              </w:rPr>
              <w:t>t/a，化粪池有效容积约</w:t>
            </w:r>
            <w:r>
              <w:rPr>
                <w:rFonts w:hint="eastAsia" w:ascii="Times New Roman" w:hAnsi="Times New Roman" w:cs="Times New Roman"/>
                <w:lang w:val="en-US" w:eastAsia="zh-CN"/>
              </w:rPr>
              <w:t>10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，能够容纳项目生活污水处理量。本项目生活污水水质简单、污染物浓度较低、不会对周边环境造成影响。</w:t>
            </w:r>
          </w:p>
          <w:p>
            <w:pPr>
              <w:rPr>
                <w:rFonts w:hint="default" w:ascii="Times New Roman" w:hAnsi="Times New Roman" w:cs="Times New Roman"/>
                <w:lang w:val="en-US" w:eastAsia="zh-CN"/>
              </w:rPr>
            </w:pPr>
            <w:r>
              <w:rPr>
                <w:rFonts w:hint="eastAsia" w:cs="Times New Roman"/>
                <w:lang w:val="en-US" w:eastAsia="zh-CN"/>
              </w:rPr>
              <w:t>停车场</w:t>
            </w:r>
            <w:r>
              <w:rPr>
                <w:rFonts w:hint="default" w:ascii="Times New Roman" w:hAnsi="Times New Roman" w:cs="Times New Roman"/>
                <w:lang w:val="en-US" w:eastAsia="zh-CN"/>
              </w:rPr>
              <w:t>生产废水经收集进入企业自建污水处理站(处理工艺:</w:t>
            </w:r>
            <w:r>
              <w:rPr>
                <w:rFonts w:hint="eastAsia"/>
                <w:lang w:val="en-US" w:eastAsia="zh-CN"/>
              </w:rPr>
              <w:t>格栅-气浮-厌氧池-缺氧池-好氧池-MBR膜</w:t>
            </w:r>
            <w:r>
              <w:rPr>
                <w:rFonts w:hint="default" w:ascii="Times New Roman" w:hAnsi="Times New Roman" w:cs="Times New Roman"/>
                <w:lang w:val="en-US" w:eastAsia="zh-CN"/>
              </w:rPr>
              <w:t>)处理达到《污水综合排放标准》三级标准后排入园区管网送至园区污水处理厂处理。</w:t>
            </w:r>
          </w:p>
          <w:p>
            <w:pPr>
              <w:rPr>
                <w:rFonts w:hint="default" w:ascii="Times New Roman" w:hAnsi="Times New Roman" w:cs="Times New Roman"/>
                <w:lang w:val="en-US" w:eastAsia="zh-CN"/>
              </w:rPr>
            </w:pPr>
            <w:r>
              <w:rPr>
                <w:rFonts w:hint="default" w:ascii="Times New Roman" w:hAnsi="Times New Roman" w:cs="Times New Roman"/>
                <w:lang w:val="en-US" w:eastAsia="zh-CN"/>
              </w:rPr>
              <w:t>本项目污水处理采用工艺如下:</w:t>
            </w:r>
          </w:p>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lang w:val="en-US" w:eastAsia="zh-CN"/>
              </w:rPr>
            </w:pPr>
            <w:r>
              <w:drawing>
                <wp:inline distT="0" distB="0" distL="114300" distR="114300">
                  <wp:extent cx="5181600" cy="3020060"/>
                  <wp:effectExtent l="0" t="0" r="0" b="254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3"/>
                          <a:stretch>
                            <a:fillRect/>
                          </a:stretch>
                        </pic:blipFill>
                        <pic:spPr>
                          <a:xfrm>
                            <a:off x="0" y="0"/>
                            <a:ext cx="5181600" cy="3020060"/>
                          </a:xfrm>
                          <a:prstGeom prst="rect">
                            <a:avLst/>
                          </a:prstGeom>
                          <a:noFill/>
                          <a:ln>
                            <a:noFill/>
                          </a:ln>
                        </pic:spPr>
                      </pic:pic>
                    </a:graphicData>
                  </a:graphic>
                </wp:inline>
              </w:drawing>
            </w:r>
          </w:p>
          <w:p>
            <w:pPr>
              <w:pStyle w:val="26"/>
              <w:bidi w:val="0"/>
              <w:rPr>
                <w:rFonts w:hint="default"/>
                <w:lang w:val="en-US" w:eastAsia="zh-CN"/>
              </w:rPr>
            </w:pPr>
            <w:r>
              <w:rPr>
                <w:rFonts w:hint="default"/>
                <w:lang w:val="en-US" w:eastAsia="zh-CN"/>
              </w:rPr>
              <w:t>图 4.3-1项目生产废水处理工艺流程图</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污水处理站处理工艺简述。</w:t>
            </w:r>
          </w:p>
          <w:p>
            <w:pPr>
              <w:ind w:firstLine="480" w:firstLineChars="200"/>
              <w:rPr>
                <w:rFonts w:hint="eastAsia" w:ascii="宋体" w:hAnsi="宋体"/>
                <w:color w:val="000000"/>
                <w:sz w:val="24"/>
              </w:rPr>
            </w:pPr>
            <w:r>
              <w:rPr>
                <w:rFonts w:hint="eastAsia" w:ascii="宋体" w:hAnsi="宋体" w:cs="宋体"/>
                <w:color w:val="000000"/>
                <w:kern w:val="0"/>
                <w:sz w:val="24"/>
              </w:rPr>
              <w:t>污水</w:t>
            </w:r>
            <w:r>
              <w:rPr>
                <w:rFonts w:ascii="宋体" w:hAnsi="宋体" w:cs="宋体"/>
                <w:color w:val="000000"/>
                <w:kern w:val="0"/>
                <w:sz w:val="24"/>
              </w:rPr>
              <w:t>通过格栅</w:t>
            </w:r>
            <w:r>
              <w:rPr>
                <w:rFonts w:hint="eastAsia" w:ascii="宋体" w:hAnsi="宋体" w:cs="宋体"/>
                <w:color w:val="000000"/>
                <w:kern w:val="0"/>
                <w:sz w:val="24"/>
              </w:rPr>
              <w:t>去除固体悬浮物，然</w:t>
            </w:r>
            <w:r>
              <w:rPr>
                <w:rFonts w:ascii="宋体" w:hAnsi="宋体" w:cs="宋体"/>
                <w:color w:val="000000"/>
                <w:kern w:val="0"/>
                <w:sz w:val="24"/>
              </w:rPr>
              <w:t>后进入</w:t>
            </w:r>
            <w:r>
              <w:rPr>
                <w:rFonts w:hint="eastAsia" w:ascii="宋体" w:hAnsi="宋体" w:cs="宋体"/>
                <w:color w:val="000000"/>
                <w:kern w:val="0"/>
                <w:sz w:val="24"/>
                <w:lang w:val="en-US" w:eastAsia="zh-CN"/>
              </w:rPr>
              <w:t>气浮</w:t>
            </w:r>
            <w:r>
              <w:rPr>
                <w:rFonts w:ascii="宋体" w:hAnsi="宋体" w:cs="宋体"/>
                <w:color w:val="000000"/>
                <w:kern w:val="0"/>
                <w:sz w:val="24"/>
              </w:rPr>
              <w:t>池</w:t>
            </w:r>
            <w:r>
              <w:rPr>
                <w:rFonts w:hint="eastAsia" w:ascii="宋体" w:hAnsi="宋体" w:cs="宋体"/>
                <w:color w:val="000000"/>
                <w:kern w:val="0"/>
                <w:sz w:val="24"/>
              </w:rPr>
              <w:t>去除污水中密度较大的无机颗粒污染物</w:t>
            </w:r>
            <w:r>
              <w:rPr>
                <w:rFonts w:hint="eastAsia" w:ascii="宋体" w:hAnsi="宋体" w:cs="宋体"/>
                <w:color w:val="000000"/>
                <w:kern w:val="0"/>
                <w:sz w:val="24"/>
                <w:lang w:val="en-US" w:eastAsia="zh-CN"/>
              </w:rPr>
              <w:t>和油污</w:t>
            </w:r>
            <w:r>
              <w:rPr>
                <w:rFonts w:ascii="宋体" w:hAnsi="宋体" w:cs="宋体"/>
                <w:color w:val="000000"/>
                <w:kern w:val="0"/>
                <w:sz w:val="24"/>
              </w:rPr>
              <w:t>，</w:t>
            </w:r>
            <w:r>
              <w:rPr>
                <w:rFonts w:hint="eastAsia" w:ascii="宋体" w:hAnsi="宋体" w:cs="宋体"/>
                <w:color w:val="000000"/>
                <w:kern w:val="0"/>
                <w:sz w:val="24"/>
                <w:lang w:val="en-US" w:eastAsia="zh-CN"/>
              </w:rPr>
              <w:t>上清液自流</w:t>
            </w:r>
            <w:r>
              <w:rPr>
                <w:rFonts w:ascii="宋体" w:hAnsi="宋体" w:cs="宋体"/>
                <w:color w:val="000000"/>
                <w:kern w:val="0"/>
                <w:sz w:val="24"/>
              </w:rPr>
              <w:t>流入</w:t>
            </w:r>
            <w:r>
              <w:rPr>
                <w:rFonts w:hint="eastAsia" w:ascii="宋体" w:hAnsi="宋体" w:cs="宋体"/>
                <w:color w:val="000000"/>
                <w:kern w:val="0"/>
                <w:sz w:val="24"/>
              </w:rPr>
              <w:t>厌氧</w:t>
            </w:r>
            <w:r>
              <w:rPr>
                <w:rFonts w:ascii="宋体" w:hAnsi="宋体" w:cs="宋体"/>
                <w:color w:val="000000"/>
                <w:kern w:val="0"/>
                <w:sz w:val="24"/>
              </w:rPr>
              <w:t>池</w:t>
            </w:r>
            <w:r>
              <w:rPr>
                <w:rFonts w:hint="eastAsia" w:ascii="宋体" w:hAnsi="宋体" w:cs="宋体"/>
                <w:color w:val="000000"/>
                <w:kern w:val="0"/>
                <w:sz w:val="24"/>
              </w:rPr>
              <w:t>，再进入缺氧-好</w:t>
            </w:r>
            <w:r>
              <w:rPr>
                <w:rFonts w:ascii="宋体" w:hAnsi="宋体" w:cs="宋体"/>
                <w:color w:val="000000"/>
                <w:kern w:val="0"/>
                <w:sz w:val="24"/>
              </w:rPr>
              <w:t>氧区</w:t>
            </w:r>
            <w:r>
              <w:rPr>
                <w:rFonts w:hint="eastAsia" w:ascii="宋体" w:hAnsi="宋体" w:cs="宋体"/>
                <w:color w:val="000000"/>
                <w:kern w:val="0"/>
                <w:sz w:val="24"/>
              </w:rPr>
              <w:t>，</w:t>
            </w:r>
            <w:r>
              <w:rPr>
                <w:rFonts w:ascii="宋体" w:hAnsi="宋体" w:cs="宋体"/>
                <w:color w:val="000000"/>
                <w:kern w:val="0"/>
                <w:sz w:val="24"/>
              </w:rPr>
              <w:t>培养不同微生物的协调作用，在处理常规有机物的同时脱氮除磷。出水</w:t>
            </w:r>
            <w:r>
              <w:rPr>
                <w:rFonts w:hint="eastAsia" w:ascii="宋体" w:hAnsi="宋体" w:cs="宋体"/>
                <w:color w:val="000000"/>
                <w:kern w:val="0"/>
                <w:sz w:val="24"/>
              </w:rPr>
              <w:t>达到</w:t>
            </w:r>
            <w:r>
              <w:rPr>
                <w:rFonts w:hint="eastAsia" w:ascii="宋体" w:hAnsi="宋体" w:cs="宋体"/>
                <w:color w:val="000000"/>
                <w:kern w:val="0"/>
                <w:sz w:val="24"/>
                <w:lang w:val="en-US" w:eastAsia="zh-CN"/>
              </w:rPr>
              <w:t>直排标准后</w:t>
            </w:r>
            <w:r>
              <w:rPr>
                <w:rFonts w:hint="eastAsia" w:ascii="宋体" w:hAnsi="宋体"/>
                <w:color w:val="000000"/>
                <w:sz w:val="24"/>
              </w:rPr>
              <w:t>排放。</w:t>
            </w:r>
            <w:r>
              <w:rPr>
                <w:rFonts w:hint="eastAsia" w:ascii="宋体" w:hAnsi="宋体"/>
                <w:color w:val="000000"/>
                <w:sz w:val="24"/>
                <w:lang w:val="en-US" w:eastAsia="zh-CN"/>
              </w:rPr>
              <w:t>好氧池</w:t>
            </w:r>
            <w:r>
              <w:rPr>
                <w:rFonts w:hint="eastAsia" w:ascii="宋体" w:hAnsi="宋体"/>
                <w:color w:val="000000"/>
                <w:sz w:val="24"/>
              </w:rPr>
              <w:t>的污泥除部分回流外其余经浓缩脱水后外运。</w:t>
            </w:r>
          </w:p>
          <w:p>
            <w:pPr>
              <w:tabs>
                <w:tab w:val="left" w:pos="6345"/>
              </w:tabs>
              <w:rPr>
                <w:rFonts w:hint="eastAsia" w:ascii="宋体" w:hAnsi="宋体"/>
                <w:b/>
                <w:color w:val="000000"/>
                <w:sz w:val="24"/>
              </w:rPr>
            </w:pPr>
            <w:r>
              <w:rPr>
                <w:rFonts w:hint="eastAsia" w:ascii="宋体" w:hAnsi="宋体"/>
                <w:b/>
                <w:color w:val="000000"/>
                <w:sz w:val="24"/>
              </w:rPr>
              <w:t>厌氧池</w:t>
            </w:r>
            <w:r>
              <w:rPr>
                <w:rFonts w:ascii="宋体" w:hAnsi="宋体"/>
                <w:b/>
                <w:color w:val="000000"/>
                <w:sz w:val="24"/>
              </w:rPr>
              <w:tab/>
            </w:r>
          </w:p>
          <w:p>
            <w:pPr>
              <w:ind w:firstLine="495"/>
              <w:rPr>
                <w:rFonts w:hint="eastAsia" w:ascii="宋体" w:hAnsi="宋体"/>
                <w:color w:val="000000"/>
                <w:sz w:val="24"/>
              </w:rPr>
            </w:pPr>
            <w:r>
              <w:rPr>
                <w:rFonts w:hint="eastAsia" w:ascii="宋体" w:hAnsi="宋体"/>
                <w:color w:val="000000"/>
                <w:sz w:val="24"/>
              </w:rPr>
              <w:t>污水在厌氧反应器与回流污泥混合。在厌氧条件下，聚磷菌释放磷，同时部分有机物发生水解酸化。</w:t>
            </w:r>
          </w:p>
          <w:p>
            <w:pPr>
              <w:bidi w:val="0"/>
              <w:rPr>
                <w:rFonts w:hint="eastAsia"/>
              </w:rPr>
            </w:pPr>
            <w:r>
              <w:rPr>
                <w:rFonts w:hint="eastAsia"/>
              </w:rPr>
              <w:t>设计参数：污泥回流比R=100%，水力停留时间t=5h。</w:t>
            </w:r>
          </w:p>
          <w:p>
            <w:pPr>
              <w:bidi w:val="0"/>
              <w:rPr>
                <w:rFonts w:hint="eastAsia"/>
              </w:rPr>
            </w:pPr>
            <w:r>
              <w:rPr>
                <w:rFonts w:hint="eastAsia"/>
                <w:b/>
                <w:bCs/>
              </w:rPr>
              <w:t>缺氧池</w:t>
            </w:r>
            <w:r>
              <w:rPr>
                <w:rFonts w:hint="eastAsia"/>
              </w:rPr>
              <w:t xml:space="preserve"> </w:t>
            </w:r>
          </w:p>
          <w:p>
            <w:pPr>
              <w:bidi w:val="0"/>
              <w:rPr>
                <w:rFonts w:hint="eastAsia"/>
              </w:rPr>
            </w:pPr>
            <w:r>
              <w:rPr>
                <w:rFonts w:hint="eastAsia"/>
              </w:rPr>
              <w:t>污水在厌氧反应器与污泥混合后再进入缺氧反应器，发生生物反硝化，同时去除部分COD。硝态氮和亚硝态氮在生物作用下与有机物反应。</w:t>
            </w:r>
          </w:p>
          <w:p>
            <w:pPr>
              <w:bidi w:val="0"/>
              <w:rPr>
                <w:rFonts w:hint="eastAsia"/>
              </w:rPr>
            </w:pPr>
            <w:r>
              <w:rPr>
                <w:rFonts w:hint="eastAsia"/>
              </w:rPr>
              <w:t>设计参数：污泥回流比R=100%-300</w:t>
            </w:r>
            <w:r>
              <w:rPr>
                <w:rFonts w:hint="eastAsia"/>
                <w:lang w:val="en-US" w:eastAsia="zh-CN"/>
              </w:rPr>
              <w:t>%</w:t>
            </w:r>
            <w:r>
              <w:rPr>
                <w:rFonts w:hint="eastAsia"/>
              </w:rPr>
              <w:t>，水力停留时间t=5h。</w:t>
            </w:r>
          </w:p>
          <w:p>
            <w:pPr>
              <w:bidi w:val="0"/>
              <w:rPr>
                <w:rFonts w:hint="eastAsia"/>
                <w:b/>
                <w:bCs/>
              </w:rPr>
            </w:pPr>
            <w:r>
              <w:rPr>
                <w:rFonts w:hint="eastAsia"/>
                <w:b/>
                <w:bCs/>
              </w:rPr>
              <w:t>好氧池</w:t>
            </w:r>
          </w:p>
          <w:p>
            <w:pPr>
              <w:bidi w:val="0"/>
              <w:rPr>
                <w:rFonts w:hint="eastAsia"/>
              </w:rPr>
            </w:pPr>
            <w:r>
              <w:rPr>
                <w:rFonts w:hint="eastAsia"/>
              </w:rPr>
              <w:t>发生生物脱氮后，混合液从缺氧反应器进入好氧反应器——曝气池。在好氧作用下，异养微生物首先降解BOD、同时聚磷菌大量吸收磷，随着有机物浓度不断降低，自养微生物发生硝化反应，把氨氮降解成硝态氮和亚硝态氮。具体反应：</w:t>
            </w:r>
          </w:p>
          <w:p>
            <w:pPr>
              <w:ind w:firstLine="495"/>
              <w:rPr>
                <w:rFonts w:hint="eastAsia" w:ascii="宋体" w:hAnsi="宋体"/>
                <w:sz w:val="24"/>
              </w:rPr>
            </w:pPr>
            <w:r>
              <w:rPr>
                <w:rFonts w:ascii="宋体" w:hAnsi="宋体"/>
                <w:position w:val="-10"/>
                <w:sz w:val="24"/>
              </w:rPr>
              <w:object>
                <v:shape id="_x0000_i1028" o:spt="75" type="#_x0000_t75" style="height:19pt;width:229pt;" o:ole="t" filled="f" stroked="f" coordsize="21600,21600">
                  <v:path/>
                  <v:fill on="f" alignshape="1" focussize="0,0"/>
                  <v:stroke on="f"/>
                  <v:imagedata r:id="rId25" o:title=""/>
                  <o:lock v:ext="edit" aspectratio="t"/>
                  <w10:wrap type="none"/>
                  <w10:anchorlock/>
                </v:shape>
                <o:OLEObject Type="Embed" ProgID="Equation.3" ShapeID="_x0000_i1028" DrawAspect="Content" ObjectID="_1468075728" r:id="rId24">
                  <o:LockedField>false</o:LockedField>
                </o:OLEObject>
              </w:object>
            </w:r>
          </w:p>
          <w:p>
            <w:pPr>
              <w:ind w:firstLine="495"/>
              <w:rPr>
                <w:rFonts w:hint="eastAsia" w:ascii="宋体" w:hAnsi="宋体"/>
                <w:color w:val="000000"/>
                <w:sz w:val="24"/>
              </w:rPr>
            </w:pPr>
            <w:r>
              <w:rPr>
                <w:rFonts w:ascii="宋体" w:hAnsi="宋体"/>
                <w:position w:val="-12"/>
                <w:sz w:val="24"/>
              </w:rPr>
              <w:object>
                <v:shape id="_x0000_i1029" o:spt="75" type="#_x0000_t75" style="height:20pt;width:139pt;" o:ole="t" filled="f" stroked="f" coordsize="21600,21600">
                  <v:path/>
                  <v:fill on="f" alignshape="1" focussize="0,0"/>
                  <v:stroke on="f"/>
                  <v:imagedata r:id="rId27" o:title=""/>
                  <o:lock v:ext="edit" aspectratio="t"/>
                  <w10:wrap type="none"/>
                  <w10:anchorlock/>
                </v:shape>
                <o:OLEObject Type="Embed" ProgID="Equation.3" ShapeID="_x0000_i1029" DrawAspect="Content" ObjectID="_1468075729" r:id="rId26">
                  <o:LockedField>false</o:LockedField>
                </o:OLEObject>
              </w:object>
            </w:r>
          </w:p>
          <w:p>
            <w:pPr>
              <w:bidi w:val="0"/>
              <w:rPr>
                <w:rFonts w:hint="eastAsia" w:ascii="宋体" w:hAnsi="宋体"/>
                <w:color w:val="000000"/>
              </w:rPr>
            </w:pPr>
            <w:r>
              <w:rPr>
                <w:rFonts w:hint="eastAsia"/>
              </w:rPr>
              <w:t>设计参数：水力停留时间t=10h，出水口采用跌水。</w:t>
            </w:r>
          </w:p>
          <w:p>
            <w:pPr>
              <w:rPr>
                <w:rFonts w:hint="default" w:ascii="宋体" w:hAnsi="宋体" w:eastAsia="宋体"/>
                <w:b/>
                <w:color w:val="000000"/>
                <w:sz w:val="24"/>
                <w:lang w:val="en-US" w:eastAsia="zh-CN"/>
              </w:rPr>
            </w:pPr>
            <w:r>
              <w:rPr>
                <w:rFonts w:hint="eastAsia" w:ascii="宋体" w:hAnsi="宋体"/>
                <w:b/>
                <w:color w:val="000000"/>
                <w:sz w:val="24"/>
                <w:lang w:val="en-US" w:eastAsia="zh-CN"/>
              </w:rPr>
              <w:t>MBR膜池</w:t>
            </w:r>
          </w:p>
          <w:p>
            <w:pPr>
              <w:ind w:firstLine="495"/>
              <w:rPr>
                <w:rFonts w:hint="default" w:ascii="Times New Roman" w:hAnsi="Times New Roman" w:cs="Times New Roman"/>
                <w:lang w:val="en-US" w:eastAsia="zh-CN"/>
              </w:rPr>
            </w:pPr>
            <w:r>
              <w:rPr>
                <w:rFonts w:hint="eastAsia" w:ascii="宋体" w:hAnsi="宋体"/>
                <w:color w:val="000000"/>
                <w:sz w:val="24"/>
              </w:rPr>
              <w:t>作用是</w:t>
            </w:r>
            <w:r>
              <w:rPr>
                <w:rFonts w:hint="eastAsia" w:ascii="宋体" w:hAnsi="宋体"/>
                <w:color w:val="000000"/>
                <w:sz w:val="24"/>
                <w:lang w:val="en-US" w:eastAsia="zh-CN"/>
              </w:rPr>
              <w:t>提高污泥浓度、</w:t>
            </w:r>
            <w:r>
              <w:rPr>
                <w:rFonts w:hint="eastAsia" w:ascii="宋体" w:hAnsi="宋体"/>
                <w:color w:val="000000"/>
                <w:sz w:val="24"/>
              </w:rPr>
              <w:t>泥水分离，将分离的部分污泥回流到</w:t>
            </w:r>
            <w:r>
              <w:rPr>
                <w:rFonts w:hint="eastAsia" w:ascii="宋体" w:hAnsi="宋体"/>
                <w:color w:val="000000"/>
                <w:sz w:val="24"/>
                <w:lang w:val="en-US" w:eastAsia="zh-CN"/>
              </w:rPr>
              <w:t>缺氧</w:t>
            </w:r>
            <w:r>
              <w:rPr>
                <w:rFonts w:hint="eastAsia" w:ascii="宋体" w:hAnsi="宋体"/>
                <w:color w:val="000000"/>
                <w:sz w:val="24"/>
              </w:rPr>
              <w:t>池，为生物处理提高接种微生物，并通过排放大部分剩余污泥实现生物除磷。</w:t>
            </w:r>
          </w:p>
          <w:p>
            <w:pPr>
              <w:rPr>
                <w:rFonts w:hint="default" w:ascii="Times New Roman" w:hAnsi="Times New Roman" w:cs="Times New Roman"/>
                <w:lang w:val="en-US" w:eastAsia="zh-CN"/>
              </w:rPr>
            </w:pPr>
            <w:r>
              <w:rPr>
                <w:rFonts w:hint="eastAsia" w:cs="Times New Roman"/>
                <w:lang w:val="en-US" w:eastAsia="zh-CN"/>
              </w:rPr>
              <w:t>本项目停车场生产废水产生量约为11.88m</w:t>
            </w:r>
            <w:r>
              <w:rPr>
                <w:rFonts w:hint="eastAsia" w:cs="Times New Roman"/>
                <w:vertAlign w:val="superscript"/>
                <w:lang w:val="en-US" w:eastAsia="zh-CN"/>
              </w:rPr>
              <w:t>3</w:t>
            </w:r>
            <w:r>
              <w:rPr>
                <w:rFonts w:hint="eastAsia" w:cs="Times New Roman"/>
                <w:lang w:val="en-US" w:eastAsia="zh-CN"/>
              </w:rPr>
              <w:t>/d（3564m</w:t>
            </w:r>
            <w:r>
              <w:rPr>
                <w:rFonts w:hint="eastAsia" w:cs="Times New Roman"/>
                <w:vertAlign w:val="superscript"/>
                <w:lang w:val="en-US" w:eastAsia="zh-CN"/>
              </w:rPr>
              <w:t>3</w:t>
            </w:r>
            <w:r>
              <w:rPr>
                <w:rFonts w:hint="eastAsia" w:cs="Times New Roman"/>
                <w:lang w:val="en-US" w:eastAsia="zh-CN"/>
              </w:rPr>
              <w:t>/a），本项目一体化污水处理站设计处理能力为200m</w:t>
            </w:r>
            <w:r>
              <w:rPr>
                <w:rFonts w:hint="eastAsia" w:cs="Times New Roman"/>
                <w:vertAlign w:val="superscript"/>
                <w:lang w:val="en-US" w:eastAsia="zh-CN"/>
              </w:rPr>
              <w:t>3</w:t>
            </w:r>
            <w:r>
              <w:rPr>
                <w:rFonts w:hint="eastAsia" w:cs="Times New Roman"/>
                <w:lang w:val="en-US" w:eastAsia="zh-CN"/>
              </w:rPr>
              <w:t>/d，本项目设计处理能力能满足项目污水单日最大处理需求。同时，</w:t>
            </w:r>
            <w:r>
              <w:rPr>
                <w:rFonts w:hint="default" w:ascii="Times New Roman" w:hAnsi="Times New Roman" w:cs="Times New Roman"/>
                <w:lang w:val="en-US" w:eastAsia="zh-CN"/>
              </w:rPr>
              <w:t>根据表 4.3-2可知，本项目生产废水(槽罐车清洗废水、地面冲洗废水)经自建污水处理站“</w:t>
            </w:r>
            <w:r>
              <w:rPr>
                <w:rFonts w:hint="eastAsia"/>
                <w:lang w:val="en-US" w:eastAsia="zh-CN"/>
              </w:rPr>
              <w:t>格栅-气浮-厌氧池-缺氧池-好氧池-MBR膜</w:t>
            </w:r>
            <w:r>
              <w:rPr>
                <w:rFonts w:hint="default" w:ascii="Times New Roman" w:hAnsi="Times New Roman" w:cs="Times New Roman"/>
                <w:lang w:val="en-US" w:eastAsia="zh-CN"/>
              </w:rPr>
              <w:t>”处理后可达到《污水综合排放标准》三级标准。项目污水处理站采取的处理工艺属于可行技术。</w:t>
            </w:r>
          </w:p>
          <w:p>
            <w:pPr>
              <w:rPr>
                <w:rFonts w:hint="eastAsia" w:cs="Times New Roman"/>
                <w:b/>
                <w:bCs/>
                <w:lang w:val="en-US" w:eastAsia="zh-CN"/>
              </w:rPr>
            </w:pPr>
            <w:r>
              <w:rPr>
                <w:rFonts w:hint="eastAsia" w:cs="Times New Roman"/>
                <w:b/>
                <w:bCs/>
                <w:lang w:val="en-US" w:eastAsia="zh-CN"/>
              </w:rPr>
              <w:t>4.3.5 污水处理依托可行性</w:t>
            </w:r>
          </w:p>
          <w:p>
            <w:pPr>
              <w:rPr>
                <w:rFonts w:hint="eastAsia" w:cs="Times New Roman"/>
                <w:lang w:val="en-US" w:eastAsia="zh-CN"/>
              </w:rPr>
            </w:pPr>
            <w:r>
              <w:rPr>
                <w:rFonts w:hint="eastAsia" w:cs="Times New Roman"/>
                <w:lang w:val="en-US" w:eastAsia="zh-CN"/>
              </w:rPr>
              <w:t>本项目废水经处理达《污水综合排放标准》三级标准后，排入园区管网，经普光功能区污水处理厂处理达标后排入后河。</w:t>
            </w:r>
          </w:p>
          <w:p>
            <w:pPr>
              <w:pStyle w:val="50"/>
              <w:snapToGrid w:val="0"/>
              <w:rPr>
                <w:rFonts w:ascii="Times New Roman" w:hAnsi="Times New Roman"/>
                <w:b/>
                <w:bCs/>
                <w:spacing w:val="-4"/>
                <w:szCs w:val="24"/>
              </w:rPr>
            </w:pPr>
            <w:r>
              <w:rPr>
                <w:rFonts w:ascii="Times New Roman" w:hAnsi="Times New Roman"/>
                <w:b/>
                <w:bCs/>
                <w:spacing w:val="-4"/>
                <w:szCs w:val="24"/>
              </w:rPr>
              <w:t>1、普光工业园区污水处理厂简介</w:t>
            </w:r>
          </w:p>
          <w:p>
            <w:pPr>
              <w:pStyle w:val="50"/>
              <w:snapToGrid w:val="0"/>
              <w:rPr>
                <w:rFonts w:ascii="Times New Roman" w:hAnsi="Times New Roman"/>
                <w:bCs/>
                <w:spacing w:val="-4"/>
                <w:szCs w:val="24"/>
              </w:rPr>
            </w:pPr>
            <w:r>
              <w:rPr>
                <w:rFonts w:ascii="Times New Roman" w:hAnsi="Times New Roman"/>
                <w:bCs/>
                <w:spacing w:val="-4"/>
                <w:szCs w:val="24"/>
              </w:rPr>
              <w:t>普光工业园区污水处理厂位于宣汉县土主镇石人村，设计总处理规模为1万m</w:t>
            </w:r>
            <w:r>
              <w:rPr>
                <w:rFonts w:ascii="Times New Roman" w:hAnsi="Times New Roman"/>
                <w:bCs/>
                <w:spacing w:val="-4"/>
                <w:szCs w:val="24"/>
                <w:vertAlign w:val="superscript"/>
              </w:rPr>
              <w:t>3</w:t>
            </w:r>
            <w:r>
              <w:rPr>
                <w:rFonts w:ascii="Times New Roman" w:hAnsi="Times New Roman"/>
                <w:bCs/>
                <w:spacing w:val="-4"/>
                <w:szCs w:val="24"/>
              </w:rPr>
              <w:t>/d，分期建设，目前已建成2000m</w:t>
            </w:r>
            <w:r>
              <w:rPr>
                <w:rFonts w:ascii="Times New Roman" w:hAnsi="Times New Roman"/>
                <w:bCs/>
                <w:spacing w:val="-4"/>
                <w:szCs w:val="24"/>
                <w:vertAlign w:val="superscript"/>
              </w:rPr>
              <w:t>3</w:t>
            </w:r>
            <w:r>
              <w:rPr>
                <w:rFonts w:ascii="Times New Roman" w:hAnsi="Times New Roman"/>
                <w:bCs/>
                <w:spacing w:val="-4"/>
                <w:szCs w:val="24"/>
              </w:rPr>
              <w:t>/d的处理能力，主体工艺为“A</w:t>
            </w:r>
            <w:r>
              <w:rPr>
                <w:rFonts w:ascii="Times New Roman" w:hAnsi="Times New Roman"/>
                <w:bCs/>
                <w:spacing w:val="-4"/>
                <w:szCs w:val="24"/>
                <w:vertAlign w:val="superscript"/>
              </w:rPr>
              <w:t>2</w:t>
            </w:r>
            <w:r>
              <w:rPr>
                <w:rFonts w:ascii="Times New Roman" w:hAnsi="Times New Roman"/>
                <w:bCs/>
                <w:spacing w:val="-4"/>
                <w:szCs w:val="24"/>
              </w:rPr>
              <w:t>/O+D 型滤池”，出水执行</w:t>
            </w:r>
            <w:r>
              <w:rPr>
                <w:rFonts w:ascii="Times New Roman" w:hAnsi="Times New Roman"/>
                <w:szCs w:val="24"/>
              </w:rPr>
              <w:t>《城镇污水处理厂污染物排放标准》（GB18918-2002）一级标准的A标准后排入后河。</w:t>
            </w:r>
          </w:p>
          <w:p>
            <w:pPr>
              <w:pStyle w:val="50"/>
              <w:snapToGrid w:val="0"/>
              <w:rPr>
                <w:rFonts w:ascii="Times New Roman" w:hAnsi="Times New Roman"/>
                <w:b/>
                <w:bCs/>
                <w:spacing w:val="-4"/>
                <w:szCs w:val="24"/>
              </w:rPr>
            </w:pPr>
            <w:r>
              <w:rPr>
                <w:rFonts w:ascii="Times New Roman" w:hAnsi="Times New Roman"/>
                <w:b/>
                <w:bCs/>
                <w:spacing w:val="-4"/>
                <w:szCs w:val="24"/>
              </w:rPr>
              <w:t>2、纳管范围及接纳能力分析</w:t>
            </w:r>
          </w:p>
          <w:p>
            <w:pPr>
              <w:pStyle w:val="50"/>
              <w:snapToGrid w:val="0"/>
              <w:rPr>
                <w:rFonts w:ascii="Times New Roman" w:hAnsi="Times New Roman"/>
                <w:szCs w:val="21"/>
              </w:rPr>
            </w:pPr>
            <w:r>
              <w:rPr>
                <w:rFonts w:ascii="Times New Roman" w:hAnsi="Times New Roman"/>
                <w:spacing w:val="-4"/>
                <w:szCs w:val="24"/>
              </w:rPr>
              <w:t>普光工业园区污水处理厂服务范围包括普光功能区和土主镇场镇，</w:t>
            </w:r>
            <w:r>
              <w:rPr>
                <w:rFonts w:ascii="Times New Roman" w:hAnsi="Times New Roman"/>
              </w:rPr>
              <w:t>本项目位于</w:t>
            </w:r>
            <w:r>
              <w:rPr>
                <w:rFonts w:ascii="Times New Roman" w:hAnsi="Times New Roman"/>
                <w:spacing w:val="-4"/>
                <w:szCs w:val="24"/>
              </w:rPr>
              <w:t>普光功能区</w:t>
            </w:r>
            <w:r>
              <w:rPr>
                <w:rFonts w:ascii="Times New Roman" w:hAnsi="Times New Roman"/>
              </w:rPr>
              <w:t>内，本项目在</w:t>
            </w:r>
            <w:r>
              <w:rPr>
                <w:rFonts w:ascii="Times New Roman" w:hAnsi="Times New Roman"/>
                <w:spacing w:val="-4"/>
                <w:szCs w:val="24"/>
              </w:rPr>
              <w:t>普光工业园区</w:t>
            </w:r>
            <w:r>
              <w:rPr>
                <w:rFonts w:ascii="Times New Roman" w:hAnsi="Times New Roman"/>
              </w:rPr>
              <w:t>污水处理厂收水范围内</w:t>
            </w:r>
            <w:r>
              <w:rPr>
                <w:rFonts w:ascii="Times New Roman" w:hAnsi="Times New Roman"/>
                <w:szCs w:val="21"/>
              </w:rPr>
              <w:t>。</w:t>
            </w:r>
          </w:p>
          <w:p>
            <w:pPr>
              <w:pStyle w:val="50"/>
              <w:snapToGrid w:val="0"/>
              <w:rPr>
                <w:rFonts w:ascii="Times New Roman" w:hAnsi="Times New Roman"/>
              </w:rPr>
            </w:pPr>
            <w:r>
              <w:rPr>
                <w:rFonts w:ascii="Times New Roman" w:hAnsi="Times New Roman"/>
                <w:bCs/>
                <w:spacing w:val="-4"/>
                <w:szCs w:val="24"/>
              </w:rPr>
              <w:t>根据</w:t>
            </w:r>
            <w:r>
              <w:rPr>
                <w:rFonts w:ascii="Times New Roman" w:hAnsi="Times New Roman"/>
              </w:rPr>
              <w:t>调查，项目所在区域已形成完善的雨污排水管网。</w:t>
            </w:r>
          </w:p>
          <w:p>
            <w:pPr>
              <w:pStyle w:val="50"/>
              <w:snapToGrid w:val="0"/>
              <w:rPr>
                <w:rFonts w:ascii="Times New Roman" w:hAnsi="Times New Roman"/>
                <w:bCs/>
                <w:spacing w:val="-4"/>
                <w:szCs w:val="24"/>
              </w:rPr>
            </w:pPr>
            <w:r>
              <w:rPr>
                <w:rFonts w:ascii="Times New Roman" w:hAnsi="Times New Roman"/>
              </w:rPr>
              <w:t>目前</w:t>
            </w:r>
            <w:r>
              <w:rPr>
                <w:rFonts w:ascii="Times New Roman" w:hAnsi="Times New Roman"/>
                <w:spacing w:val="-4"/>
                <w:szCs w:val="24"/>
              </w:rPr>
              <w:t>普光工业园区污水处理厂接纳废水量为800m</w:t>
            </w:r>
            <w:r>
              <w:rPr>
                <w:rFonts w:ascii="Times New Roman" w:hAnsi="Times New Roman"/>
                <w:spacing w:val="-4"/>
                <w:szCs w:val="24"/>
                <w:vertAlign w:val="superscript"/>
              </w:rPr>
              <w:t>3</w:t>
            </w:r>
            <w:r>
              <w:rPr>
                <w:rFonts w:ascii="Times New Roman" w:hAnsi="Times New Roman"/>
                <w:spacing w:val="-4"/>
                <w:szCs w:val="24"/>
              </w:rPr>
              <w:t>/d，剩余处理能力为1200m</w:t>
            </w:r>
            <w:r>
              <w:rPr>
                <w:rFonts w:ascii="Times New Roman" w:hAnsi="Times New Roman"/>
                <w:spacing w:val="-4"/>
                <w:szCs w:val="24"/>
                <w:vertAlign w:val="superscript"/>
              </w:rPr>
              <w:t>3</w:t>
            </w:r>
            <w:r>
              <w:rPr>
                <w:rFonts w:ascii="Times New Roman" w:hAnsi="Times New Roman"/>
                <w:spacing w:val="-4"/>
                <w:szCs w:val="24"/>
              </w:rPr>
              <w:t>/d，本项目排水量为</w:t>
            </w:r>
            <w:r>
              <w:rPr>
                <w:rFonts w:hint="eastAsia" w:ascii="Times New Roman" w:hAnsi="Times New Roman"/>
                <w:spacing w:val="-4"/>
                <w:szCs w:val="24"/>
                <w:lang w:val="en-US" w:eastAsia="zh-CN"/>
              </w:rPr>
              <w:t>21.78</w:t>
            </w:r>
            <w:r>
              <w:rPr>
                <w:rFonts w:ascii="Times New Roman" w:hAnsi="Times New Roman"/>
                <w:spacing w:val="-4"/>
                <w:szCs w:val="24"/>
              </w:rPr>
              <w:t>m</w:t>
            </w:r>
            <w:r>
              <w:rPr>
                <w:rFonts w:ascii="Times New Roman" w:hAnsi="Times New Roman"/>
                <w:spacing w:val="-4"/>
                <w:szCs w:val="24"/>
                <w:vertAlign w:val="superscript"/>
              </w:rPr>
              <w:t>3</w:t>
            </w:r>
            <w:r>
              <w:rPr>
                <w:rFonts w:ascii="Times New Roman" w:hAnsi="Times New Roman"/>
                <w:spacing w:val="-4"/>
                <w:szCs w:val="24"/>
              </w:rPr>
              <w:t>/d</w:t>
            </w:r>
            <w:r>
              <w:rPr>
                <w:rFonts w:hint="eastAsia" w:ascii="Times New Roman" w:hAnsi="Times New Roman"/>
                <w:spacing w:val="-4"/>
                <w:szCs w:val="24"/>
                <w:lang w:eastAsia="zh-CN"/>
              </w:rPr>
              <w:t>（</w:t>
            </w:r>
            <w:r>
              <w:rPr>
                <w:rFonts w:hint="eastAsia" w:ascii="Times New Roman" w:hAnsi="Times New Roman"/>
                <w:spacing w:val="-4"/>
                <w:szCs w:val="24"/>
                <w:lang w:val="en-US" w:eastAsia="zh-CN"/>
              </w:rPr>
              <w:t>其中停车场排水量约16.44m</w:t>
            </w:r>
            <w:r>
              <w:rPr>
                <w:rFonts w:hint="eastAsia" w:ascii="Times New Roman" w:hAnsi="Times New Roman"/>
                <w:spacing w:val="-4"/>
                <w:szCs w:val="24"/>
                <w:vertAlign w:val="superscript"/>
                <w:lang w:val="en-US" w:eastAsia="zh-CN"/>
              </w:rPr>
              <w:t>3</w:t>
            </w:r>
            <w:r>
              <w:rPr>
                <w:rFonts w:hint="eastAsia" w:ascii="Times New Roman" w:hAnsi="Times New Roman"/>
                <w:spacing w:val="-4"/>
                <w:szCs w:val="24"/>
                <w:lang w:val="en-US" w:eastAsia="zh-CN"/>
              </w:rPr>
              <w:t>/d，消防站排水量约5.34m</w:t>
            </w:r>
            <w:r>
              <w:rPr>
                <w:rFonts w:hint="eastAsia" w:ascii="Times New Roman" w:hAnsi="Times New Roman"/>
                <w:spacing w:val="-4"/>
                <w:szCs w:val="24"/>
                <w:vertAlign w:val="superscript"/>
                <w:lang w:val="en-US" w:eastAsia="zh-CN"/>
              </w:rPr>
              <w:t>3</w:t>
            </w:r>
            <w:r>
              <w:rPr>
                <w:rFonts w:hint="eastAsia" w:ascii="Times New Roman" w:hAnsi="Times New Roman"/>
                <w:spacing w:val="-4"/>
                <w:szCs w:val="24"/>
                <w:lang w:val="en-US" w:eastAsia="zh-CN"/>
              </w:rPr>
              <w:t>/d</w:t>
            </w:r>
            <w:r>
              <w:rPr>
                <w:rFonts w:hint="eastAsia" w:ascii="Times New Roman" w:hAnsi="Times New Roman"/>
                <w:spacing w:val="-4"/>
                <w:szCs w:val="24"/>
                <w:lang w:eastAsia="zh-CN"/>
              </w:rPr>
              <w:t>）</w:t>
            </w:r>
            <w:r>
              <w:rPr>
                <w:rFonts w:ascii="Times New Roman" w:hAnsi="Times New Roman"/>
                <w:spacing w:val="-4"/>
                <w:szCs w:val="24"/>
              </w:rPr>
              <w:t>。因此，普光工业园区污水处理厂完全有能力接纳本项目产生的废水。</w:t>
            </w:r>
          </w:p>
          <w:p>
            <w:pPr>
              <w:pStyle w:val="50"/>
              <w:snapToGrid w:val="0"/>
              <w:ind w:firstLine="466" w:firstLineChars="200"/>
              <w:rPr>
                <w:rFonts w:ascii="Times New Roman" w:hAnsi="Times New Roman"/>
                <w:b/>
                <w:bCs/>
                <w:spacing w:val="-4"/>
                <w:szCs w:val="24"/>
              </w:rPr>
            </w:pPr>
            <w:r>
              <w:rPr>
                <w:rFonts w:ascii="Times New Roman" w:hAnsi="Times New Roman"/>
                <w:b/>
                <w:bCs/>
                <w:spacing w:val="-4"/>
                <w:szCs w:val="24"/>
              </w:rPr>
              <w:t>3、达标排放分析</w:t>
            </w:r>
          </w:p>
          <w:p>
            <w:pPr>
              <w:pStyle w:val="50"/>
              <w:ind w:firstLine="464" w:firstLineChars="200"/>
              <w:rPr>
                <w:rFonts w:hint="eastAsia" w:ascii="Times New Roman" w:hAnsi="Times New Roman"/>
                <w:szCs w:val="24"/>
              </w:rPr>
            </w:pPr>
            <w:r>
              <w:rPr>
                <w:rFonts w:ascii="Times New Roman" w:hAnsi="Times New Roman"/>
                <w:spacing w:val="-4"/>
                <w:szCs w:val="24"/>
              </w:rPr>
              <w:t>本项目建成后，</w:t>
            </w:r>
            <w:r>
              <w:rPr>
                <w:rFonts w:ascii="Times New Roman" w:hAnsi="Times New Roman"/>
                <w:szCs w:val="24"/>
              </w:rPr>
              <w:t>外排的废水与普光工业园区污水处理厂纳管要求对比如下：</w:t>
            </w:r>
          </w:p>
          <w:p>
            <w:pPr>
              <w:pStyle w:val="26"/>
              <w:bidi w:val="0"/>
              <w:rPr>
                <w:lang w:val="de-DE"/>
              </w:rPr>
            </w:pPr>
            <w:r>
              <w:rPr>
                <w:lang w:val="de-DE"/>
              </w:rPr>
              <w:t>表</w:t>
            </w:r>
            <w:r>
              <w:rPr>
                <w:rFonts w:hint="eastAsia"/>
                <w:lang w:val="en-US" w:eastAsia="zh-CN"/>
              </w:rPr>
              <w:t>43-7</w:t>
            </w:r>
            <w:r>
              <w:rPr>
                <w:lang w:val="de-DE"/>
              </w:rPr>
              <w:t xml:space="preserve">  普光工业园区污水处理厂进水指标及项目污水排放浓度对比情况表</w:t>
            </w:r>
          </w:p>
          <w:tbl>
            <w:tblPr>
              <w:tblStyle w:val="1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56"/>
              <w:gridCol w:w="988"/>
              <w:gridCol w:w="988"/>
              <w:gridCol w:w="988"/>
              <w:gridCol w:w="986"/>
              <w:gridCol w:w="986"/>
              <w:gridCol w:w="9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9" w:type="pct"/>
                  <w:shd w:val="clear" w:color="auto" w:fill="CCFFFF"/>
                  <w:noWrap w:val="0"/>
                  <w:vAlign w:val="center"/>
                </w:tcPr>
                <w:p>
                  <w:pPr>
                    <w:pStyle w:val="22"/>
                    <w:bidi w:val="0"/>
                  </w:pPr>
                  <w:r>
                    <w:t>水质指标</w:t>
                  </w:r>
                </w:p>
              </w:tc>
              <w:tc>
                <w:tcPr>
                  <w:tcW w:w="604" w:type="pct"/>
                  <w:shd w:val="clear" w:color="auto" w:fill="CCFFFF"/>
                  <w:noWrap w:val="0"/>
                  <w:vAlign w:val="center"/>
                </w:tcPr>
                <w:p>
                  <w:pPr>
                    <w:pStyle w:val="22"/>
                    <w:bidi w:val="0"/>
                  </w:pPr>
                  <w:r>
                    <w:t>pH</w:t>
                  </w:r>
                </w:p>
              </w:tc>
              <w:tc>
                <w:tcPr>
                  <w:tcW w:w="604" w:type="pct"/>
                  <w:shd w:val="clear" w:color="auto" w:fill="CCFFFF"/>
                  <w:noWrap w:val="0"/>
                  <w:vAlign w:val="center"/>
                </w:tcPr>
                <w:p>
                  <w:pPr>
                    <w:pStyle w:val="22"/>
                    <w:bidi w:val="0"/>
                  </w:pPr>
                  <w:r>
                    <w:t>COD</w:t>
                  </w:r>
                </w:p>
              </w:tc>
              <w:tc>
                <w:tcPr>
                  <w:tcW w:w="604" w:type="pct"/>
                  <w:shd w:val="clear" w:color="auto" w:fill="CCFFFF"/>
                  <w:noWrap w:val="0"/>
                  <w:vAlign w:val="center"/>
                </w:tcPr>
                <w:p>
                  <w:pPr>
                    <w:pStyle w:val="22"/>
                    <w:bidi w:val="0"/>
                  </w:pPr>
                  <w:r>
                    <w:t>BOD5</w:t>
                  </w:r>
                </w:p>
              </w:tc>
              <w:tc>
                <w:tcPr>
                  <w:tcW w:w="603" w:type="pct"/>
                  <w:shd w:val="clear" w:color="auto" w:fill="CCFFFF"/>
                  <w:noWrap w:val="0"/>
                  <w:vAlign w:val="center"/>
                </w:tcPr>
                <w:p>
                  <w:pPr>
                    <w:pStyle w:val="22"/>
                    <w:bidi w:val="0"/>
                  </w:pPr>
                  <w:r>
                    <w:t>SS</w:t>
                  </w:r>
                </w:p>
              </w:tc>
              <w:tc>
                <w:tcPr>
                  <w:tcW w:w="603" w:type="pct"/>
                  <w:shd w:val="clear" w:color="auto" w:fill="CCFFFF"/>
                  <w:noWrap w:val="0"/>
                  <w:vAlign w:val="center"/>
                </w:tcPr>
                <w:p>
                  <w:pPr>
                    <w:pStyle w:val="22"/>
                    <w:bidi w:val="0"/>
                  </w:pPr>
                  <w:r>
                    <w:t>NH</w:t>
                  </w:r>
                  <w:r>
                    <w:rPr>
                      <w:vertAlign w:val="subscript"/>
                    </w:rPr>
                    <w:t>3</w:t>
                  </w:r>
                  <w:r>
                    <w:t>-N</w:t>
                  </w:r>
                </w:p>
              </w:tc>
              <w:tc>
                <w:tcPr>
                  <w:tcW w:w="603" w:type="pct"/>
                  <w:shd w:val="clear" w:color="auto" w:fill="CCFFFF"/>
                  <w:noWrap w:val="0"/>
                  <w:vAlign w:val="center"/>
                </w:tcPr>
                <w:p>
                  <w:pPr>
                    <w:pStyle w:val="22"/>
                    <w:bidi w:val="0"/>
                  </w:pPr>
                  <w: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79" w:type="pct"/>
                  <w:noWrap w:val="0"/>
                  <w:vAlign w:val="center"/>
                </w:tcPr>
                <w:p>
                  <w:pPr>
                    <w:pStyle w:val="22"/>
                    <w:bidi w:val="0"/>
                  </w:pPr>
                  <w:r>
                    <w:t>本项目废水排放水质</w:t>
                  </w:r>
                </w:p>
              </w:tc>
              <w:tc>
                <w:tcPr>
                  <w:tcW w:w="604" w:type="pct"/>
                  <w:noWrap w:val="0"/>
                  <w:vAlign w:val="center"/>
                </w:tcPr>
                <w:p>
                  <w:pPr>
                    <w:pStyle w:val="22"/>
                    <w:bidi w:val="0"/>
                  </w:pPr>
                  <w:r>
                    <w:t>6～9</w:t>
                  </w:r>
                </w:p>
              </w:tc>
              <w:tc>
                <w:tcPr>
                  <w:tcW w:w="604" w:type="pct"/>
                  <w:noWrap w:val="0"/>
                  <w:vAlign w:val="center"/>
                </w:tcPr>
                <w:p>
                  <w:pPr>
                    <w:pStyle w:val="22"/>
                    <w:bidi w:val="0"/>
                    <w:rPr>
                      <w:rFonts w:hint="default" w:eastAsia="宋体"/>
                      <w:lang w:val="en-US" w:eastAsia="zh-CN"/>
                    </w:rPr>
                  </w:pPr>
                  <w:r>
                    <w:rPr>
                      <w:rFonts w:hint="eastAsia"/>
                      <w:lang w:val="en-US" w:eastAsia="zh-CN"/>
                    </w:rPr>
                    <w:t>108</w:t>
                  </w:r>
                </w:p>
              </w:tc>
              <w:tc>
                <w:tcPr>
                  <w:tcW w:w="604" w:type="pct"/>
                  <w:noWrap w:val="0"/>
                  <w:vAlign w:val="center"/>
                </w:tcPr>
                <w:p>
                  <w:pPr>
                    <w:pStyle w:val="22"/>
                    <w:bidi w:val="0"/>
                    <w:rPr>
                      <w:rFonts w:hint="default" w:eastAsia="宋体"/>
                      <w:lang w:val="en-US" w:eastAsia="zh-CN"/>
                    </w:rPr>
                  </w:pPr>
                  <w:r>
                    <w:rPr>
                      <w:rFonts w:hint="eastAsia"/>
                      <w:lang w:val="en-US" w:eastAsia="zh-CN"/>
                    </w:rPr>
                    <w:t>43.95</w:t>
                  </w:r>
                </w:p>
              </w:tc>
              <w:tc>
                <w:tcPr>
                  <w:tcW w:w="603" w:type="pct"/>
                  <w:noWrap w:val="0"/>
                  <w:vAlign w:val="center"/>
                </w:tcPr>
                <w:p>
                  <w:pPr>
                    <w:pStyle w:val="22"/>
                    <w:bidi w:val="0"/>
                    <w:rPr>
                      <w:rFonts w:hint="default" w:eastAsia="宋体"/>
                      <w:lang w:val="en-US" w:eastAsia="zh-CN"/>
                    </w:rPr>
                  </w:pPr>
                  <w:r>
                    <w:rPr>
                      <w:rFonts w:hint="eastAsia"/>
                      <w:lang w:val="en-US" w:eastAsia="zh-CN"/>
                    </w:rPr>
                    <w:t>32.39</w:t>
                  </w:r>
                </w:p>
              </w:tc>
              <w:tc>
                <w:tcPr>
                  <w:tcW w:w="603" w:type="pct"/>
                  <w:noWrap w:val="0"/>
                  <w:vAlign w:val="center"/>
                </w:tcPr>
                <w:p>
                  <w:pPr>
                    <w:pStyle w:val="22"/>
                    <w:bidi w:val="0"/>
                    <w:rPr>
                      <w:rFonts w:hint="default" w:eastAsia="宋体"/>
                      <w:lang w:val="en-US" w:eastAsia="zh-CN"/>
                    </w:rPr>
                  </w:pPr>
                  <w:r>
                    <w:rPr>
                      <w:rFonts w:hint="eastAsia"/>
                      <w:lang w:val="en-US" w:eastAsia="zh-CN"/>
                    </w:rPr>
                    <w:t>19.1</w:t>
                  </w:r>
                </w:p>
              </w:tc>
              <w:tc>
                <w:tcPr>
                  <w:tcW w:w="603" w:type="pct"/>
                  <w:noWrap w:val="0"/>
                  <w:vAlign w:val="center"/>
                </w:tcPr>
                <w:p>
                  <w:pPr>
                    <w:pStyle w:val="22"/>
                    <w:bidi w:val="0"/>
                    <w:rPr>
                      <w:rFonts w:hint="default" w:eastAsia="宋体"/>
                      <w:lang w:val="en-US" w:eastAsia="zh-CN"/>
                    </w:rPr>
                  </w:pPr>
                  <w:r>
                    <w:rPr>
                      <w:rFonts w:hint="eastAsia"/>
                      <w:lang w:val="en-US" w:eastAsia="zh-CN"/>
                    </w:rPr>
                    <w:t>1.01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00" w:hRule="atLeast"/>
              </w:trPr>
              <w:tc>
                <w:tcPr>
                  <w:tcW w:w="1379" w:type="pct"/>
                  <w:noWrap w:val="0"/>
                  <w:vAlign w:val="center"/>
                </w:tcPr>
                <w:p>
                  <w:pPr>
                    <w:pStyle w:val="22"/>
                    <w:bidi w:val="0"/>
                  </w:pPr>
                  <w:r>
                    <w:t>普光工业园区污水处理厂进水水质</w:t>
                  </w:r>
                </w:p>
              </w:tc>
              <w:tc>
                <w:tcPr>
                  <w:tcW w:w="604" w:type="pct"/>
                  <w:noWrap w:val="0"/>
                  <w:vAlign w:val="center"/>
                </w:tcPr>
                <w:p>
                  <w:pPr>
                    <w:pStyle w:val="22"/>
                    <w:bidi w:val="0"/>
                  </w:pPr>
                  <w:r>
                    <w:t>6~9</w:t>
                  </w:r>
                </w:p>
              </w:tc>
              <w:tc>
                <w:tcPr>
                  <w:tcW w:w="604" w:type="pct"/>
                  <w:noWrap w:val="0"/>
                  <w:vAlign w:val="center"/>
                </w:tcPr>
                <w:p>
                  <w:pPr>
                    <w:pStyle w:val="22"/>
                    <w:bidi w:val="0"/>
                  </w:pPr>
                  <w:r>
                    <w:t>400</w:t>
                  </w:r>
                </w:p>
              </w:tc>
              <w:tc>
                <w:tcPr>
                  <w:tcW w:w="604" w:type="pct"/>
                  <w:noWrap w:val="0"/>
                  <w:vAlign w:val="center"/>
                </w:tcPr>
                <w:p>
                  <w:pPr>
                    <w:pStyle w:val="22"/>
                    <w:bidi w:val="0"/>
                  </w:pPr>
                  <w:r>
                    <w:t>200</w:t>
                  </w:r>
                </w:p>
              </w:tc>
              <w:tc>
                <w:tcPr>
                  <w:tcW w:w="603" w:type="pct"/>
                  <w:noWrap w:val="0"/>
                  <w:vAlign w:val="center"/>
                </w:tcPr>
                <w:p>
                  <w:pPr>
                    <w:pStyle w:val="22"/>
                    <w:bidi w:val="0"/>
                  </w:pPr>
                  <w:r>
                    <w:t>250</w:t>
                  </w:r>
                </w:p>
              </w:tc>
              <w:tc>
                <w:tcPr>
                  <w:tcW w:w="603" w:type="pct"/>
                  <w:noWrap w:val="0"/>
                  <w:vAlign w:val="center"/>
                </w:tcPr>
                <w:p>
                  <w:pPr>
                    <w:pStyle w:val="22"/>
                    <w:bidi w:val="0"/>
                  </w:pPr>
                  <w:r>
                    <w:t>25</w:t>
                  </w:r>
                </w:p>
              </w:tc>
              <w:tc>
                <w:tcPr>
                  <w:tcW w:w="603" w:type="pct"/>
                  <w:noWrap w:val="0"/>
                  <w:vAlign w:val="center"/>
                </w:tcPr>
                <w:p>
                  <w:pPr>
                    <w:pStyle w:val="22"/>
                    <w:bidi w:val="0"/>
                  </w:pPr>
                  <w: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79" w:type="pct"/>
                  <w:noWrap w:val="0"/>
                  <w:vAlign w:val="center"/>
                </w:tcPr>
                <w:p>
                  <w:pPr>
                    <w:pStyle w:val="22"/>
                    <w:bidi w:val="0"/>
                  </w:pPr>
                  <w:r>
                    <w:t>达标情况</w:t>
                  </w:r>
                </w:p>
              </w:tc>
              <w:tc>
                <w:tcPr>
                  <w:tcW w:w="604" w:type="pct"/>
                  <w:noWrap w:val="0"/>
                  <w:vAlign w:val="center"/>
                </w:tcPr>
                <w:p>
                  <w:pPr>
                    <w:pStyle w:val="22"/>
                    <w:bidi w:val="0"/>
                  </w:pPr>
                  <w:r>
                    <w:t>达标</w:t>
                  </w:r>
                </w:p>
              </w:tc>
              <w:tc>
                <w:tcPr>
                  <w:tcW w:w="604" w:type="pct"/>
                  <w:noWrap w:val="0"/>
                  <w:vAlign w:val="center"/>
                </w:tcPr>
                <w:p>
                  <w:pPr>
                    <w:pStyle w:val="22"/>
                    <w:bidi w:val="0"/>
                  </w:pPr>
                  <w:r>
                    <w:t>达标</w:t>
                  </w:r>
                </w:p>
              </w:tc>
              <w:tc>
                <w:tcPr>
                  <w:tcW w:w="604" w:type="pct"/>
                  <w:noWrap w:val="0"/>
                  <w:vAlign w:val="center"/>
                </w:tcPr>
                <w:p>
                  <w:pPr>
                    <w:pStyle w:val="22"/>
                    <w:bidi w:val="0"/>
                  </w:pPr>
                  <w:r>
                    <w:t>达标</w:t>
                  </w:r>
                </w:p>
              </w:tc>
              <w:tc>
                <w:tcPr>
                  <w:tcW w:w="603" w:type="pct"/>
                  <w:noWrap w:val="0"/>
                  <w:vAlign w:val="center"/>
                </w:tcPr>
                <w:p>
                  <w:pPr>
                    <w:pStyle w:val="22"/>
                    <w:bidi w:val="0"/>
                  </w:pPr>
                  <w:r>
                    <w:t>达标</w:t>
                  </w:r>
                </w:p>
              </w:tc>
              <w:tc>
                <w:tcPr>
                  <w:tcW w:w="603" w:type="pct"/>
                  <w:noWrap w:val="0"/>
                  <w:vAlign w:val="center"/>
                </w:tcPr>
                <w:p>
                  <w:pPr>
                    <w:pStyle w:val="22"/>
                    <w:bidi w:val="0"/>
                  </w:pPr>
                  <w:r>
                    <w:t>达标</w:t>
                  </w:r>
                </w:p>
              </w:tc>
              <w:tc>
                <w:tcPr>
                  <w:tcW w:w="603" w:type="pct"/>
                  <w:noWrap w:val="0"/>
                  <w:vAlign w:val="center"/>
                </w:tcPr>
                <w:p>
                  <w:pPr>
                    <w:pStyle w:val="22"/>
                    <w:bidi w:val="0"/>
                  </w:pPr>
                  <w:r>
                    <w:t>达标</w:t>
                  </w:r>
                </w:p>
              </w:tc>
            </w:tr>
          </w:tbl>
          <w:p>
            <w:pPr>
              <w:pStyle w:val="50"/>
              <w:ind w:firstLine="480" w:firstLineChars="200"/>
              <w:rPr>
                <w:rFonts w:ascii="Times New Roman" w:hAnsi="Times New Roman"/>
                <w:szCs w:val="24"/>
              </w:rPr>
            </w:pPr>
            <w:r>
              <w:rPr>
                <w:rFonts w:ascii="Times New Roman" w:hAnsi="Times New Roman"/>
                <w:szCs w:val="24"/>
              </w:rPr>
              <w:t>根据上表可知，本项目排口浓度能够满足普光工业园区污水处理厂进水水质，因此本项目废水可纳入普光工业园区污水处理厂处理。</w:t>
            </w:r>
          </w:p>
          <w:p>
            <w:pPr>
              <w:pStyle w:val="50"/>
              <w:ind w:firstLine="482" w:firstLineChars="200"/>
              <w:rPr>
                <w:rFonts w:ascii="Times New Roman" w:hAnsi="Times New Roman"/>
                <w:b/>
                <w:szCs w:val="24"/>
              </w:rPr>
            </w:pPr>
            <w:r>
              <w:rPr>
                <w:rFonts w:ascii="Times New Roman" w:hAnsi="Times New Roman"/>
                <w:b/>
                <w:szCs w:val="24"/>
              </w:rPr>
              <w:t>综上所述，从收水范围、水质及水量方面而言，项目废水进入普光工业园区污水处理厂进行处理是可行的。</w:t>
            </w:r>
          </w:p>
          <w:p>
            <w:pPr>
              <w:pStyle w:val="8"/>
              <w:rPr>
                <w:rFonts w:hint="default" w:ascii="Times New Roman" w:hAnsi="Times New Roman" w:cs="Times New Roman"/>
                <w:b/>
                <w:bCs/>
                <w:lang w:val="en-US" w:eastAsia="zh-CN"/>
              </w:rPr>
            </w:pPr>
            <w:r>
              <w:rPr>
                <w:rFonts w:hint="default" w:ascii="Times New Roman" w:hAnsi="Times New Roman" w:cs="Times New Roman"/>
                <w:b/>
                <w:bCs/>
                <w:lang w:val="en-US" w:eastAsia="zh-CN"/>
              </w:rPr>
              <w:t>4.3.</w:t>
            </w: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 xml:space="preserve"> 水环境影响评价结论</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生活污水经预处理达到《污水综合排放标准》三级标准后排入园区管网，进入园区污水处理站处理；生产废水经收集进入企业自建污水处理站(处理工艺:</w:t>
            </w:r>
            <w:r>
              <w:rPr>
                <w:rFonts w:hint="eastAsia"/>
                <w:lang w:val="en-US" w:eastAsia="zh-CN"/>
              </w:rPr>
              <w:t>格栅-气浮-厌氧池-缺氧池-好氧池-MBR膜</w:t>
            </w:r>
            <w:r>
              <w:rPr>
                <w:rFonts w:hint="default" w:ascii="Times New Roman" w:hAnsi="Times New Roman" w:cs="Times New Roman"/>
                <w:lang w:val="en-US" w:eastAsia="zh-CN"/>
              </w:rPr>
              <w:t>)处理达到《污水综合排放标准》三级标准后经管道送至园区污水处理厂处理。</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综上所述，本项目的水污染物控制和水环境影响减缓措施具有有效性，依托园区污水处理厂集中处理具备可行性，不会造成地表水环境水质下降，因此地表水环境影响可以接受。</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4.4运营期噪声环境影响和保护措施</w:t>
            </w:r>
          </w:p>
          <w:p>
            <w:pPr>
              <w:rPr>
                <w:rFonts w:hint="default" w:ascii="Times New Roman" w:hAnsi="Times New Roman" w:cs="Times New Roman"/>
                <w:lang w:val="en-US" w:eastAsia="zh-CN"/>
              </w:rPr>
            </w:pPr>
            <w:r>
              <w:rPr>
                <w:rFonts w:hint="default" w:ascii="Times New Roman" w:hAnsi="Times New Roman" w:cs="Times New Roman"/>
                <w:b/>
                <w:bCs/>
                <w:lang w:val="en-US" w:eastAsia="zh-CN"/>
              </w:rPr>
              <w:t>4.4.1源强分析</w:t>
            </w:r>
          </w:p>
          <w:p>
            <w:pPr>
              <w:rPr>
                <w:rFonts w:hint="eastAsia" w:cs="Times New Roman"/>
                <w:lang w:val="en-US" w:eastAsia="zh-CN"/>
              </w:rPr>
            </w:pPr>
            <w:r>
              <w:rPr>
                <w:rFonts w:hint="default" w:ascii="Times New Roman" w:hAnsi="Times New Roman" w:cs="Times New Roman"/>
                <w:lang w:val="en-US" w:eastAsia="zh-CN"/>
              </w:rPr>
              <w:t>本项目设备噪声约为</w:t>
            </w:r>
            <w:r>
              <w:rPr>
                <w:rFonts w:hint="eastAsia" w:ascii="Times New Roman" w:hAnsi="Times New Roman" w:cs="Times New Roman"/>
                <w:lang w:val="en-US" w:eastAsia="zh-CN"/>
              </w:rPr>
              <w:t>75</w:t>
            </w:r>
            <w:r>
              <w:rPr>
                <w:rFonts w:hint="default" w:ascii="Times New Roman" w:hAnsi="Times New Roman" w:cs="Times New Roman"/>
                <w:lang w:val="en-US" w:eastAsia="zh-CN"/>
              </w:rPr>
              <w:t>~</w:t>
            </w:r>
            <w:r>
              <w:rPr>
                <w:rFonts w:hint="eastAsia" w:ascii="Times New Roman" w:hAnsi="Times New Roman" w:cs="Times New Roman"/>
                <w:lang w:val="en-US" w:eastAsia="zh-CN"/>
              </w:rPr>
              <w:t>85</w:t>
            </w:r>
            <w:r>
              <w:rPr>
                <w:rFonts w:hint="default" w:ascii="Times New Roman" w:hAnsi="Times New Roman" w:cs="Times New Roman"/>
                <w:lang w:val="en-US" w:eastAsia="zh-CN"/>
              </w:rPr>
              <w:t>dB(A)，</w:t>
            </w:r>
            <w:r>
              <w:rPr>
                <w:rFonts w:hint="eastAsia" w:cs="Times New Roman"/>
                <w:lang w:val="en-US" w:eastAsia="zh-CN"/>
              </w:rPr>
              <w:t>项目每个停车区域的槽罐车车辆噪声等效为一个点源进行预测；项目消防站不属于生产类企业，噪声仅为社会生活噪声及消防队员训练噪声，对环境影响较小，定性分析其噪声影响。</w:t>
            </w:r>
          </w:p>
          <w:p>
            <w:pPr>
              <w:rPr>
                <w:rFonts w:hint="default" w:ascii="Times New Roman" w:hAnsi="Times New Roman" w:cs="Times New Roman"/>
                <w:lang w:val="en-US" w:eastAsia="zh-CN"/>
              </w:rPr>
            </w:pPr>
            <w:r>
              <w:rPr>
                <w:rFonts w:hint="eastAsia" w:cs="Times New Roman"/>
                <w:lang w:val="en-US" w:eastAsia="zh-CN"/>
              </w:rPr>
              <w:t>停车场</w:t>
            </w:r>
            <w:r>
              <w:rPr>
                <w:rFonts w:hint="default" w:ascii="Times New Roman" w:hAnsi="Times New Roman" w:cs="Times New Roman"/>
                <w:lang w:val="en-US" w:eastAsia="zh-CN"/>
              </w:rPr>
              <w:t>生产设备噪声产生源强如下表所示</w:t>
            </w:r>
            <w:r>
              <w:rPr>
                <w:rFonts w:hint="eastAsia" w:ascii="Times New Roman" w:hAnsi="Times New Roman" w:cs="Times New Roman"/>
                <w:lang w:val="en-US" w:eastAsia="zh-CN"/>
              </w:rPr>
              <w:t>：</w:t>
            </w:r>
          </w:p>
          <w:p>
            <w:pPr>
              <w:pStyle w:val="26"/>
              <w:bidi w:val="0"/>
              <w:rPr>
                <w:rFonts w:hint="default"/>
                <w:lang w:val="en-US" w:eastAsia="zh-CN"/>
              </w:rPr>
            </w:pPr>
            <w:r>
              <w:rPr>
                <w:rFonts w:hint="default"/>
                <w:lang w:val="en-US" w:eastAsia="zh-CN"/>
              </w:rPr>
              <w:t>表 4.4-1 工业企业室外噪声一览表</w:t>
            </w:r>
          </w:p>
          <w:tbl>
            <w:tblPr>
              <w:tblStyle w:val="17"/>
              <w:tblW w:w="8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22"/>
              <w:gridCol w:w="1022"/>
              <w:gridCol w:w="5"/>
              <w:gridCol w:w="1017"/>
              <w:gridCol w:w="1022"/>
              <w:gridCol w:w="1023"/>
              <w:gridCol w:w="1023"/>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022" w:type="dxa"/>
                  <w:vMerge w:val="restart"/>
                  <w:vAlign w:val="center"/>
                </w:tcPr>
                <w:p>
                  <w:pPr>
                    <w:pStyle w:val="28"/>
                    <w:bidi w:val="0"/>
                    <w:jc w:val="center"/>
                    <w:rPr>
                      <w:rFonts w:hint="default"/>
                      <w:lang w:val="en-US" w:eastAsia="zh-CN"/>
                    </w:rPr>
                  </w:pPr>
                  <w:r>
                    <w:rPr>
                      <w:rFonts w:hint="eastAsia"/>
                      <w:lang w:val="en-US" w:eastAsia="zh-CN"/>
                    </w:rPr>
                    <w:t>序号</w:t>
                  </w:r>
                </w:p>
              </w:tc>
              <w:tc>
                <w:tcPr>
                  <w:tcW w:w="1022" w:type="dxa"/>
                  <w:vMerge w:val="restart"/>
                  <w:vAlign w:val="center"/>
                </w:tcPr>
                <w:p>
                  <w:pPr>
                    <w:pStyle w:val="28"/>
                    <w:bidi w:val="0"/>
                    <w:jc w:val="center"/>
                    <w:rPr>
                      <w:rFonts w:hint="default"/>
                      <w:lang w:val="en-US" w:eastAsia="zh-CN"/>
                    </w:rPr>
                  </w:pPr>
                  <w:r>
                    <w:rPr>
                      <w:rFonts w:hint="eastAsia"/>
                      <w:lang w:val="en-US" w:eastAsia="zh-CN"/>
                    </w:rPr>
                    <w:t>声源名称</w:t>
                  </w:r>
                </w:p>
              </w:tc>
              <w:tc>
                <w:tcPr>
                  <w:tcW w:w="3066" w:type="dxa"/>
                  <w:gridSpan w:val="4"/>
                  <w:vAlign w:val="center"/>
                </w:tcPr>
                <w:p>
                  <w:pPr>
                    <w:pStyle w:val="28"/>
                    <w:bidi w:val="0"/>
                    <w:jc w:val="center"/>
                    <w:rPr>
                      <w:rFonts w:hint="default"/>
                      <w:lang w:val="en-US" w:eastAsia="zh-CN"/>
                    </w:rPr>
                  </w:pPr>
                  <w:r>
                    <w:rPr>
                      <w:rFonts w:hint="eastAsia"/>
                      <w:lang w:val="en-US" w:eastAsia="zh-CN"/>
                    </w:rPr>
                    <w:t>空间相对位置</w:t>
                  </w:r>
                </w:p>
              </w:tc>
              <w:tc>
                <w:tcPr>
                  <w:tcW w:w="1023" w:type="dxa"/>
                  <w:vMerge w:val="restart"/>
                  <w:vAlign w:val="center"/>
                </w:tcPr>
                <w:p>
                  <w:pPr>
                    <w:pStyle w:val="28"/>
                    <w:bidi w:val="0"/>
                    <w:jc w:val="center"/>
                    <w:rPr>
                      <w:rFonts w:hint="default"/>
                      <w:lang w:val="en-US" w:eastAsia="zh-CN"/>
                    </w:rPr>
                  </w:pPr>
                  <w:r>
                    <w:rPr>
                      <w:rFonts w:hint="eastAsia"/>
                      <w:lang w:val="en-US" w:eastAsia="zh-CN"/>
                    </w:rPr>
                    <w:t>声源强度</w:t>
                  </w:r>
                </w:p>
              </w:tc>
              <w:tc>
                <w:tcPr>
                  <w:tcW w:w="1023" w:type="dxa"/>
                  <w:vMerge w:val="restart"/>
                  <w:vAlign w:val="center"/>
                </w:tcPr>
                <w:p>
                  <w:pPr>
                    <w:pStyle w:val="28"/>
                    <w:bidi w:val="0"/>
                    <w:jc w:val="center"/>
                    <w:rPr>
                      <w:rFonts w:hint="default"/>
                      <w:lang w:val="en-US" w:eastAsia="zh-CN"/>
                    </w:rPr>
                  </w:pPr>
                  <w:r>
                    <w:rPr>
                      <w:rFonts w:hint="eastAsia"/>
                      <w:lang w:val="en-US" w:eastAsia="zh-CN"/>
                    </w:rPr>
                    <w:t>声源控制措施</w:t>
                  </w:r>
                </w:p>
              </w:tc>
              <w:tc>
                <w:tcPr>
                  <w:tcW w:w="1023" w:type="dxa"/>
                  <w:vMerge w:val="restart"/>
                  <w:vAlign w:val="center"/>
                </w:tcPr>
                <w:p>
                  <w:pPr>
                    <w:pStyle w:val="28"/>
                    <w:bidi w:val="0"/>
                    <w:jc w:val="center"/>
                    <w:rPr>
                      <w:rFonts w:hint="default"/>
                      <w:lang w:val="en-US" w:eastAsia="zh-CN"/>
                    </w:rPr>
                  </w:pPr>
                  <w:r>
                    <w:rPr>
                      <w:rFonts w:hint="eastAsia"/>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2" w:type="dxa"/>
                  <w:vMerge w:val="continue"/>
                  <w:vAlign w:val="center"/>
                </w:tcPr>
                <w:p>
                  <w:pPr>
                    <w:pStyle w:val="28"/>
                    <w:bidi w:val="0"/>
                    <w:jc w:val="center"/>
                    <w:rPr>
                      <w:rFonts w:hint="eastAsia"/>
                      <w:lang w:val="en-US" w:eastAsia="zh-CN"/>
                    </w:rPr>
                  </w:pPr>
                </w:p>
              </w:tc>
              <w:tc>
                <w:tcPr>
                  <w:tcW w:w="1022" w:type="dxa"/>
                  <w:vMerge w:val="continue"/>
                  <w:vAlign w:val="center"/>
                </w:tcPr>
                <w:p>
                  <w:pPr>
                    <w:pStyle w:val="28"/>
                    <w:bidi w:val="0"/>
                    <w:jc w:val="center"/>
                    <w:rPr>
                      <w:rFonts w:hint="eastAsia"/>
                      <w:lang w:val="en-US" w:eastAsia="zh-CN"/>
                    </w:rPr>
                  </w:pPr>
                </w:p>
              </w:tc>
              <w:tc>
                <w:tcPr>
                  <w:tcW w:w="1027" w:type="dxa"/>
                  <w:gridSpan w:val="2"/>
                  <w:vAlign w:val="center"/>
                </w:tcPr>
                <w:p>
                  <w:pPr>
                    <w:pStyle w:val="28"/>
                    <w:bidi w:val="0"/>
                    <w:jc w:val="center"/>
                    <w:rPr>
                      <w:rFonts w:hint="default"/>
                      <w:lang w:val="en-US" w:eastAsia="zh-CN"/>
                    </w:rPr>
                  </w:pPr>
                  <w:r>
                    <w:rPr>
                      <w:rFonts w:hint="eastAsia"/>
                      <w:lang w:val="en-US" w:eastAsia="zh-CN"/>
                    </w:rPr>
                    <w:t>X</w:t>
                  </w:r>
                </w:p>
              </w:tc>
              <w:tc>
                <w:tcPr>
                  <w:tcW w:w="1017" w:type="dxa"/>
                  <w:vAlign w:val="center"/>
                </w:tcPr>
                <w:p>
                  <w:pPr>
                    <w:pStyle w:val="28"/>
                    <w:bidi w:val="0"/>
                    <w:jc w:val="center"/>
                    <w:rPr>
                      <w:rFonts w:hint="default"/>
                      <w:lang w:val="en-US" w:eastAsia="zh-CN"/>
                    </w:rPr>
                  </w:pPr>
                  <w:r>
                    <w:rPr>
                      <w:rFonts w:hint="eastAsia"/>
                      <w:lang w:val="en-US" w:eastAsia="zh-CN"/>
                    </w:rPr>
                    <w:t>Y</w:t>
                  </w:r>
                </w:p>
              </w:tc>
              <w:tc>
                <w:tcPr>
                  <w:tcW w:w="1022" w:type="dxa"/>
                  <w:vAlign w:val="center"/>
                </w:tcPr>
                <w:p>
                  <w:pPr>
                    <w:pStyle w:val="28"/>
                    <w:bidi w:val="0"/>
                    <w:jc w:val="center"/>
                    <w:rPr>
                      <w:rFonts w:hint="default"/>
                      <w:lang w:val="en-US" w:eastAsia="zh-CN"/>
                    </w:rPr>
                  </w:pPr>
                  <w:r>
                    <w:rPr>
                      <w:rFonts w:hint="eastAsia"/>
                      <w:lang w:val="en-US" w:eastAsia="zh-CN"/>
                    </w:rPr>
                    <w:t>Z</w:t>
                  </w:r>
                </w:p>
              </w:tc>
              <w:tc>
                <w:tcPr>
                  <w:tcW w:w="1023" w:type="dxa"/>
                  <w:vMerge w:val="continue"/>
                  <w:vAlign w:val="center"/>
                </w:tcPr>
                <w:p>
                  <w:pPr>
                    <w:pStyle w:val="28"/>
                    <w:bidi w:val="0"/>
                    <w:jc w:val="center"/>
                    <w:rPr>
                      <w:rFonts w:hint="eastAsia"/>
                      <w:lang w:val="en-US" w:eastAsia="zh-CN"/>
                    </w:rPr>
                  </w:pPr>
                </w:p>
              </w:tc>
              <w:tc>
                <w:tcPr>
                  <w:tcW w:w="1023" w:type="dxa"/>
                  <w:vMerge w:val="continue"/>
                  <w:vAlign w:val="center"/>
                </w:tcPr>
                <w:p>
                  <w:pPr>
                    <w:pStyle w:val="28"/>
                    <w:bidi w:val="0"/>
                    <w:jc w:val="center"/>
                    <w:rPr>
                      <w:rFonts w:hint="default"/>
                      <w:lang w:val="en-US" w:eastAsia="zh-CN"/>
                    </w:rPr>
                  </w:pPr>
                </w:p>
              </w:tc>
              <w:tc>
                <w:tcPr>
                  <w:tcW w:w="1023" w:type="dxa"/>
                  <w:vMerge w:val="continue"/>
                  <w:vAlign w:val="center"/>
                </w:tcPr>
                <w:p>
                  <w:pPr>
                    <w:pStyle w:val="28"/>
                    <w:bidi w:val="0"/>
                    <w:jc w:val="center"/>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pStyle w:val="28"/>
                    <w:bidi w:val="0"/>
                    <w:jc w:val="center"/>
                    <w:rPr>
                      <w:rFonts w:hint="default"/>
                      <w:lang w:val="en-US" w:eastAsia="zh-CN"/>
                    </w:rPr>
                  </w:pPr>
                  <w:r>
                    <w:t>1</w:t>
                  </w:r>
                </w:p>
              </w:tc>
              <w:tc>
                <w:tcPr>
                  <w:tcW w:w="1022" w:type="dxa"/>
                  <w:vAlign w:val="center"/>
                </w:tcPr>
                <w:p>
                  <w:pPr>
                    <w:pStyle w:val="28"/>
                    <w:bidi w:val="0"/>
                    <w:jc w:val="center"/>
                    <w:rPr>
                      <w:rFonts w:hint="default"/>
                      <w:lang w:val="en-US" w:eastAsia="zh-CN"/>
                    </w:rPr>
                  </w:pPr>
                  <w:r>
                    <w:t>废气处理系统</w:t>
                  </w:r>
                </w:p>
              </w:tc>
              <w:tc>
                <w:tcPr>
                  <w:tcW w:w="1022" w:type="dxa"/>
                  <w:vAlign w:val="center"/>
                </w:tcPr>
                <w:p>
                  <w:pPr>
                    <w:pStyle w:val="28"/>
                    <w:bidi w:val="0"/>
                    <w:jc w:val="center"/>
                    <w:rPr>
                      <w:rFonts w:hint="default"/>
                      <w:lang w:val="en-US" w:eastAsia="zh-CN"/>
                    </w:rPr>
                  </w:pPr>
                  <w:r>
                    <w:t>31.8</w:t>
                  </w:r>
                </w:p>
              </w:tc>
              <w:tc>
                <w:tcPr>
                  <w:tcW w:w="1022" w:type="dxa"/>
                  <w:gridSpan w:val="2"/>
                  <w:vAlign w:val="center"/>
                </w:tcPr>
                <w:p>
                  <w:pPr>
                    <w:pStyle w:val="28"/>
                    <w:bidi w:val="0"/>
                    <w:jc w:val="center"/>
                    <w:rPr>
                      <w:rFonts w:hint="default"/>
                      <w:lang w:val="en-US" w:eastAsia="zh-CN"/>
                    </w:rPr>
                  </w:pPr>
                  <w:r>
                    <w:t>53.2</w:t>
                  </w:r>
                </w:p>
              </w:tc>
              <w:tc>
                <w:tcPr>
                  <w:tcW w:w="1022" w:type="dxa"/>
                  <w:vAlign w:val="center"/>
                </w:tcPr>
                <w:p>
                  <w:pPr>
                    <w:pStyle w:val="28"/>
                    <w:bidi w:val="0"/>
                    <w:jc w:val="center"/>
                    <w:rPr>
                      <w:rFonts w:hint="default"/>
                      <w:lang w:val="en-US" w:eastAsia="zh-CN"/>
                    </w:rPr>
                  </w:pPr>
                  <w:r>
                    <w:t>1.2</w:t>
                  </w:r>
                </w:p>
              </w:tc>
              <w:tc>
                <w:tcPr>
                  <w:tcW w:w="1023" w:type="dxa"/>
                  <w:vAlign w:val="center"/>
                </w:tcPr>
                <w:p>
                  <w:pPr>
                    <w:pStyle w:val="28"/>
                    <w:bidi w:val="0"/>
                    <w:jc w:val="center"/>
                    <w:rPr>
                      <w:rFonts w:hint="default"/>
                      <w:lang w:val="en-US" w:eastAsia="zh-CN"/>
                    </w:rPr>
                  </w:pPr>
                  <w:r>
                    <w:t>80</w:t>
                  </w:r>
                </w:p>
              </w:tc>
              <w:tc>
                <w:tcPr>
                  <w:tcW w:w="1023" w:type="dxa"/>
                  <w:vAlign w:val="center"/>
                </w:tcPr>
                <w:p>
                  <w:pPr>
                    <w:pStyle w:val="28"/>
                    <w:bidi w:val="0"/>
                    <w:jc w:val="center"/>
                    <w:rPr>
                      <w:rFonts w:hint="default"/>
                      <w:lang w:val="en-US" w:eastAsia="zh-CN"/>
                    </w:rPr>
                  </w:pPr>
                  <w:r>
                    <w:rPr>
                      <w:rFonts w:hint="eastAsia"/>
                      <w:lang w:val="en-US" w:eastAsia="zh-CN"/>
                    </w:rPr>
                    <w:t>采用低噪声设备，基础减振</w:t>
                  </w:r>
                </w:p>
              </w:tc>
              <w:tc>
                <w:tcPr>
                  <w:tcW w:w="1023" w:type="dxa"/>
                  <w:vAlign w:val="center"/>
                </w:tcPr>
                <w:p>
                  <w:pPr>
                    <w:pStyle w:val="28"/>
                    <w:bidi w:val="0"/>
                    <w:jc w:val="center"/>
                    <w:rPr>
                      <w:rFonts w:hint="default"/>
                      <w:lang w:val="en-US" w:eastAsia="zh-CN"/>
                    </w:rPr>
                  </w:pPr>
                  <w:r>
                    <w:rPr>
                      <w:rFonts w:hint="eastAsia"/>
                      <w:lang w:val="en-US" w:eastAsia="zh-CN"/>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pStyle w:val="28"/>
                    <w:bidi w:val="0"/>
                    <w:jc w:val="center"/>
                    <w:rPr>
                      <w:rFonts w:hint="default"/>
                      <w:lang w:val="en-US" w:eastAsia="zh-CN"/>
                    </w:rPr>
                  </w:pPr>
                  <w:r>
                    <w:t>2</w:t>
                  </w:r>
                </w:p>
              </w:tc>
              <w:tc>
                <w:tcPr>
                  <w:tcW w:w="1022" w:type="dxa"/>
                  <w:vAlign w:val="center"/>
                </w:tcPr>
                <w:p>
                  <w:pPr>
                    <w:pStyle w:val="28"/>
                    <w:bidi w:val="0"/>
                    <w:jc w:val="center"/>
                    <w:rPr>
                      <w:rFonts w:hint="default"/>
                      <w:lang w:val="en-US" w:eastAsia="zh-CN"/>
                    </w:rPr>
                  </w:pPr>
                  <w:r>
                    <w:t>槽罐车1</w:t>
                  </w:r>
                </w:p>
              </w:tc>
              <w:tc>
                <w:tcPr>
                  <w:tcW w:w="1022" w:type="dxa"/>
                  <w:vAlign w:val="center"/>
                </w:tcPr>
                <w:p>
                  <w:pPr>
                    <w:pStyle w:val="28"/>
                    <w:bidi w:val="0"/>
                    <w:jc w:val="center"/>
                    <w:rPr>
                      <w:rFonts w:hint="default"/>
                      <w:lang w:val="en-US" w:eastAsia="zh-CN"/>
                    </w:rPr>
                  </w:pPr>
                  <w:r>
                    <w:t>-46.8</w:t>
                  </w:r>
                </w:p>
              </w:tc>
              <w:tc>
                <w:tcPr>
                  <w:tcW w:w="1022" w:type="dxa"/>
                  <w:gridSpan w:val="2"/>
                  <w:vAlign w:val="center"/>
                </w:tcPr>
                <w:p>
                  <w:pPr>
                    <w:pStyle w:val="28"/>
                    <w:bidi w:val="0"/>
                    <w:jc w:val="center"/>
                    <w:rPr>
                      <w:rFonts w:hint="default"/>
                      <w:lang w:val="en-US" w:eastAsia="zh-CN"/>
                    </w:rPr>
                  </w:pPr>
                  <w:r>
                    <w:t>59</w:t>
                  </w:r>
                </w:p>
              </w:tc>
              <w:tc>
                <w:tcPr>
                  <w:tcW w:w="1022" w:type="dxa"/>
                  <w:vAlign w:val="center"/>
                </w:tcPr>
                <w:p>
                  <w:pPr>
                    <w:pStyle w:val="28"/>
                    <w:bidi w:val="0"/>
                    <w:jc w:val="center"/>
                    <w:rPr>
                      <w:rFonts w:hint="default"/>
                      <w:lang w:val="en-US" w:eastAsia="zh-CN"/>
                    </w:rPr>
                  </w:pPr>
                  <w:r>
                    <w:t>1.2</w:t>
                  </w:r>
                </w:p>
              </w:tc>
              <w:tc>
                <w:tcPr>
                  <w:tcW w:w="1023" w:type="dxa"/>
                  <w:vAlign w:val="center"/>
                </w:tcPr>
                <w:p>
                  <w:pPr>
                    <w:pStyle w:val="28"/>
                    <w:bidi w:val="0"/>
                    <w:jc w:val="center"/>
                    <w:rPr>
                      <w:rFonts w:hint="default"/>
                      <w:lang w:val="en-US" w:eastAsia="zh-CN"/>
                    </w:rPr>
                  </w:pPr>
                  <w:r>
                    <w:t>75</w:t>
                  </w:r>
                </w:p>
              </w:tc>
              <w:tc>
                <w:tcPr>
                  <w:tcW w:w="1023" w:type="dxa"/>
                  <w:vMerge w:val="restart"/>
                  <w:vAlign w:val="center"/>
                </w:tcPr>
                <w:p>
                  <w:pPr>
                    <w:pStyle w:val="28"/>
                    <w:bidi w:val="0"/>
                    <w:jc w:val="center"/>
                    <w:rPr>
                      <w:rFonts w:hint="default"/>
                      <w:lang w:val="en-US" w:eastAsia="zh-CN"/>
                    </w:rPr>
                  </w:pPr>
                  <w:r>
                    <w:rPr>
                      <w:rFonts w:hint="eastAsia"/>
                      <w:lang w:val="en-US" w:eastAsia="zh-CN"/>
                    </w:rPr>
                    <w:t>车辆减速慢行，控制车辆进出数量</w:t>
                  </w:r>
                </w:p>
              </w:tc>
              <w:tc>
                <w:tcPr>
                  <w:tcW w:w="1023" w:type="dxa"/>
                  <w:vAlign w:val="center"/>
                </w:tcPr>
                <w:p>
                  <w:pPr>
                    <w:pStyle w:val="28"/>
                    <w:bidi w:val="0"/>
                    <w:jc w:val="center"/>
                    <w:rPr>
                      <w:rFonts w:hint="default"/>
                      <w:lang w:val="en-US" w:eastAsia="zh-CN"/>
                    </w:rPr>
                  </w:pPr>
                  <w:r>
                    <w:rPr>
                      <w:rFonts w:hint="eastAsia"/>
                      <w:lang w:val="en-US" w:eastAsia="zh-CN"/>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pStyle w:val="28"/>
                    <w:bidi w:val="0"/>
                    <w:jc w:val="center"/>
                    <w:rPr>
                      <w:rFonts w:hint="default"/>
                      <w:lang w:val="en-US" w:eastAsia="zh-CN"/>
                    </w:rPr>
                  </w:pPr>
                  <w:r>
                    <w:t>3</w:t>
                  </w:r>
                </w:p>
              </w:tc>
              <w:tc>
                <w:tcPr>
                  <w:tcW w:w="1022" w:type="dxa"/>
                  <w:vAlign w:val="center"/>
                </w:tcPr>
                <w:p>
                  <w:pPr>
                    <w:pStyle w:val="28"/>
                    <w:bidi w:val="0"/>
                    <w:jc w:val="center"/>
                    <w:rPr>
                      <w:rFonts w:hint="default"/>
                      <w:lang w:val="en-US" w:eastAsia="zh-CN"/>
                    </w:rPr>
                  </w:pPr>
                  <w:r>
                    <w:t>槽罐车2</w:t>
                  </w:r>
                </w:p>
              </w:tc>
              <w:tc>
                <w:tcPr>
                  <w:tcW w:w="1022" w:type="dxa"/>
                  <w:vAlign w:val="center"/>
                </w:tcPr>
                <w:p>
                  <w:pPr>
                    <w:pStyle w:val="28"/>
                    <w:bidi w:val="0"/>
                    <w:jc w:val="center"/>
                    <w:rPr>
                      <w:rFonts w:hint="default"/>
                      <w:lang w:val="en-US" w:eastAsia="zh-CN"/>
                    </w:rPr>
                  </w:pPr>
                  <w:r>
                    <w:t>-80.3</w:t>
                  </w:r>
                </w:p>
              </w:tc>
              <w:tc>
                <w:tcPr>
                  <w:tcW w:w="1022" w:type="dxa"/>
                  <w:gridSpan w:val="2"/>
                  <w:vAlign w:val="center"/>
                </w:tcPr>
                <w:p>
                  <w:pPr>
                    <w:pStyle w:val="28"/>
                    <w:bidi w:val="0"/>
                    <w:jc w:val="center"/>
                    <w:rPr>
                      <w:rFonts w:hint="default"/>
                      <w:lang w:val="en-US" w:eastAsia="zh-CN"/>
                    </w:rPr>
                  </w:pPr>
                  <w:r>
                    <w:t>120.1</w:t>
                  </w:r>
                </w:p>
              </w:tc>
              <w:tc>
                <w:tcPr>
                  <w:tcW w:w="1022" w:type="dxa"/>
                  <w:vAlign w:val="center"/>
                </w:tcPr>
                <w:p>
                  <w:pPr>
                    <w:pStyle w:val="28"/>
                    <w:bidi w:val="0"/>
                    <w:jc w:val="center"/>
                    <w:rPr>
                      <w:rFonts w:hint="default"/>
                      <w:lang w:val="en-US" w:eastAsia="zh-CN"/>
                    </w:rPr>
                  </w:pPr>
                  <w:r>
                    <w:t>1.2</w:t>
                  </w:r>
                </w:p>
              </w:tc>
              <w:tc>
                <w:tcPr>
                  <w:tcW w:w="1023" w:type="dxa"/>
                  <w:vAlign w:val="center"/>
                </w:tcPr>
                <w:p>
                  <w:pPr>
                    <w:pStyle w:val="28"/>
                    <w:bidi w:val="0"/>
                    <w:jc w:val="center"/>
                    <w:rPr>
                      <w:rFonts w:hint="default"/>
                      <w:lang w:val="en-US" w:eastAsia="zh-CN"/>
                    </w:rPr>
                  </w:pPr>
                  <w:r>
                    <w:t>75</w:t>
                  </w:r>
                </w:p>
              </w:tc>
              <w:tc>
                <w:tcPr>
                  <w:tcW w:w="1023" w:type="dxa"/>
                  <w:vMerge w:val="continue"/>
                  <w:vAlign w:val="center"/>
                </w:tcPr>
                <w:p>
                  <w:pPr>
                    <w:pStyle w:val="28"/>
                    <w:bidi w:val="0"/>
                    <w:jc w:val="center"/>
                    <w:rPr>
                      <w:rFonts w:hint="default"/>
                      <w:lang w:val="en-US" w:eastAsia="zh-CN"/>
                    </w:rPr>
                  </w:pPr>
                </w:p>
              </w:tc>
              <w:tc>
                <w:tcPr>
                  <w:tcW w:w="1023" w:type="dxa"/>
                  <w:vAlign w:val="center"/>
                </w:tcPr>
                <w:p>
                  <w:pPr>
                    <w:pStyle w:val="28"/>
                    <w:bidi w:val="0"/>
                    <w:jc w:val="center"/>
                    <w:rPr>
                      <w:rFonts w:hint="default"/>
                      <w:lang w:val="en-US" w:eastAsia="zh-CN"/>
                    </w:rPr>
                  </w:pPr>
                  <w:r>
                    <w:rPr>
                      <w:rFonts w:hint="eastAsia"/>
                      <w:lang w:val="en-US" w:eastAsia="zh-CN"/>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pStyle w:val="28"/>
                    <w:bidi w:val="0"/>
                    <w:jc w:val="center"/>
                    <w:rPr>
                      <w:rFonts w:hint="default"/>
                      <w:lang w:val="en-US" w:eastAsia="zh-CN"/>
                    </w:rPr>
                  </w:pPr>
                  <w:r>
                    <w:t>4</w:t>
                  </w:r>
                </w:p>
              </w:tc>
              <w:tc>
                <w:tcPr>
                  <w:tcW w:w="1022" w:type="dxa"/>
                  <w:vAlign w:val="center"/>
                </w:tcPr>
                <w:p>
                  <w:pPr>
                    <w:pStyle w:val="28"/>
                    <w:bidi w:val="0"/>
                    <w:jc w:val="center"/>
                    <w:rPr>
                      <w:rFonts w:hint="default"/>
                      <w:lang w:val="en-US" w:eastAsia="zh-CN"/>
                    </w:rPr>
                  </w:pPr>
                  <w:r>
                    <w:t>槽罐车3</w:t>
                  </w:r>
                </w:p>
              </w:tc>
              <w:tc>
                <w:tcPr>
                  <w:tcW w:w="1022" w:type="dxa"/>
                  <w:vAlign w:val="center"/>
                </w:tcPr>
                <w:p>
                  <w:pPr>
                    <w:pStyle w:val="28"/>
                    <w:bidi w:val="0"/>
                    <w:jc w:val="center"/>
                    <w:rPr>
                      <w:rFonts w:hint="default"/>
                      <w:lang w:val="en-US" w:eastAsia="zh-CN"/>
                    </w:rPr>
                  </w:pPr>
                  <w:r>
                    <w:t>-10.8</w:t>
                  </w:r>
                </w:p>
              </w:tc>
              <w:tc>
                <w:tcPr>
                  <w:tcW w:w="1022" w:type="dxa"/>
                  <w:gridSpan w:val="2"/>
                  <w:vAlign w:val="center"/>
                </w:tcPr>
                <w:p>
                  <w:pPr>
                    <w:pStyle w:val="28"/>
                    <w:bidi w:val="0"/>
                    <w:jc w:val="center"/>
                    <w:rPr>
                      <w:rFonts w:hint="default"/>
                      <w:lang w:val="en-US" w:eastAsia="zh-CN"/>
                    </w:rPr>
                  </w:pPr>
                  <w:r>
                    <w:t>11.7</w:t>
                  </w:r>
                </w:p>
              </w:tc>
              <w:tc>
                <w:tcPr>
                  <w:tcW w:w="1022" w:type="dxa"/>
                  <w:vAlign w:val="center"/>
                </w:tcPr>
                <w:p>
                  <w:pPr>
                    <w:pStyle w:val="28"/>
                    <w:bidi w:val="0"/>
                    <w:jc w:val="center"/>
                    <w:rPr>
                      <w:rFonts w:hint="default"/>
                      <w:lang w:val="en-US" w:eastAsia="zh-CN"/>
                    </w:rPr>
                  </w:pPr>
                  <w:r>
                    <w:t>1.2</w:t>
                  </w:r>
                </w:p>
              </w:tc>
              <w:tc>
                <w:tcPr>
                  <w:tcW w:w="1023" w:type="dxa"/>
                  <w:vAlign w:val="center"/>
                </w:tcPr>
                <w:p>
                  <w:pPr>
                    <w:pStyle w:val="28"/>
                    <w:bidi w:val="0"/>
                    <w:jc w:val="center"/>
                    <w:rPr>
                      <w:rFonts w:hint="default"/>
                      <w:lang w:val="en-US" w:eastAsia="zh-CN"/>
                    </w:rPr>
                  </w:pPr>
                  <w:r>
                    <w:t>75</w:t>
                  </w:r>
                </w:p>
              </w:tc>
              <w:tc>
                <w:tcPr>
                  <w:tcW w:w="1023" w:type="dxa"/>
                  <w:vMerge w:val="continue"/>
                  <w:vAlign w:val="center"/>
                </w:tcPr>
                <w:p>
                  <w:pPr>
                    <w:pStyle w:val="28"/>
                    <w:bidi w:val="0"/>
                    <w:jc w:val="center"/>
                    <w:rPr>
                      <w:rFonts w:hint="default"/>
                      <w:lang w:val="en-US" w:eastAsia="zh-CN"/>
                    </w:rPr>
                  </w:pPr>
                </w:p>
              </w:tc>
              <w:tc>
                <w:tcPr>
                  <w:tcW w:w="1023" w:type="dxa"/>
                  <w:vAlign w:val="center"/>
                </w:tcPr>
                <w:p>
                  <w:pPr>
                    <w:pStyle w:val="28"/>
                    <w:bidi w:val="0"/>
                    <w:jc w:val="center"/>
                    <w:rPr>
                      <w:rFonts w:hint="default"/>
                      <w:lang w:val="en-US" w:eastAsia="zh-CN"/>
                    </w:rPr>
                  </w:pPr>
                  <w:r>
                    <w:rPr>
                      <w:rFonts w:hint="eastAsia"/>
                      <w:lang w:val="en-US" w:eastAsia="zh-CN"/>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pStyle w:val="28"/>
                    <w:bidi w:val="0"/>
                    <w:jc w:val="center"/>
                    <w:rPr>
                      <w:rFonts w:hint="default"/>
                      <w:lang w:val="en-US" w:eastAsia="zh-CN"/>
                    </w:rPr>
                  </w:pPr>
                  <w:r>
                    <w:t>5</w:t>
                  </w:r>
                </w:p>
              </w:tc>
              <w:tc>
                <w:tcPr>
                  <w:tcW w:w="1022" w:type="dxa"/>
                  <w:vAlign w:val="center"/>
                </w:tcPr>
                <w:p>
                  <w:pPr>
                    <w:pStyle w:val="28"/>
                    <w:bidi w:val="0"/>
                    <w:jc w:val="center"/>
                    <w:rPr>
                      <w:rFonts w:hint="default"/>
                      <w:lang w:val="en-US" w:eastAsia="zh-CN"/>
                    </w:rPr>
                  </w:pPr>
                  <w:r>
                    <w:t>槽罐车4</w:t>
                  </w:r>
                </w:p>
              </w:tc>
              <w:tc>
                <w:tcPr>
                  <w:tcW w:w="1022" w:type="dxa"/>
                  <w:vAlign w:val="center"/>
                </w:tcPr>
                <w:p>
                  <w:pPr>
                    <w:pStyle w:val="28"/>
                    <w:bidi w:val="0"/>
                    <w:jc w:val="center"/>
                    <w:rPr>
                      <w:rFonts w:hint="default"/>
                      <w:lang w:val="en-US" w:eastAsia="zh-CN"/>
                    </w:rPr>
                  </w:pPr>
                  <w:r>
                    <w:t>34.5</w:t>
                  </w:r>
                </w:p>
              </w:tc>
              <w:tc>
                <w:tcPr>
                  <w:tcW w:w="1022" w:type="dxa"/>
                  <w:gridSpan w:val="2"/>
                  <w:vAlign w:val="center"/>
                </w:tcPr>
                <w:p>
                  <w:pPr>
                    <w:pStyle w:val="28"/>
                    <w:bidi w:val="0"/>
                    <w:jc w:val="center"/>
                    <w:rPr>
                      <w:rFonts w:hint="default"/>
                      <w:lang w:val="en-US" w:eastAsia="zh-CN"/>
                    </w:rPr>
                  </w:pPr>
                  <w:r>
                    <w:t>-41.8</w:t>
                  </w:r>
                </w:p>
              </w:tc>
              <w:tc>
                <w:tcPr>
                  <w:tcW w:w="1022" w:type="dxa"/>
                  <w:vAlign w:val="center"/>
                </w:tcPr>
                <w:p>
                  <w:pPr>
                    <w:pStyle w:val="28"/>
                    <w:bidi w:val="0"/>
                    <w:jc w:val="center"/>
                    <w:rPr>
                      <w:rFonts w:hint="default"/>
                      <w:lang w:val="en-US" w:eastAsia="zh-CN"/>
                    </w:rPr>
                  </w:pPr>
                  <w:r>
                    <w:t>1.2</w:t>
                  </w:r>
                </w:p>
              </w:tc>
              <w:tc>
                <w:tcPr>
                  <w:tcW w:w="1023" w:type="dxa"/>
                  <w:vAlign w:val="center"/>
                </w:tcPr>
                <w:p>
                  <w:pPr>
                    <w:pStyle w:val="28"/>
                    <w:bidi w:val="0"/>
                    <w:jc w:val="center"/>
                    <w:rPr>
                      <w:rFonts w:hint="default"/>
                      <w:lang w:val="en-US" w:eastAsia="zh-CN"/>
                    </w:rPr>
                  </w:pPr>
                  <w:r>
                    <w:t>75</w:t>
                  </w:r>
                </w:p>
              </w:tc>
              <w:tc>
                <w:tcPr>
                  <w:tcW w:w="1023" w:type="dxa"/>
                  <w:vMerge w:val="continue"/>
                  <w:vAlign w:val="center"/>
                </w:tcPr>
                <w:p>
                  <w:pPr>
                    <w:pStyle w:val="28"/>
                    <w:bidi w:val="0"/>
                    <w:jc w:val="center"/>
                    <w:rPr>
                      <w:rFonts w:hint="default"/>
                      <w:lang w:val="en-US" w:eastAsia="zh-CN"/>
                    </w:rPr>
                  </w:pPr>
                </w:p>
              </w:tc>
              <w:tc>
                <w:tcPr>
                  <w:tcW w:w="1023" w:type="dxa"/>
                  <w:vAlign w:val="center"/>
                </w:tcPr>
                <w:p>
                  <w:pPr>
                    <w:pStyle w:val="28"/>
                    <w:bidi w:val="0"/>
                    <w:jc w:val="center"/>
                    <w:rPr>
                      <w:rFonts w:hint="default"/>
                      <w:lang w:val="en-US" w:eastAsia="zh-CN"/>
                    </w:rPr>
                  </w:pPr>
                  <w:r>
                    <w:rPr>
                      <w:rFonts w:hint="eastAsia"/>
                      <w:lang w:val="en-US" w:eastAsia="zh-CN"/>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pStyle w:val="28"/>
                    <w:bidi w:val="0"/>
                    <w:jc w:val="center"/>
                    <w:rPr>
                      <w:rFonts w:hint="default"/>
                      <w:lang w:val="en-US" w:eastAsia="zh-CN"/>
                    </w:rPr>
                  </w:pPr>
                  <w:r>
                    <w:t>6</w:t>
                  </w:r>
                </w:p>
              </w:tc>
              <w:tc>
                <w:tcPr>
                  <w:tcW w:w="1022" w:type="dxa"/>
                  <w:vAlign w:val="center"/>
                </w:tcPr>
                <w:p>
                  <w:pPr>
                    <w:pStyle w:val="28"/>
                    <w:bidi w:val="0"/>
                    <w:jc w:val="center"/>
                    <w:rPr>
                      <w:rFonts w:hint="default"/>
                      <w:lang w:val="en-US" w:eastAsia="zh-CN"/>
                    </w:rPr>
                  </w:pPr>
                  <w:r>
                    <w:t>槽罐车5</w:t>
                  </w:r>
                </w:p>
              </w:tc>
              <w:tc>
                <w:tcPr>
                  <w:tcW w:w="1022" w:type="dxa"/>
                  <w:vAlign w:val="center"/>
                </w:tcPr>
                <w:p>
                  <w:pPr>
                    <w:pStyle w:val="28"/>
                    <w:bidi w:val="0"/>
                    <w:jc w:val="center"/>
                    <w:rPr>
                      <w:rFonts w:hint="default"/>
                      <w:lang w:val="en-US" w:eastAsia="zh-CN"/>
                    </w:rPr>
                  </w:pPr>
                  <w:r>
                    <w:t>-79.3</w:t>
                  </w:r>
                </w:p>
              </w:tc>
              <w:tc>
                <w:tcPr>
                  <w:tcW w:w="1022" w:type="dxa"/>
                  <w:gridSpan w:val="2"/>
                  <w:vAlign w:val="center"/>
                </w:tcPr>
                <w:p>
                  <w:pPr>
                    <w:pStyle w:val="28"/>
                    <w:bidi w:val="0"/>
                    <w:jc w:val="center"/>
                    <w:rPr>
                      <w:rFonts w:hint="default"/>
                      <w:lang w:val="en-US" w:eastAsia="zh-CN"/>
                    </w:rPr>
                  </w:pPr>
                  <w:r>
                    <w:t>37.8</w:t>
                  </w:r>
                </w:p>
              </w:tc>
              <w:tc>
                <w:tcPr>
                  <w:tcW w:w="1022" w:type="dxa"/>
                  <w:vAlign w:val="center"/>
                </w:tcPr>
                <w:p>
                  <w:pPr>
                    <w:pStyle w:val="28"/>
                    <w:bidi w:val="0"/>
                    <w:jc w:val="center"/>
                    <w:rPr>
                      <w:rFonts w:hint="default"/>
                      <w:lang w:val="en-US" w:eastAsia="zh-CN"/>
                    </w:rPr>
                  </w:pPr>
                  <w:r>
                    <w:t>1.2</w:t>
                  </w:r>
                </w:p>
              </w:tc>
              <w:tc>
                <w:tcPr>
                  <w:tcW w:w="1023" w:type="dxa"/>
                  <w:vAlign w:val="center"/>
                </w:tcPr>
                <w:p>
                  <w:pPr>
                    <w:pStyle w:val="28"/>
                    <w:bidi w:val="0"/>
                    <w:jc w:val="center"/>
                    <w:rPr>
                      <w:rFonts w:hint="default"/>
                      <w:lang w:val="en-US" w:eastAsia="zh-CN"/>
                    </w:rPr>
                  </w:pPr>
                  <w:r>
                    <w:t>75</w:t>
                  </w:r>
                </w:p>
              </w:tc>
              <w:tc>
                <w:tcPr>
                  <w:tcW w:w="1023" w:type="dxa"/>
                  <w:vMerge w:val="continue"/>
                  <w:vAlign w:val="center"/>
                </w:tcPr>
                <w:p>
                  <w:pPr>
                    <w:pStyle w:val="28"/>
                    <w:bidi w:val="0"/>
                    <w:jc w:val="center"/>
                    <w:rPr>
                      <w:rFonts w:hint="default"/>
                      <w:lang w:val="en-US" w:eastAsia="zh-CN"/>
                    </w:rPr>
                  </w:pPr>
                </w:p>
              </w:tc>
              <w:tc>
                <w:tcPr>
                  <w:tcW w:w="1023" w:type="dxa"/>
                  <w:vAlign w:val="center"/>
                </w:tcPr>
                <w:p>
                  <w:pPr>
                    <w:pStyle w:val="28"/>
                    <w:bidi w:val="0"/>
                    <w:jc w:val="center"/>
                    <w:rPr>
                      <w:rFonts w:hint="default"/>
                      <w:lang w:val="en-US" w:eastAsia="zh-CN"/>
                    </w:rPr>
                  </w:pPr>
                  <w:r>
                    <w:rPr>
                      <w:rFonts w:hint="eastAsia"/>
                      <w:lang w:val="en-US" w:eastAsia="zh-CN"/>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pStyle w:val="28"/>
                    <w:bidi w:val="0"/>
                    <w:jc w:val="center"/>
                    <w:rPr>
                      <w:rFonts w:hint="default"/>
                      <w:lang w:val="en-US" w:eastAsia="zh-CN"/>
                    </w:rPr>
                  </w:pPr>
                  <w:r>
                    <w:t>7</w:t>
                  </w:r>
                </w:p>
              </w:tc>
              <w:tc>
                <w:tcPr>
                  <w:tcW w:w="1022" w:type="dxa"/>
                  <w:vAlign w:val="center"/>
                </w:tcPr>
                <w:p>
                  <w:pPr>
                    <w:pStyle w:val="28"/>
                    <w:bidi w:val="0"/>
                    <w:jc w:val="center"/>
                    <w:rPr>
                      <w:rFonts w:hint="default"/>
                      <w:lang w:val="en-US" w:eastAsia="zh-CN"/>
                    </w:rPr>
                  </w:pPr>
                  <w:r>
                    <w:t>槽罐车6</w:t>
                  </w:r>
                </w:p>
              </w:tc>
              <w:tc>
                <w:tcPr>
                  <w:tcW w:w="1022" w:type="dxa"/>
                  <w:vAlign w:val="center"/>
                </w:tcPr>
                <w:p>
                  <w:pPr>
                    <w:pStyle w:val="28"/>
                    <w:bidi w:val="0"/>
                    <w:jc w:val="center"/>
                    <w:rPr>
                      <w:rFonts w:hint="default"/>
                      <w:lang w:val="en-US" w:eastAsia="zh-CN"/>
                    </w:rPr>
                  </w:pPr>
                  <w:r>
                    <w:t>-39.8</w:t>
                  </w:r>
                </w:p>
              </w:tc>
              <w:tc>
                <w:tcPr>
                  <w:tcW w:w="1022" w:type="dxa"/>
                  <w:gridSpan w:val="2"/>
                  <w:vAlign w:val="center"/>
                </w:tcPr>
                <w:p>
                  <w:pPr>
                    <w:pStyle w:val="28"/>
                    <w:bidi w:val="0"/>
                    <w:jc w:val="center"/>
                    <w:rPr>
                      <w:rFonts w:hint="default"/>
                      <w:lang w:val="en-US" w:eastAsia="zh-CN"/>
                    </w:rPr>
                  </w:pPr>
                  <w:r>
                    <w:t>-14.3</w:t>
                  </w:r>
                </w:p>
              </w:tc>
              <w:tc>
                <w:tcPr>
                  <w:tcW w:w="1022" w:type="dxa"/>
                  <w:vAlign w:val="center"/>
                </w:tcPr>
                <w:p>
                  <w:pPr>
                    <w:pStyle w:val="28"/>
                    <w:bidi w:val="0"/>
                    <w:jc w:val="center"/>
                    <w:rPr>
                      <w:rFonts w:hint="default"/>
                      <w:lang w:val="en-US" w:eastAsia="zh-CN"/>
                    </w:rPr>
                  </w:pPr>
                  <w:r>
                    <w:t>1.2</w:t>
                  </w:r>
                </w:p>
              </w:tc>
              <w:tc>
                <w:tcPr>
                  <w:tcW w:w="1023" w:type="dxa"/>
                  <w:vAlign w:val="center"/>
                </w:tcPr>
                <w:p>
                  <w:pPr>
                    <w:pStyle w:val="28"/>
                    <w:bidi w:val="0"/>
                    <w:jc w:val="center"/>
                    <w:rPr>
                      <w:rFonts w:hint="default"/>
                      <w:lang w:val="en-US" w:eastAsia="zh-CN"/>
                    </w:rPr>
                  </w:pPr>
                  <w:r>
                    <w:t>75</w:t>
                  </w:r>
                </w:p>
              </w:tc>
              <w:tc>
                <w:tcPr>
                  <w:tcW w:w="1023" w:type="dxa"/>
                  <w:vMerge w:val="continue"/>
                  <w:vAlign w:val="center"/>
                </w:tcPr>
                <w:p>
                  <w:pPr>
                    <w:pStyle w:val="28"/>
                    <w:bidi w:val="0"/>
                    <w:jc w:val="center"/>
                    <w:rPr>
                      <w:rFonts w:hint="default"/>
                      <w:lang w:val="en-US" w:eastAsia="zh-CN"/>
                    </w:rPr>
                  </w:pPr>
                </w:p>
              </w:tc>
              <w:tc>
                <w:tcPr>
                  <w:tcW w:w="1023" w:type="dxa"/>
                  <w:vAlign w:val="center"/>
                </w:tcPr>
                <w:p>
                  <w:pPr>
                    <w:pStyle w:val="28"/>
                    <w:bidi w:val="0"/>
                    <w:jc w:val="center"/>
                    <w:rPr>
                      <w:rFonts w:hint="default"/>
                      <w:lang w:val="en-US" w:eastAsia="zh-CN"/>
                    </w:rPr>
                  </w:pPr>
                  <w:r>
                    <w:rPr>
                      <w:rFonts w:hint="eastAsia"/>
                      <w:lang w:val="en-US" w:eastAsia="zh-CN"/>
                    </w:rPr>
                    <w:t>24h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 w:type="dxa"/>
                  <w:vAlign w:val="center"/>
                </w:tcPr>
                <w:p>
                  <w:pPr>
                    <w:pStyle w:val="28"/>
                    <w:bidi w:val="0"/>
                    <w:jc w:val="center"/>
                    <w:rPr>
                      <w:rFonts w:hint="default"/>
                      <w:lang w:val="en-US" w:eastAsia="zh-CN"/>
                    </w:rPr>
                  </w:pPr>
                  <w:r>
                    <w:t>8</w:t>
                  </w:r>
                </w:p>
              </w:tc>
              <w:tc>
                <w:tcPr>
                  <w:tcW w:w="1022" w:type="dxa"/>
                  <w:vAlign w:val="center"/>
                </w:tcPr>
                <w:p>
                  <w:pPr>
                    <w:pStyle w:val="28"/>
                    <w:bidi w:val="0"/>
                    <w:jc w:val="center"/>
                    <w:rPr>
                      <w:rFonts w:hint="default"/>
                      <w:lang w:val="en-US" w:eastAsia="zh-CN"/>
                    </w:rPr>
                  </w:pPr>
                  <w:r>
                    <w:t>槽罐车7</w:t>
                  </w:r>
                </w:p>
              </w:tc>
              <w:tc>
                <w:tcPr>
                  <w:tcW w:w="1022" w:type="dxa"/>
                  <w:vAlign w:val="center"/>
                </w:tcPr>
                <w:p>
                  <w:pPr>
                    <w:pStyle w:val="28"/>
                    <w:bidi w:val="0"/>
                    <w:jc w:val="center"/>
                    <w:rPr>
                      <w:rFonts w:hint="default"/>
                      <w:lang w:val="en-US" w:eastAsia="zh-CN"/>
                    </w:rPr>
                  </w:pPr>
                  <w:r>
                    <w:t>6</w:t>
                  </w:r>
                </w:p>
              </w:tc>
              <w:tc>
                <w:tcPr>
                  <w:tcW w:w="1022" w:type="dxa"/>
                  <w:gridSpan w:val="2"/>
                  <w:vAlign w:val="center"/>
                </w:tcPr>
                <w:p>
                  <w:pPr>
                    <w:pStyle w:val="28"/>
                    <w:bidi w:val="0"/>
                    <w:jc w:val="center"/>
                    <w:rPr>
                      <w:rFonts w:hint="default"/>
                      <w:lang w:val="en-US" w:eastAsia="zh-CN"/>
                    </w:rPr>
                  </w:pPr>
                  <w:r>
                    <w:t>-67.4</w:t>
                  </w:r>
                </w:p>
              </w:tc>
              <w:tc>
                <w:tcPr>
                  <w:tcW w:w="1022" w:type="dxa"/>
                  <w:vAlign w:val="center"/>
                </w:tcPr>
                <w:p>
                  <w:pPr>
                    <w:pStyle w:val="28"/>
                    <w:bidi w:val="0"/>
                    <w:jc w:val="center"/>
                    <w:rPr>
                      <w:rFonts w:hint="default"/>
                      <w:lang w:val="en-US" w:eastAsia="zh-CN"/>
                    </w:rPr>
                  </w:pPr>
                  <w:r>
                    <w:t>1.2</w:t>
                  </w:r>
                </w:p>
              </w:tc>
              <w:tc>
                <w:tcPr>
                  <w:tcW w:w="1023" w:type="dxa"/>
                  <w:vAlign w:val="center"/>
                </w:tcPr>
                <w:p>
                  <w:pPr>
                    <w:pStyle w:val="28"/>
                    <w:bidi w:val="0"/>
                    <w:jc w:val="center"/>
                    <w:rPr>
                      <w:rFonts w:hint="default"/>
                      <w:lang w:val="en-US" w:eastAsia="zh-CN"/>
                    </w:rPr>
                  </w:pPr>
                  <w:r>
                    <w:t>75</w:t>
                  </w:r>
                </w:p>
              </w:tc>
              <w:tc>
                <w:tcPr>
                  <w:tcW w:w="1023" w:type="dxa"/>
                  <w:vMerge w:val="continue"/>
                  <w:vAlign w:val="center"/>
                </w:tcPr>
                <w:p>
                  <w:pPr>
                    <w:pStyle w:val="28"/>
                    <w:bidi w:val="0"/>
                    <w:jc w:val="center"/>
                    <w:rPr>
                      <w:rFonts w:hint="default"/>
                      <w:lang w:val="en-US" w:eastAsia="zh-CN"/>
                    </w:rPr>
                  </w:pPr>
                </w:p>
              </w:tc>
              <w:tc>
                <w:tcPr>
                  <w:tcW w:w="1023" w:type="dxa"/>
                  <w:vAlign w:val="center"/>
                </w:tcPr>
                <w:p>
                  <w:pPr>
                    <w:pStyle w:val="28"/>
                    <w:bidi w:val="0"/>
                    <w:jc w:val="center"/>
                    <w:rPr>
                      <w:rFonts w:hint="default"/>
                      <w:lang w:val="en-US" w:eastAsia="zh-CN"/>
                    </w:rPr>
                  </w:pPr>
                  <w:r>
                    <w:rPr>
                      <w:rFonts w:hint="eastAsia"/>
                      <w:lang w:val="en-US" w:eastAsia="zh-CN"/>
                    </w:rPr>
                    <w:t>24h</w:t>
                  </w:r>
                </w:p>
              </w:tc>
            </w:tr>
          </w:tbl>
          <w:p>
            <w:pPr>
              <w:pStyle w:val="29"/>
              <w:bidi w:val="0"/>
              <w:rPr>
                <w:rFonts w:hint="default" w:ascii="Times New Roman" w:hAnsi="Times New Roman" w:cs="Times New Roman"/>
                <w:lang w:val="en-US" w:eastAsia="zh-CN"/>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NumType w:fmt="decimal"/>
          <w:cols w:space="720" w:num="1"/>
          <w:docGrid w:linePitch="312" w:charSpace="0"/>
        </w:sectPr>
      </w:pPr>
    </w:p>
    <w:p>
      <w:pPr>
        <w:pStyle w:val="26"/>
        <w:bidi w:val="0"/>
        <w:rPr>
          <w:rFonts w:hint="default"/>
          <w:lang w:val="en-US" w:eastAsia="zh-CN"/>
        </w:rPr>
      </w:pPr>
      <w:r>
        <w:rPr>
          <w:rFonts w:hint="default"/>
          <w:lang w:val="en-US" w:eastAsia="zh-CN"/>
        </w:rPr>
        <w:t>表 4.4-1 工业企业室</w:t>
      </w:r>
      <w:r>
        <w:rPr>
          <w:rFonts w:hint="eastAsia"/>
          <w:lang w:val="en-US" w:eastAsia="zh-CN"/>
        </w:rPr>
        <w:t>内</w:t>
      </w:r>
      <w:r>
        <w:rPr>
          <w:rFonts w:hint="default"/>
          <w:lang w:val="en-US" w:eastAsia="zh-CN"/>
        </w:rPr>
        <w:t>噪声一览表</w:t>
      </w:r>
    </w:p>
    <w:tbl>
      <w:tblPr>
        <w:tblStyle w:val="16"/>
        <w:tblpPr w:leftFromText="180" w:rightFromText="180" w:vertAnchor="text" w:horzAnchor="page" w:tblpXSpec="center" w:tblpY="323"/>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37"/>
        <w:gridCol w:w="540"/>
        <w:gridCol w:w="511"/>
        <w:gridCol w:w="625"/>
        <w:gridCol w:w="524"/>
        <w:gridCol w:w="580"/>
        <w:gridCol w:w="582"/>
        <w:gridCol w:w="598"/>
        <w:gridCol w:w="498"/>
        <w:gridCol w:w="479"/>
        <w:gridCol w:w="479"/>
        <w:gridCol w:w="500"/>
        <w:gridCol w:w="474"/>
        <w:gridCol w:w="474"/>
        <w:gridCol w:w="474"/>
        <w:gridCol w:w="495"/>
        <w:gridCol w:w="437"/>
        <w:gridCol w:w="455"/>
        <w:gridCol w:w="455"/>
        <w:gridCol w:w="455"/>
        <w:gridCol w:w="482"/>
        <w:gridCol w:w="487"/>
        <w:gridCol w:w="487"/>
        <w:gridCol w:w="487"/>
        <w:gridCol w:w="487"/>
        <w:gridCol w:w="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 w:hRule="atLeast"/>
          <w:jc w:val="center"/>
        </w:trPr>
        <w:tc>
          <w:tcPr>
            <w:tcW w:w="165" w:type="pct"/>
            <w:vMerge w:val="restart"/>
            <w:shd w:val="clear" w:color="auto" w:fill="auto"/>
            <w:vAlign w:val="center"/>
          </w:tcPr>
          <w:p>
            <w:pPr>
              <w:pStyle w:val="22"/>
              <w:bidi w:val="0"/>
              <w:rPr>
                <w:rFonts w:hint="default"/>
              </w:rPr>
            </w:pPr>
            <w:bookmarkStart w:id="7" w:name="PT_6"/>
            <w:r>
              <w:rPr>
                <w:rFonts w:hint="default"/>
              </w:rPr>
              <w:t>序号</w:t>
            </w:r>
          </w:p>
        </w:tc>
        <w:tc>
          <w:tcPr>
            <w:tcW w:w="204" w:type="pct"/>
            <w:vMerge w:val="restart"/>
            <w:shd w:val="clear" w:color="auto" w:fill="auto"/>
            <w:vAlign w:val="center"/>
          </w:tcPr>
          <w:p>
            <w:pPr>
              <w:pStyle w:val="22"/>
              <w:bidi w:val="0"/>
              <w:rPr>
                <w:rFonts w:hint="default"/>
              </w:rPr>
            </w:pPr>
            <w:r>
              <w:rPr>
                <w:rFonts w:hint="default"/>
              </w:rPr>
              <w:t>建筑物名称</w:t>
            </w:r>
          </w:p>
        </w:tc>
        <w:tc>
          <w:tcPr>
            <w:tcW w:w="193" w:type="pct"/>
            <w:vMerge w:val="restart"/>
            <w:shd w:val="clear" w:color="auto" w:fill="auto"/>
            <w:vAlign w:val="center"/>
          </w:tcPr>
          <w:p>
            <w:pPr>
              <w:pStyle w:val="22"/>
              <w:bidi w:val="0"/>
              <w:rPr>
                <w:rFonts w:hint="default"/>
              </w:rPr>
            </w:pPr>
            <w:r>
              <w:rPr>
                <w:rFonts w:hint="default"/>
              </w:rPr>
              <w:t>声源名称</w:t>
            </w:r>
          </w:p>
        </w:tc>
        <w:tc>
          <w:tcPr>
            <w:tcW w:w="236" w:type="pct"/>
            <w:shd w:val="clear" w:color="auto" w:fill="auto"/>
            <w:vAlign w:val="center"/>
          </w:tcPr>
          <w:p>
            <w:pPr>
              <w:pStyle w:val="22"/>
              <w:bidi w:val="0"/>
              <w:rPr>
                <w:rFonts w:hint="default"/>
                <w:lang w:eastAsia="zh-CN"/>
              </w:rPr>
            </w:pPr>
            <w:r>
              <w:rPr>
                <w:rFonts w:hint="default"/>
                <w:lang w:eastAsia="zh-CN"/>
              </w:rPr>
              <w:t>声源源强</w:t>
            </w:r>
          </w:p>
        </w:tc>
        <w:tc>
          <w:tcPr>
            <w:tcW w:w="198" w:type="pct"/>
            <w:vMerge w:val="restart"/>
            <w:shd w:val="clear" w:color="auto" w:fill="auto"/>
            <w:vAlign w:val="center"/>
          </w:tcPr>
          <w:p>
            <w:pPr>
              <w:pStyle w:val="22"/>
              <w:bidi w:val="0"/>
              <w:rPr>
                <w:rFonts w:hint="default"/>
              </w:rPr>
            </w:pPr>
            <w:r>
              <w:rPr>
                <w:rFonts w:hint="default"/>
              </w:rPr>
              <w:t>声源控制措施</w:t>
            </w:r>
          </w:p>
        </w:tc>
        <w:tc>
          <w:tcPr>
            <w:tcW w:w="665" w:type="pct"/>
            <w:gridSpan w:val="3"/>
            <w:shd w:val="clear" w:color="auto" w:fill="auto"/>
            <w:vAlign w:val="center"/>
          </w:tcPr>
          <w:p>
            <w:pPr>
              <w:pStyle w:val="22"/>
              <w:bidi w:val="0"/>
              <w:rPr>
                <w:rFonts w:hint="default"/>
              </w:rPr>
            </w:pPr>
            <w:r>
              <w:rPr>
                <w:rFonts w:hint="default"/>
              </w:rPr>
              <w:t>空间相对位置/m</w:t>
            </w:r>
          </w:p>
        </w:tc>
        <w:tc>
          <w:tcPr>
            <w:tcW w:w="739" w:type="pct"/>
            <w:gridSpan w:val="4"/>
            <w:shd w:val="clear" w:color="auto" w:fill="auto"/>
            <w:vAlign w:val="center"/>
          </w:tcPr>
          <w:p>
            <w:pPr>
              <w:pStyle w:val="22"/>
              <w:bidi w:val="0"/>
              <w:rPr>
                <w:rFonts w:hint="default"/>
              </w:rPr>
            </w:pPr>
            <w:r>
              <w:rPr>
                <w:rFonts w:hint="default"/>
              </w:rPr>
              <w:t>距室内边界距离/m</w:t>
            </w:r>
          </w:p>
        </w:tc>
        <w:tc>
          <w:tcPr>
            <w:tcW w:w="724" w:type="pct"/>
            <w:gridSpan w:val="4"/>
            <w:shd w:val="clear" w:color="auto" w:fill="auto"/>
            <w:vAlign w:val="center"/>
          </w:tcPr>
          <w:p>
            <w:pPr>
              <w:pStyle w:val="22"/>
              <w:bidi w:val="0"/>
              <w:rPr>
                <w:rFonts w:hint="default"/>
              </w:rPr>
            </w:pPr>
            <w:r>
              <w:rPr>
                <w:rFonts w:hint="default"/>
              </w:rPr>
              <w:t>室内边界声级/dB(A)</w:t>
            </w:r>
          </w:p>
        </w:tc>
        <w:tc>
          <w:tcPr>
            <w:tcW w:w="165" w:type="pct"/>
            <w:vMerge w:val="restart"/>
            <w:shd w:val="clear" w:color="auto" w:fill="auto"/>
            <w:vAlign w:val="center"/>
          </w:tcPr>
          <w:p>
            <w:pPr>
              <w:pStyle w:val="22"/>
              <w:bidi w:val="0"/>
              <w:rPr>
                <w:rFonts w:hint="default"/>
              </w:rPr>
            </w:pPr>
            <w:r>
              <w:rPr>
                <w:rFonts w:hint="default"/>
              </w:rPr>
              <w:t>运行时段</w:t>
            </w:r>
          </w:p>
        </w:tc>
        <w:tc>
          <w:tcPr>
            <w:tcW w:w="698" w:type="pct"/>
            <w:gridSpan w:val="4"/>
            <w:shd w:val="clear" w:color="auto" w:fill="auto"/>
            <w:vAlign w:val="center"/>
          </w:tcPr>
          <w:p>
            <w:pPr>
              <w:pStyle w:val="22"/>
              <w:bidi w:val="0"/>
              <w:rPr>
                <w:rFonts w:hint="default"/>
              </w:rPr>
            </w:pPr>
            <w:r>
              <w:rPr>
                <w:rFonts w:hint="default"/>
              </w:rPr>
              <w:t>建筑物插入损失 / dB(A)</w:t>
            </w:r>
            <w:bookmarkStart w:id="8" w:name="PT_10"/>
            <w:bookmarkEnd w:id="8"/>
          </w:p>
        </w:tc>
        <w:tc>
          <w:tcPr>
            <w:tcW w:w="1008" w:type="pct"/>
            <w:gridSpan w:val="5"/>
            <w:shd w:val="clear" w:color="auto" w:fill="auto"/>
            <w:vAlign w:val="center"/>
          </w:tcPr>
          <w:p>
            <w:pPr>
              <w:pStyle w:val="22"/>
              <w:bidi w:val="0"/>
              <w:rPr>
                <w:rFonts w:hint="default"/>
              </w:rPr>
            </w:pPr>
            <w:r>
              <w:rPr>
                <w:rFonts w:hint="default"/>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 w:type="pct"/>
            <w:vMerge w:val="continue"/>
            <w:shd w:val="clear" w:color="auto" w:fill="auto"/>
            <w:tcMar>
              <w:top w:w="0" w:type="dxa"/>
              <w:left w:w="0" w:type="dxa"/>
              <w:bottom w:w="0" w:type="dxa"/>
              <w:right w:w="0" w:type="dxa"/>
            </w:tcMar>
            <w:vAlign w:val="center"/>
          </w:tcPr>
          <w:p>
            <w:pPr>
              <w:pStyle w:val="22"/>
              <w:bidi w:val="0"/>
              <w:rPr>
                <w:rFonts w:hint="default"/>
                <w:lang w:val="en-US" w:eastAsia="zh-CN"/>
              </w:rPr>
            </w:pPr>
          </w:p>
        </w:tc>
        <w:tc>
          <w:tcPr>
            <w:tcW w:w="204" w:type="pct"/>
            <w:vMerge w:val="continue"/>
            <w:shd w:val="clear" w:color="auto" w:fill="auto"/>
            <w:tcMar>
              <w:top w:w="0" w:type="dxa"/>
              <w:left w:w="0" w:type="dxa"/>
              <w:bottom w:w="0" w:type="dxa"/>
              <w:right w:w="0" w:type="dxa"/>
            </w:tcMar>
            <w:vAlign w:val="center"/>
          </w:tcPr>
          <w:p>
            <w:pPr>
              <w:pStyle w:val="22"/>
              <w:bidi w:val="0"/>
              <w:rPr>
                <w:rFonts w:hint="default"/>
              </w:rPr>
            </w:pPr>
          </w:p>
        </w:tc>
        <w:tc>
          <w:tcPr>
            <w:tcW w:w="193" w:type="pct"/>
            <w:vMerge w:val="continue"/>
            <w:shd w:val="clear" w:color="auto" w:fill="auto"/>
            <w:tcMar>
              <w:top w:w="0" w:type="dxa"/>
              <w:left w:w="0" w:type="dxa"/>
              <w:bottom w:w="0" w:type="dxa"/>
              <w:right w:w="0" w:type="dxa"/>
            </w:tcMar>
            <w:vAlign w:val="center"/>
          </w:tcPr>
          <w:p>
            <w:pPr>
              <w:pStyle w:val="22"/>
              <w:bidi w:val="0"/>
              <w:rPr>
                <w:rFonts w:hint="default"/>
              </w:rPr>
            </w:pPr>
          </w:p>
        </w:tc>
        <w:tc>
          <w:tcPr>
            <w:tcW w:w="236" w:type="pct"/>
            <w:shd w:val="clear" w:color="auto" w:fill="auto"/>
            <w:tcMar>
              <w:top w:w="0" w:type="dxa"/>
              <w:left w:w="0" w:type="dxa"/>
              <w:bottom w:w="0" w:type="dxa"/>
              <w:right w:w="0" w:type="dxa"/>
            </w:tcMar>
            <w:vAlign w:val="center"/>
          </w:tcPr>
          <w:p>
            <w:pPr>
              <w:pStyle w:val="22"/>
              <w:bidi w:val="0"/>
              <w:rPr>
                <w:rFonts w:hint="default"/>
              </w:rPr>
            </w:pPr>
            <w:r>
              <w:rPr>
                <w:rFonts w:hint="default"/>
              </w:rPr>
              <w:t>声功率级/dB(A)</w:t>
            </w:r>
          </w:p>
        </w:tc>
        <w:tc>
          <w:tcPr>
            <w:tcW w:w="198" w:type="pct"/>
            <w:vMerge w:val="continue"/>
            <w:shd w:val="clear" w:color="auto" w:fill="auto"/>
            <w:tcMar>
              <w:top w:w="0" w:type="dxa"/>
              <w:left w:w="0" w:type="dxa"/>
              <w:bottom w:w="0" w:type="dxa"/>
              <w:right w:w="0" w:type="dxa"/>
            </w:tcMar>
            <w:vAlign w:val="center"/>
          </w:tcPr>
          <w:p>
            <w:pPr>
              <w:pStyle w:val="22"/>
              <w:bidi w:val="0"/>
              <w:rPr>
                <w:rFonts w:hint="default"/>
              </w:rPr>
            </w:pPr>
          </w:p>
        </w:tc>
        <w:tc>
          <w:tcPr>
            <w:tcW w:w="219" w:type="pct"/>
            <w:shd w:val="clear" w:color="auto" w:fill="auto"/>
            <w:tcMar>
              <w:top w:w="0" w:type="dxa"/>
              <w:left w:w="0" w:type="dxa"/>
              <w:bottom w:w="0" w:type="dxa"/>
              <w:right w:w="0" w:type="dxa"/>
            </w:tcMar>
            <w:vAlign w:val="center"/>
          </w:tcPr>
          <w:p>
            <w:pPr>
              <w:pStyle w:val="22"/>
              <w:bidi w:val="0"/>
              <w:rPr>
                <w:rFonts w:hint="default"/>
              </w:rPr>
            </w:pPr>
            <w:r>
              <w:rPr>
                <w:rFonts w:hint="default"/>
              </w:rPr>
              <w:t>X</w:t>
            </w:r>
          </w:p>
        </w:tc>
        <w:tc>
          <w:tcPr>
            <w:tcW w:w="220" w:type="pct"/>
            <w:shd w:val="clear" w:color="auto" w:fill="auto"/>
            <w:tcMar>
              <w:top w:w="0" w:type="dxa"/>
              <w:left w:w="0" w:type="dxa"/>
              <w:bottom w:w="0" w:type="dxa"/>
              <w:right w:w="0" w:type="dxa"/>
            </w:tcMar>
            <w:vAlign w:val="center"/>
          </w:tcPr>
          <w:p>
            <w:pPr>
              <w:pStyle w:val="22"/>
              <w:bidi w:val="0"/>
              <w:rPr>
                <w:rFonts w:hint="default"/>
              </w:rPr>
            </w:pPr>
            <w:r>
              <w:rPr>
                <w:rFonts w:hint="default"/>
              </w:rPr>
              <w:t>Y</w:t>
            </w:r>
          </w:p>
        </w:tc>
        <w:tc>
          <w:tcPr>
            <w:tcW w:w="226" w:type="pct"/>
            <w:shd w:val="clear" w:color="auto" w:fill="auto"/>
            <w:tcMar>
              <w:top w:w="0" w:type="dxa"/>
              <w:left w:w="0" w:type="dxa"/>
              <w:bottom w:w="0" w:type="dxa"/>
              <w:right w:w="0" w:type="dxa"/>
            </w:tcMar>
            <w:vAlign w:val="center"/>
          </w:tcPr>
          <w:p>
            <w:pPr>
              <w:pStyle w:val="22"/>
              <w:bidi w:val="0"/>
              <w:rPr>
                <w:rFonts w:hint="default"/>
              </w:rPr>
            </w:pPr>
            <w:r>
              <w:rPr>
                <w:rFonts w:hint="default"/>
              </w:rPr>
              <w:t>Z</w:t>
            </w:r>
          </w:p>
        </w:tc>
        <w:tc>
          <w:tcPr>
            <w:tcW w:w="188"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东</w:t>
            </w:r>
          </w:p>
        </w:tc>
        <w:tc>
          <w:tcPr>
            <w:tcW w:w="181"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南</w:t>
            </w:r>
          </w:p>
        </w:tc>
        <w:tc>
          <w:tcPr>
            <w:tcW w:w="181"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西</w:t>
            </w:r>
          </w:p>
        </w:tc>
        <w:tc>
          <w:tcPr>
            <w:tcW w:w="189"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北</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东</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南</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西</w:t>
            </w:r>
          </w:p>
        </w:tc>
        <w:tc>
          <w:tcPr>
            <w:tcW w:w="187"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北</w:t>
            </w:r>
          </w:p>
        </w:tc>
        <w:tc>
          <w:tcPr>
            <w:tcW w:w="165" w:type="pct"/>
            <w:vMerge w:val="continue"/>
            <w:shd w:val="clear" w:color="auto" w:fill="auto"/>
            <w:tcMar>
              <w:top w:w="0" w:type="dxa"/>
              <w:left w:w="0" w:type="dxa"/>
              <w:bottom w:w="0" w:type="dxa"/>
              <w:right w:w="0" w:type="dxa"/>
            </w:tcMar>
            <w:vAlign w:val="center"/>
          </w:tcPr>
          <w:p>
            <w:pPr>
              <w:pStyle w:val="22"/>
              <w:bidi w:val="0"/>
              <w:rPr>
                <w:rFonts w:hint="default"/>
              </w:rPr>
            </w:pP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东</w:t>
            </w: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南</w:t>
            </w: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西</w:t>
            </w:r>
          </w:p>
        </w:tc>
        <w:tc>
          <w:tcPr>
            <w:tcW w:w="182"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北</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东</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南</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西</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lang w:val="en-US" w:eastAsia="zh-CN"/>
              </w:rPr>
              <w:t>北</w:t>
            </w:r>
          </w:p>
        </w:tc>
        <w:tc>
          <w:tcPr>
            <w:tcW w:w="271" w:type="pct"/>
            <w:shd w:val="clear" w:color="auto" w:fill="auto"/>
            <w:tcMar>
              <w:top w:w="0" w:type="dxa"/>
              <w:left w:w="0" w:type="dxa"/>
              <w:bottom w:w="0" w:type="dxa"/>
              <w:right w:w="0" w:type="dxa"/>
            </w:tcMar>
            <w:vAlign w:val="center"/>
          </w:tcPr>
          <w:p>
            <w:pPr>
              <w:pStyle w:val="22"/>
              <w:bidi w:val="0"/>
              <w:rPr>
                <w:rFonts w:hint="default"/>
              </w:rPr>
            </w:pPr>
            <w:r>
              <w:rPr>
                <w:rFonts w:hint="default"/>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 w:type="pct"/>
            <w:shd w:val="clear" w:color="auto" w:fill="auto"/>
            <w:tcMar>
              <w:top w:w="0" w:type="dxa"/>
              <w:left w:w="0" w:type="dxa"/>
              <w:bottom w:w="0" w:type="dxa"/>
              <w:right w:w="0" w:type="dxa"/>
            </w:tcMar>
            <w:vAlign w:val="center"/>
          </w:tcPr>
          <w:p>
            <w:pPr>
              <w:pStyle w:val="22"/>
              <w:bidi w:val="0"/>
              <w:rPr>
                <w:rFonts w:hint="default"/>
              </w:rPr>
            </w:pPr>
            <w:r>
              <w:rPr>
                <w:rFonts w:hint="default"/>
              </w:rPr>
              <w:t>1</w:t>
            </w:r>
          </w:p>
        </w:tc>
        <w:tc>
          <w:tcPr>
            <w:tcW w:w="204" w:type="pct"/>
            <w:shd w:val="clear" w:color="auto" w:fill="auto"/>
            <w:tcMar>
              <w:top w:w="0" w:type="dxa"/>
              <w:left w:w="0" w:type="dxa"/>
              <w:bottom w:w="0" w:type="dxa"/>
              <w:right w:w="0" w:type="dxa"/>
            </w:tcMar>
            <w:vAlign w:val="center"/>
          </w:tcPr>
          <w:p>
            <w:pPr>
              <w:pStyle w:val="22"/>
              <w:bidi w:val="0"/>
              <w:rPr>
                <w:rFonts w:hint="default"/>
              </w:rPr>
            </w:pPr>
            <w:r>
              <w:rPr>
                <w:rFonts w:hint="eastAsia"/>
                <w:lang w:val="en-US" w:eastAsia="zh-CN"/>
              </w:rPr>
              <w:t>洗罐车间</w:t>
            </w:r>
          </w:p>
        </w:tc>
        <w:tc>
          <w:tcPr>
            <w:tcW w:w="193" w:type="pct"/>
            <w:shd w:val="clear" w:color="auto" w:fill="auto"/>
            <w:tcMar>
              <w:top w:w="0" w:type="dxa"/>
              <w:left w:w="0" w:type="dxa"/>
              <w:bottom w:w="0" w:type="dxa"/>
              <w:right w:w="0" w:type="dxa"/>
            </w:tcMar>
            <w:vAlign w:val="center"/>
          </w:tcPr>
          <w:p>
            <w:pPr>
              <w:pStyle w:val="22"/>
              <w:bidi w:val="0"/>
              <w:rPr>
                <w:rFonts w:hint="default"/>
              </w:rPr>
            </w:pPr>
            <w:r>
              <w:rPr>
                <w:rFonts w:hint="default"/>
              </w:rPr>
              <w:t>高压清洗泵站</w:t>
            </w:r>
          </w:p>
        </w:tc>
        <w:tc>
          <w:tcPr>
            <w:tcW w:w="236" w:type="pct"/>
            <w:shd w:val="clear" w:color="auto" w:fill="auto"/>
            <w:tcMar>
              <w:top w:w="0" w:type="dxa"/>
              <w:left w:w="0" w:type="dxa"/>
              <w:bottom w:w="0" w:type="dxa"/>
              <w:right w:w="0" w:type="dxa"/>
            </w:tcMar>
            <w:vAlign w:val="center"/>
          </w:tcPr>
          <w:p>
            <w:pPr>
              <w:pStyle w:val="22"/>
              <w:bidi w:val="0"/>
              <w:rPr>
                <w:rFonts w:hint="default"/>
              </w:rPr>
            </w:pPr>
            <w:r>
              <w:rPr>
                <w:rFonts w:hint="default"/>
              </w:rPr>
              <w:t>85</w:t>
            </w:r>
          </w:p>
        </w:tc>
        <w:tc>
          <w:tcPr>
            <w:tcW w:w="198" w:type="pct"/>
            <w:vMerge w:val="restart"/>
            <w:shd w:val="clear" w:color="auto" w:fill="auto"/>
            <w:tcMar>
              <w:top w:w="0" w:type="dxa"/>
              <w:left w:w="0" w:type="dxa"/>
              <w:bottom w:w="0" w:type="dxa"/>
              <w:right w:w="0" w:type="dxa"/>
            </w:tcMar>
            <w:vAlign w:val="center"/>
          </w:tcPr>
          <w:p>
            <w:pPr>
              <w:pStyle w:val="22"/>
              <w:bidi w:val="0"/>
              <w:rPr>
                <w:rFonts w:hint="default"/>
                <w:lang w:val="en-US" w:eastAsia="zh-CN"/>
              </w:rPr>
            </w:pPr>
            <w:r>
              <w:rPr>
                <w:rFonts w:hint="eastAsia"/>
                <w:lang w:val="en-US" w:eastAsia="zh-CN"/>
              </w:rPr>
              <w:t>采用低噪声设备，基础减振，墙体隔声</w:t>
            </w:r>
          </w:p>
        </w:tc>
        <w:tc>
          <w:tcPr>
            <w:tcW w:w="219" w:type="pct"/>
            <w:shd w:val="clear" w:color="auto" w:fill="auto"/>
            <w:tcMar>
              <w:top w:w="0" w:type="dxa"/>
              <w:left w:w="0" w:type="dxa"/>
              <w:bottom w:w="0" w:type="dxa"/>
              <w:right w:w="0" w:type="dxa"/>
            </w:tcMar>
            <w:vAlign w:val="center"/>
          </w:tcPr>
          <w:p>
            <w:pPr>
              <w:pStyle w:val="22"/>
              <w:bidi w:val="0"/>
              <w:rPr>
                <w:rFonts w:hint="default"/>
              </w:rPr>
            </w:pPr>
            <w:r>
              <w:rPr>
                <w:rFonts w:hint="default"/>
              </w:rPr>
              <w:t>-16.7</w:t>
            </w:r>
          </w:p>
        </w:tc>
        <w:tc>
          <w:tcPr>
            <w:tcW w:w="220" w:type="pct"/>
            <w:shd w:val="clear" w:color="auto" w:fill="auto"/>
            <w:tcMar>
              <w:top w:w="0" w:type="dxa"/>
              <w:left w:w="0" w:type="dxa"/>
              <w:bottom w:w="0" w:type="dxa"/>
              <w:right w:w="0" w:type="dxa"/>
            </w:tcMar>
            <w:vAlign w:val="center"/>
          </w:tcPr>
          <w:p>
            <w:pPr>
              <w:pStyle w:val="22"/>
              <w:bidi w:val="0"/>
              <w:rPr>
                <w:rFonts w:hint="default"/>
              </w:rPr>
            </w:pPr>
            <w:r>
              <w:rPr>
                <w:rFonts w:hint="default"/>
              </w:rPr>
              <w:t>88</w:t>
            </w:r>
          </w:p>
        </w:tc>
        <w:tc>
          <w:tcPr>
            <w:tcW w:w="226" w:type="pct"/>
            <w:shd w:val="clear" w:color="auto" w:fill="auto"/>
            <w:tcMar>
              <w:top w:w="0" w:type="dxa"/>
              <w:left w:w="0" w:type="dxa"/>
              <w:bottom w:w="0" w:type="dxa"/>
              <w:right w:w="0" w:type="dxa"/>
            </w:tcMar>
            <w:vAlign w:val="center"/>
          </w:tcPr>
          <w:p>
            <w:pPr>
              <w:pStyle w:val="22"/>
              <w:bidi w:val="0"/>
              <w:rPr>
                <w:rFonts w:hint="default"/>
              </w:rPr>
            </w:pPr>
            <w:r>
              <w:rPr>
                <w:rFonts w:hint="default"/>
              </w:rPr>
              <w:t>1.2</w:t>
            </w:r>
          </w:p>
        </w:tc>
        <w:tc>
          <w:tcPr>
            <w:tcW w:w="188" w:type="pct"/>
            <w:shd w:val="clear" w:color="auto" w:fill="auto"/>
            <w:tcMar>
              <w:top w:w="0" w:type="dxa"/>
              <w:left w:w="0" w:type="dxa"/>
              <w:bottom w:w="0" w:type="dxa"/>
              <w:right w:w="0" w:type="dxa"/>
            </w:tcMar>
            <w:vAlign w:val="center"/>
          </w:tcPr>
          <w:p>
            <w:pPr>
              <w:pStyle w:val="22"/>
              <w:bidi w:val="0"/>
              <w:rPr>
                <w:rFonts w:hint="default"/>
              </w:rPr>
            </w:pPr>
            <w:r>
              <w:rPr>
                <w:rFonts w:hint="default"/>
              </w:rPr>
              <w:t>233.6</w:t>
            </w:r>
          </w:p>
        </w:tc>
        <w:tc>
          <w:tcPr>
            <w:tcW w:w="181" w:type="pct"/>
            <w:shd w:val="clear" w:color="auto" w:fill="auto"/>
            <w:tcMar>
              <w:top w:w="0" w:type="dxa"/>
              <w:left w:w="0" w:type="dxa"/>
              <w:bottom w:w="0" w:type="dxa"/>
              <w:right w:w="0" w:type="dxa"/>
            </w:tcMar>
            <w:vAlign w:val="center"/>
          </w:tcPr>
          <w:p>
            <w:pPr>
              <w:pStyle w:val="22"/>
              <w:bidi w:val="0"/>
              <w:rPr>
                <w:rFonts w:hint="default"/>
              </w:rPr>
            </w:pPr>
            <w:r>
              <w:rPr>
                <w:rFonts w:hint="default"/>
              </w:rPr>
              <w:t>13.1</w:t>
            </w:r>
          </w:p>
        </w:tc>
        <w:tc>
          <w:tcPr>
            <w:tcW w:w="181" w:type="pct"/>
            <w:shd w:val="clear" w:color="auto" w:fill="auto"/>
            <w:tcMar>
              <w:top w:w="0" w:type="dxa"/>
              <w:left w:w="0" w:type="dxa"/>
              <w:bottom w:w="0" w:type="dxa"/>
              <w:right w:w="0" w:type="dxa"/>
            </w:tcMar>
            <w:vAlign w:val="center"/>
          </w:tcPr>
          <w:p>
            <w:pPr>
              <w:pStyle w:val="22"/>
              <w:bidi w:val="0"/>
              <w:rPr>
                <w:rFonts w:hint="default"/>
              </w:rPr>
            </w:pPr>
            <w:r>
              <w:rPr>
                <w:rFonts w:hint="default"/>
              </w:rPr>
              <w:t>26.9</w:t>
            </w:r>
          </w:p>
        </w:tc>
        <w:tc>
          <w:tcPr>
            <w:tcW w:w="189" w:type="pct"/>
            <w:shd w:val="clear" w:color="auto" w:fill="auto"/>
            <w:tcMar>
              <w:top w:w="0" w:type="dxa"/>
              <w:left w:w="0" w:type="dxa"/>
              <w:bottom w:w="0" w:type="dxa"/>
              <w:right w:w="0" w:type="dxa"/>
            </w:tcMar>
            <w:vAlign w:val="center"/>
          </w:tcPr>
          <w:p>
            <w:pPr>
              <w:pStyle w:val="22"/>
              <w:bidi w:val="0"/>
              <w:rPr>
                <w:rFonts w:hint="default"/>
              </w:rPr>
            </w:pPr>
            <w:r>
              <w:rPr>
                <w:rFonts w:hint="default"/>
              </w:rPr>
              <w:t>8.0</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rPr>
              <w:t>66.3</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rPr>
              <w:t>66.4</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rPr>
              <w:t>66.3</w:t>
            </w:r>
          </w:p>
        </w:tc>
        <w:tc>
          <w:tcPr>
            <w:tcW w:w="187" w:type="pct"/>
            <w:shd w:val="clear" w:color="auto" w:fill="auto"/>
            <w:tcMar>
              <w:top w:w="0" w:type="dxa"/>
              <w:left w:w="0" w:type="dxa"/>
              <w:bottom w:w="0" w:type="dxa"/>
              <w:right w:w="0" w:type="dxa"/>
            </w:tcMar>
            <w:vAlign w:val="center"/>
          </w:tcPr>
          <w:p>
            <w:pPr>
              <w:pStyle w:val="22"/>
              <w:bidi w:val="0"/>
              <w:rPr>
                <w:rFonts w:hint="default"/>
              </w:rPr>
            </w:pPr>
            <w:r>
              <w:rPr>
                <w:rFonts w:hint="default"/>
              </w:rPr>
              <w:t>66.7</w:t>
            </w:r>
          </w:p>
        </w:tc>
        <w:tc>
          <w:tcPr>
            <w:tcW w:w="165" w:type="pct"/>
            <w:vMerge w:val="restart"/>
            <w:shd w:val="clear" w:color="auto" w:fill="auto"/>
            <w:tcMar>
              <w:top w:w="0" w:type="dxa"/>
              <w:left w:w="0" w:type="dxa"/>
              <w:bottom w:w="0" w:type="dxa"/>
              <w:right w:w="0" w:type="dxa"/>
            </w:tcMar>
            <w:vAlign w:val="center"/>
          </w:tcPr>
          <w:p>
            <w:pPr>
              <w:pStyle w:val="22"/>
              <w:bidi w:val="0"/>
              <w:rPr>
                <w:rFonts w:hint="eastAsia"/>
                <w:lang w:val="en-US" w:eastAsia="zh-CN"/>
              </w:rPr>
            </w:pPr>
            <w:r>
              <w:rPr>
                <w:rFonts w:hint="eastAsia"/>
                <w:lang w:val="en-US" w:eastAsia="zh-CN"/>
              </w:rPr>
              <w:t>昼间</w:t>
            </w: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8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50.3</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50.4</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50.3</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50.7</w:t>
            </w:r>
          </w:p>
        </w:tc>
        <w:tc>
          <w:tcPr>
            <w:tcW w:w="271" w:type="pct"/>
            <w:shd w:val="clear" w:color="auto" w:fill="auto"/>
            <w:tcMar>
              <w:top w:w="0" w:type="dxa"/>
              <w:left w:w="0" w:type="dxa"/>
              <w:bottom w:w="0" w:type="dxa"/>
              <w:right w:w="0" w:type="dxa"/>
            </w:tcMar>
            <w:vAlign w:val="center"/>
          </w:tcPr>
          <w:p>
            <w:pPr>
              <w:pStyle w:val="22"/>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 w:type="pct"/>
            <w:shd w:val="clear" w:color="auto" w:fill="auto"/>
            <w:tcMar>
              <w:top w:w="0" w:type="dxa"/>
              <w:left w:w="0" w:type="dxa"/>
              <w:bottom w:w="0" w:type="dxa"/>
              <w:right w:w="0" w:type="dxa"/>
            </w:tcMar>
            <w:vAlign w:val="center"/>
          </w:tcPr>
          <w:p>
            <w:pPr>
              <w:pStyle w:val="22"/>
              <w:bidi w:val="0"/>
              <w:rPr>
                <w:rFonts w:hint="default"/>
              </w:rPr>
            </w:pPr>
            <w:r>
              <w:rPr>
                <w:rFonts w:hint="default"/>
              </w:rPr>
              <w:t>2</w:t>
            </w:r>
          </w:p>
        </w:tc>
        <w:tc>
          <w:tcPr>
            <w:tcW w:w="204" w:type="pct"/>
            <w:shd w:val="clear" w:color="auto" w:fill="auto"/>
            <w:tcMar>
              <w:top w:w="0" w:type="dxa"/>
              <w:left w:w="0" w:type="dxa"/>
              <w:bottom w:w="0" w:type="dxa"/>
              <w:right w:w="0" w:type="dxa"/>
            </w:tcMar>
            <w:vAlign w:val="center"/>
          </w:tcPr>
          <w:p>
            <w:pPr>
              <w:pStyle w:val="22"/>
              <w:bidi w:val="0"/>
              <w:rPr>
                <w:rFonts w:hint="default"/>
                <w:lang w:val="en-US" w:eastAsia="zh-CN"/>
              </w:rPr>
            </w:pPr>
            <w:r>
              <w:rPr>
                <w:rFonts w:hint="eastAsia"/>
                <w:lang w:val="en-US" w:eastAsia="zh-CN"/>
              </w:rPr>
              <w:t>洗车车间</w:t>
            </w:r>
          </w:p>
        </w:tc>
        <w:tc>
          <w:tcPr>
            <w:tcW w:w="193" w:type="pct"/>
            <w:shd w:val="clear" w:color="auto" w:fill="auto"/>
            <w:tcMar>
              <w:top w:w="0" w:type="dxa"/>
              <w:left w:w="0" w:type="dxa"/>
              <w:bottom w:w="0" w:type="dxa"/>
              <w:right w:w="0" w:type="dxa"/>
            </w:tcMar>
            <w:vAlign w:val="center"/>
          </w:tcPr>
          <w:p>
            <w:pPr>
              <w:pStyle w:val="22"/>
              <w:bidi w:val="0"/>
              <w:rPr>
                <w:rFonts w:hint="default"/>
              </w:rPr>
            </w:pPr>
            <w:r>
              <w:rPr>
                <w:rFonts w:hint="default"/>
              </w:rPr>
              <w:t>全自动清洗装置</w:t>
            </w:r>
          </w:p>
        </w:tc>
        <w:tc>
          <w:tcPr>
            <w:tcW w:w="236" w:type="pct"/>
            <w:shd w:val="clear" w:color="auto" w:fill="auto"/>
            <w:tcMar>
              <w:top w:w="0" w:type="dxa"/>
              <w:left w:w="0" w:type="dxa"/>
              <w:bottom w:w="0" w:type="dxa"/>
              <w:right w:w="0" w:type="dxa"/>
            </w:tcMar>
            <w:vAlign w:val="center"/>
          </w:tcPr>
          <w:p>
            <w:pPr>
              <w:pStyle w:val="22"/>
              <w:bidi w:val="0"/>
              <w:rPr>
                <w:rFonts w:hint="default"/>
              </w:rPr>
            </w:pPr>
            <w:r>
              <w:rPr>
                <w:rFonts w:hint="default"/>
              </w:rPr>
              <w:t>80</w:t>
            </w:r>
          </w:p>
        </w:tc>
        <w:tc>
          <w:tcPr>
            <w:tcW w:w="198" w:type="pct"/>
            <w:vMerge w:val="continue"/>
            <w:shd w:val="clear" w:color="auto" w:fill="auto"/>
            <w:tcMar>
              <w:top w:w="0" w:type="dxa"/>
              <w:left w:w="0" w:type="dxa"/>
              <w:bottom w:w="0" w:type="dxa"/>
              <w:right w:w="0" w:type="dxa"/>
            </w:tcMar>
            <w:vAlign w:val="center"/>
          </w:tcPr>
          <w:p>
            <w:pPr>
              <w:pStyle w:val="22"/>
              <w:bidi w:val="0"/>
              <w:rPr>
                <w:rFonts w:hint="default"/>
              </w:rPr>
            </w:pPr>
          </w:p>
        </w:tc>
        <w:tc>
          <w:tcPr>
            <w:tcW w:w="219" w:type="pct"/>
            <w:shd w:val="clear" w:color="auto" w:fill="auto"/>
            <w:tcMar>
              <w:top w:w="0" w:type="dxa"/>
              <w:left w:w="0" w:type="dxa"/>
              <w:bottom w:w="0" w:type="dxa"/>
              <w:right w:w="0" w:type="dxa"/>
            </w:tcMar>
            <w:vAlign w:val="center"/>
          </w:tcPr>
          <w:p>
            <w:pPr>
              <w:pStyle w:val="22"/>
              <w:bidi w:val="0"/>
              <w:rPr>
                <w:rFonts w:hint="default"/>
              </w:rPr>
            </w:pPr>
            <w:r>
              <w:rPr>
                <w:rFonts w:hint="default"/>
              </w:rPr>
              <w:t>6.7</w:t>
            </w:r>
          </w:p>
        </w:tc>
        <w:tc>
          <w:tcPr>
            <w:tcW w:w="220" w:type="pct"/>
            <w:shd w:val="clear" w:color="auto" w:fill="auto"/>
            <w:tcMar>
              <w:top w:w="0" w:type="dxa"/>
              <w:left w:w="0" w:type="dxa"/>
              <w:bottom w:w="0" w:type="dxa"/>
              <w:right w:w="0" w:type="dxa"/>
            </w:tcMar>
            <w:vAlign w:val="center"/>
          </w:tcPr>
          <w:p>
            <w:pPr>
              <w:pStyle w:val="22"/>
              <w:bidi w:val="0"/>
              <w:rPr>
                <w:rFonts w:hint="default"/>
              </w:rPr>
            </w:pPr>
            <w:r>
              <w:rPr>
                <w:rFonts w:hint="default"/>
              </w:rPr>
              <w:t>62.7</w:t>
            </w:r>
          </w:p>
        </w:tc>
        <w:tc>
          <w:tcPr>
            <w:tcW w:w="226" w:type="pct"/>
            <w:shd w:val="clear" w:color="auto" w:fill="auto"/>
            <w:tcMar>
              <w:top w:w="0" w:type="dxa"/>
              <w:left w:w="0" w:type="dxa"/>
              <w:bottom w:w="0" w:type="dxa"/>
              <w:right w:w="0" w:type="dxa"/>
            </w:tcMar>
            <w:vAlign w:val="center"/>
          </w:tcPr>
          <w:p>
            <w:pPr>
              <w:pStyle w:val="22"/>
              <w:bidi w:val="0"/>
              <w:rPr>
                <w:rFonts w:hint="default"/>
              </w:rPr>
            </w:pPr>
            <w:r>
              <w:rPr>
                <w:rFonts w:hint="default"/>
              </w:rPr>
              <w:t>1.2</w:t>
            </w:r>
          </w:p>
        </w:tc>
        <w:tc>
          <w:tcPr>
            <w:tcW w:w="188" w:type="pct"/>
            <w:shd w:val="clear" w:color="auto" w:fill="auto"/>
            <w:tcMar>
              <w:top w:w="0" w:type="dxa"/>
              <w:left w:w="0" w:type="dxa"/>
              <w:bottom w:w="0" w:type="dxa"/>
              <w:right w:w="0" w:type="dxa"/>
            </w:tcMar>
            <w:vAlign w:val="center"/>
          </w:tcPr>
          <w:p>
            <w:pPr>
              <w:pStyle w:val="22"/>
              <w:bidi w:val="0"/>
              <w:rPr>
                <w:rFonts w:hint="default"/>
              </w:rPr>
            </w:pPr>
            <w:r>
              <w:rPr>
                <w:rFonts w:hint="default"/>
              </w:rPr>
              <w:t>200.5</w:t>
            </w:r>
          </w:p>
        </w:tc>
        <w:tc>
          <w:tcPr>
            <w:tcW w:w="181" w:type="pct"/>
            <w:shd w:val="clear" w:color="auto" w:fill="auto"/>
            <w:tcMar>
              <w:top w:w="0" w:type="dxa"/>
              <w:left w:w="0" w:type="dxa"/>
              <w:bottom w:w="0" w:type="dxa"/>
              <w:right w:w="0" w:type="dxa"/>
            </w:tcMar>
            <w:vAlign w:val="center"/>
          </w:tcPr>
          <w:p>
            <w:pPr>
              <w:pStyle w:val="22"/>
              <w:bidi w:val="0"/>
              <w:rPr>
                <w:rFonts w:hint="default"/>
              </w:rPr>
            </w:pPr>
            <w:r>
              <w:rPr>
                <w:rFonts w:hint="default"/>
              </w:rPr>
              <w:t>47.5</w:t>
            </w:r>
          </w:p>
        </w:tc>
        <w:tc>
          <w:tcPr>
            <w:tcW w:w="181" w:type="pct"/>
            <w:shd w:val="clear" w:color="auto" w:fill="auto"/>
            <w:tcMar>
              <w:top w:w="0" w:type="dxa"/>
              <w:left w:w="0" w:type="dxa"/>
              <w:bottom w:w="0" w:type="dxa"/>
              <w:right w:w="0" w:type="dxa"/>
            </w:tcMar>
            <w:vAlign w:val="center"/>
          </w:tcPr>
          <w:p>
            <w:pPr>
              <w:pStyle w:val="22"/>
              <w:bidi w:val="0"/>
              <w:rPr>
                <w:rFonts w:hint="default"/>
              </w:rPr>
            </w:pPr>
            <w:r>
              <w:rPr>
                <w:rFonts w:hint="default"/>
              </w:rPr>
              <w:t>26.8</w:t>
            </w:r>
          </w:p>
        </w:tc>
        <w:tc>
          <w:tcPr>
            <w:tcW w:w="189" w:type="pct"/>
            <w:shd w:val="clear" w:color="auto" w:fill="auto"/>
            <w:tcMar>
              <w:top w:w="0" w:type="dxa"/>
              <w:left w:w="0" w:type="dxa"/>
              <w:bottom w:w="0" w:type="dxa"/>
              <w:right w:w="0" w:type="dxa"/>
            </w:tcMar>
            <w:vAlign w:val="center"/>
          </w:tcPr>
          <w:p>
            <w:pPr>
              <w:pStyle w:val="22"/>
              <w:bidi w:val="0"/>
              <w:rPr>
                <w:rFonts w:hint="default"/>
              </w:rPr>
            </w:pPr>
            <w:r>
              <w:rPr>
                <w:rFonts w:hint="default"/>
              </w:rPr>
              <w:t>9.1</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rPr>
              <w:t>61.3</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rPr>
              <w:t>61.3</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rPr>
              <w:t>61.3</w:t>
            </w:r>
          </w:p>
        </w:tc>
        <w:tc>
          <w:tcPr>
            <w:tcW w:w="187" w:type="pct"/>
            <w:shd w:val="clear" w:color="auto" w:fill="auto"/>
            <w:tcMar>
              <w:top w:w="0" w:type="dxa"/>
              <w:left w:w="0" w:type="dxa"/>
              <w:bottom w:w="0" w:type="dxa"/>
              <w:right w:w="0" w:type="dxa"/>
            </w:tcMar>
            <w:vAlign w:val="center"/>
          </w:tcPr>
          <w:p>
            <w:pPr>
              <w:pStyle w:val="22"/>
              <w:bidi w:val="0"/>
              <w:rPr>
                <w:rFonts w:hint="default"/>
              </w:rPr>
            </w:pPr>
            <w:r>
              <w:rPr>
                <w:rFonts w:hint="default"/>
              </w:rPr>
              <w:t>61.6</w:t>
            </w:r>
          </w:p>
        </w:tc>
        <w:tc>
          <w:tcPr>
            <w:tcW w:w="165" w:type="pct"/>
            <w:vMerge w:val="continue"/>
            <w:shd w:val="clear" w:color="auto" w:fill="auto"/>
            <w:tcMar>
              <w:top w:w="0" w:type="dxa"/>
              <w:left w:w="0" w:type="dxa"/>
              <w:bottom w:w="0" w:type="dxa"/>
              <w:right w:w="0" w:type="dxa"/>
            </w:tcMar>
            <w:vAlign w:val="center"/>
          </w:tcPr>
          <w:p>
            <w:pPr>
              <w:pStyle w:val="22"/>
              <w:bidi w:val="0"/>
              <w:rPr>
                <w:rFonts w:hint="default"/>
              </w:rPr>
            </w:pP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8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45.3</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45.3</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45.3</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45.6</w:t>
            </w:r>
          </w:p>
        </w:tc>
        <w:tc>
          <w:tcPr>
            <w:tcW w:w="271" w:type="pct"/>
            <w:shd w:val="clear" w:color="auto" w:fill="auto"/>
            <w:tcMar>
              <w:top w:w="0" w:type="dxa"/>
              <w:left w:w="0" w:type="dxa"/>
              <w:bottom w:w="0" w:type="dxa"/>
              <w:right w:w="0" w:type="dxa"/>
            </w:tcMar>
            <w:vAlign w:val="center"/>
          </w:tcPr>
          <w:p>
            <w:pPr>
              <w:pStyle w:val="22"/>
              <w:bidi w:val="0"/>
              <w:rPr>
                <w:rFonts w:hint="default"/>
              </w:rPr>
            </w:pPr>
            <w:r>
              <w:rPr>
                <w:rFonts w:hint="defaul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 w:type="pct"/>
            <w:shd w:val="clear" w:color="auto" w:fill="auto"/>
            <w:tcMar>
              <w:top w:w="0" w:type="dxa"/>
              <w:left w:w="0" w:type="dxa"/>
              <w:bottom w:w="0" w:type="dxa"/>
              <w:right w:w="0" w:type="dxa"/>
            </w:tcMar>
            <w:vAlign w:val="center"/>
          </w:tcPr>
          <w:p>
            <w:pPr>
              <w:pStyle w:val="22"/>
              <w:bidi w:val="0"/>
              <w:rPr>
                <w:rFonts w:hint="default"/>
              </w:rPr>
            </w:pPr>
            <w:r>
              <w:rPr>
                <w:rFonts w:hint="default"/>
              </w:rPr>
              <w:t>3</w:t>
            </w:r>
          </w:p>
        </w:tc>
        <w:tc>
          <w:tcPr>
            <w:tcW w:w="204" w:type="pct"/>
            <w:shd w:val="clear" w:color="auto" w:fill="auto"/>
            <w:tcMar>
              <w:top w:w="0" w:type="dxa"/>
              <w:left w:w="0" w:type="dxa"/>
              <w:bottom w:w="0" w:type="dxa"/>
              <w:right w:w="0" w:type="dxa"/>
            </w:tcMar>
            <w:vAlign w:val="center"/>
          </w:tcPr>
          <w:p>
            <w:pPr>
              <w:pStyle w:val="22"/>
              <w:bidi w:val="0"/>
              <w:rPr>
                <w:rFonts w:hint="default"/>
                <w:lang w:val="en-US" w:eastAsia="zh-CN"/>
              </w:rPr>
            </w:pPr>
            <w:r>
              <w:rPr>
                <w:rFonts w:hint="eastAsia"/>
                <w:lang w:val="en-US" w:eastAsia="zh-CN"/>
              </w:rPr>
              <w:t>洗罐车间</w:t>
            </w:r>
          </w:p>
        </w:tc>
        <w:tc>
          <w:tcPr>
            <w:tcW w:w="193" w:type="pct"/>
            <w:shd w:val="clear" w:color="auto" w:fill="auto"/>
            <w:tcMar>
              <w:top w:w="0" w:type="dxa"/>
              <w:left w:w="0" w:type="dxa"/>
              <w:bottom w:w="0" w:type="dxa"/>
              <w:right w:w="0" w:type="dxa"/>
            </w:tcMar>
            <w:vAlign w:val="center"/>
          </w:tcPr>
          <w:p>
            <w:pPr>
              <w:pStyle w:val="22"/>
              <w:bidi w:val="0"/>
              <w:rPr>
                <w:rFonts w:hint="default"/>
              </w:rPr>
            </w:pPr>
            <w:r>
              <w:rPr>
                <w:rFonts w:hint="default"/>
              </w:rPr>
              <w:t>通风机烘干系统</w:t>
            </w:r>
          </w:p>
        </w:tc>
        <w:tc>
          <w:tcPr>
            <w:tcW w:w="236" w:type="pct"/>
            <w:shd w:val="clear" w:color="auto" w:fill="auto"/>
            <w:tcMar>
              <w:top w:w="0" w:type="dxa"/>
              <w:left w:w="0" w:type="dxa"/>
              <w:bottom w:w="0" w:type="dxa"/>
              <w:right w:w="0" w:type="dxa"/>
            </w:tcMar>
            <w:vAlign w:val="center"/>
          </w:tcPr>
          <w:p>
            <w:pPr>
              <w:pStyle w:val="22"/>
              <w:bidi w:val="0"/>
              <w:rPr>
                <w:rFonts w:hint="default"/>
              </w:rPr>
            </w:pPr>
            <w:r>
              <w:rPr>
                <w:rFonts w:hint="default"/>
              </w:rPr>
              <w:t>85</w:t>
            </w:r>
          </w:p>
        </w:tc>
        <w:tc>
          <w:tcPr>
            <w:tcW w:w="198" w:type="pct"/>
            <w:vMerge w:val="continue"/>
            <w:shd w:val="clear" w:color="auto" w:fill="auto"/>
            <w:tcMar>
              <w:top w:w="0" w:type="dxa"/>
              <w:left w:w="0" w:type="dxa"/>
              <w:bottom w:w="0" w:type="dxa"/>
              <w:right w:w="0" w:type="dxa"/>
            </w:tcMar>
            <w:vAlign w:val="center"/>
          </w:tcPr>
          <w:p>
            <w:pPr>
              <w:pStyle w:val="22"/>
              <w:bidi w:val="0"/>
              <w:rPr>
                <w:rFonts w:hint="default"/>
              </w:rPr>
            </w:pPr>
          </w:p>
        </w:tc>
        <w:tc>
          <w:tcPr>
            <w:tcW w:w="219" w:type="pct"/>
            <w:shd w:val="clear" w:color="auto" w:fill="auto"/>
            <w:tcMar>
              <w:top w:w="0" w:type="dxa"/>
              <w:left w:w="0" w:type="dxa"/>
              <w:bottom w:w="0" w:type="dxa"/>
              <w:right w:w="0" w:type="dxa"/>
            </w:tcMar>
            <w:vAlign w:val="center"/>
          </w:tcPr>
          <w:p>
            <w:pPr>
              <w:pStyle w:val="22"/>
              <w:bidi w:val="0"/>
              <w:rPr>
                <w:rFonts w:hint="default"/>
              </w:rPr>
            </w:pPr>
            <w:r>
              <w:rPr>
                <w:rFonts w:hint="default"/>
              </w:rPr>
              <w:t>-10.8</w:t>
            </w:r>
          </w:p>
        </w:tc>
        <w:tc>
          <w:tcPr>
            <w:tcW w:w="220" w:type="pct"/>
            <w:shd w:val="clear" w:color="auto" w:fill="auto"/>
            <w:tcMar>
              <w:top w:w="0" w:type="dxa"/>
              <w:left w:w="0" w:type="dxa"/>
              <w:bottom w:w="0" w:type="dxa"/>
              <w:right w:w="0" w:type="dxa"/>
            </w:tcMar>
            <w:vAlign w:val="center"/>
          </w:tcPr>
          <w:p>
            <w:pPr>
              <w:pStyle w:val="22"/>
              <w:bidi w:val="0"/>
              <w:rPr>
                <w:rFonts w:hint="default"/>
              </w:rPr>
            </w:pPr>
            <w:r>
              <w:rPr>
                <w:rFonts w:hint="default"/>
              </w:rPr>
              <w:t>80.9</w:t>
            </w:r>
          </w:p>
        </w:tc>
        <w:tc>
          <w:tcPr>
            <w:tcW w:w="226" w:type="pct"/>
            <w:shd w:val="clear" w:color="auto" w:fill="auto"/>
            <w:tcMar>
              <w:top w:w="0" w:type="dxa"/>
              <w:left w:w="0" w:type="dxa"/>
              <w:bottom w:w="0" w:type="dxa"/>
              <w:right w:w="0" w:type="dxa"/>
            </w:tcMar>
            <w:vAlign w:val="center"/>
          </w:tcPr>
          <w:p>
            <w:pPr>
              <w:pStyle w:val="22"/>
              <w:bidi w:val="0"/>
              <w:rPr>
                <w:rFonts w:hint="default"/>
              </w:rPr>
            </w:pPr>
            <w:r>
              <w:rPr>
                <w:rFonts w:hint="default"/>
              </w:rPr>
              <w:t>1.2</w:t>
            </w:r>
          </w:p>
        </w:tc>
        <w:tc>
          <w:tcPr>
            <w:tcW w:w="188" w:type="pct"/>
            <w:shd w:val="clear" w:color="auto" w:fill="auto"/>
            <w:tcMar>
              <w:top w:w="0" w:type="dxa"/>
              <w:left w:w="0" w:type="dxa"/>
              <w:bottom w:w="0" w:type="dxa"/>
              <w:right w:w="0" w:type="dxa"/>
            </w:tcMar>
            <w:vAlign w:val="center"/>
          </w:tcPr>
          <w:p>
            <w:pPr>
              <w:pStyle w:val="22"/>
              <w:bidi w:val="0"/>
              <w:rPr>
                <w:rFonts w:hint="default"/>
              </w:rPr>
            </w:pPr>
            <w:r>
              <w:rPr>
                <w:rFonts w:hint="default"/>
              </w:rPr>
              <w:t>224.6</w:t>
            </w:r>
          </w:p>
        </w:tc>
        <w:tc>
          <w:tcPr>
            <w:tcW w:w="181" w:type="pct"/>
            <w:shd w:val="clear" w:color="auto" w:fill="auto"/>
            <w:tcMar>
              <w:top w:w="0" w:type="dxa"/>
              <w:left w:w="0" w:type="dxa"/>
              <w:bottom w:w="0" w:type="dxa"/>
              <w:right w:w="0" w:type="dxa"/>
            </w:tcMar>
            <w:vAlign w:val="center"/>
          </w:tcPr>
          <w:p>
            <w:pPr>
              <w:pStyle w:val="22"/>
              <w:bidi w:val="0"/>
              <w:rPr>
                <w:rFonts w:hint="default"/>
              </w:rPr>
            </w:pPr>
            <w:r>
              <w:rPr>
                <w:rFonts w:hint="default"/>
              </w:rPr>
              <w:t>22.3</w:t>
            </w:r>
          </w:p>
        </w:tc>
        <w:tc>
          <w:tcPr>
            <w:tcW w:w="181" w:type="pct"/>
            <w:shd w:val="clear" w:color="auto" w:fill="auto"/>
            <w:tcMar>
              <w:top w:w="0" w:type="dxa"/>
              <w:left w:w="0" w:type="dxa"/>
              <w:bottom w:w="0" w:type="dxa"/>
              <w:right w:w="0" w:type="dxa"/>
            </w:tcMar>
            <w:vAlign w:val="center"/>
          </w:tcPr>
          <w:p>
            <w:pPr>
              <w:pStyle w:val="22"/>
              <w:bidi w:val="0"/>
              <w:rPr>
                <w:rFonts w:hint="default"/>
              </w:rPr>
            </w:pPr>
            <w:r>
              <w:rPr>
                <w:rFonts w:hint="default"/>
              </w:rPr>
              <w:t>26.4</w:t>
            </w:r>
          </w:p>
        </w:tc>
        <w:tc>
          <w:tcPr>
            <w:tcW w:w="189" w:type="pct"/>
            <w:shd w:val="clear" w:color="auto" w:fill="auto"/>
            <w:tcMar>
              <w:top w:w="0" w:type="dxa"/>
              <w:left w:w="0" w:type="dxa"/>
              <w:bottom w:w="0" w:type="dxa"/>
              <w:right w:w="0" w:type="dxa"/>
            </w:tcMar>
            <w:vAlign w:val="center"/>
          </w:tcPr>
          <w:p>
            <w:pPr>
              <w:pStyle w:val="22"/>
              <w:bidi w:val="0"/>
              <w:rPr>
                <w:rFonts w:hint="default"/>
              </w:rPr>
            </w:pPr>
            <w:r>
              <w:rPr>
                <w:rFonts w:hint="default"/>
              </w:rPr>
              <w:t>8.7</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rPr>
              <w:t>66.3</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rPr>
              <w:t>66.3</w:t>
            </w:r>
          </w:p>
        </w:tc>
        <w:tc>
          <w:tcPr>
            <w:tcW w:w="179" w:type="pct"/>
            <w:shd w:val="clear" w:color="auto" w:fill="auto"/>
            <w:tcMar>
              <w:top w:w="0" w:type="dxa"/>
              <w:left w:w="0" w:type="dxa"/>
              <w:bottom w:w="0" w:type="dxa"/>
              <w:right w:w="0" w:type="dxa"/>
            </w:tcMar>
            <w:vAlign w:val="center"/>
          </w:tcPr>
          <w:p>
            <w:pPr>
              <w:pStyle w:val="22"/>
              <w:bidi w:val="0"/>
              <w:rPr>
                <w:rFonts w:hint="default"/>
              </w:rPr>
            </w:pPr>
            <w:r>
              <w:rPr>
                <w:rFonts w:hint="default"/>
              </w:rPr>
              <w:t>66.3</w:t>
            </w:r>
          </w:p>
        </w:tc>
        <w:tc>
          <w:tcPr>
            <w:tcW w:w="187" w:type="pct"/>
            <w:shd w:val="clear" w:color="auto" w:fill="auto"/>
            <w:tcMar>
              <w:top w:w="0" w:type="dxa"/>
              <w:left w:w="0" w:type="dxa"/>
              <w:bottom w:w="0" w:type="dxa"/>
              <w:right w:w="0" w:type="dxa"/>
            </w:tcMar>
            <w:vAlign w:val="center"/>
          </w:tcPr>
          <w:p>
            <w:pPr>
              <w:pStyle w:val="22"/>
              <w:bidi w:val="0"/>
              <w:rPr>
                <w:rFonts w:hint="default"/>
              </w:rPr>
            </w:pPr>
            <w:r>
              <w:rPr>
                <w:rFonts w:hint="default"/>
              </w:rPr>
              <w:t>66.6</w:t>
            </w:r>
          </w:p>
        </w:tc>
        <w:tc>
          <w:tcPr>
            <w:tcW w:w="165" w:type="pct"/>
            <w:vMerge w:val="continue"/>
            <w:shd w:val="clear" w:color="auto" w:fill="auto"/>
            <w:tcMar>
              <w:top w:w="0" w:type="dxa"/>
              <w:left w:w="0" w:type="dxa"/>
              <w:bottom w:w="0" w:type="dxa"/>
              <w:right w:w="0" w:type="dxa"/>
            </w:tcMar>
            <w:vAlign w:val="center"/>
          </w:tcPr>
          <w:p>
            <w:pPr>
              <w:pStyle w:val="22"/>
              <w:bidi w:val="0"/>
              <w:rPr>
                <w:rFonts w:hint="default"/>
              </w:rPr>
            </w:pP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7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82" w:type="pct"/>
            <w:shd w:val="clear" w:color="auto" w:fill="auto"/>
            <w:tcMar>
              <w:top w:w="0" w:type="dxa"/>
              <w:left w:w="0" w:type="dxa"/>
              <w:bottom w:w="0" w:type="dxa"/>
              <w:right w:w="0" w:type="dxa"/>
            </w:tcMar>
            <w:vAlign w:val="center"/>
          </w:tcPr>
          <w:p>
            <w:pPr>
              <w:pStyle w:val="22"/>
              <w:bidi w:val="0"/>
              <w:rPr>
                <w:rFonts w:hint="default"/>
              </w:rPr>
            </w:pPr>
            <w:r>
              <w:rPr>
                <w:rFonts w:hint="default"/>
              </w:rPr>
              <w:t>16.0</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50.3</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50.3</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50.3</w:t>
            </w:r>
          </w:p>
        </w:tc>
        <w:tc>
          <w:tcPr>
            <w:tcW w:w="184" w:type="pct"/>
            <w:shd w:val="clear" w:color="auto" w:fill="auto"/>
            <w:tcMar>
              <w:top w:w="0" w:type="dxa"/>
              <w:left w:w="0" w:type="dxa"/>
              <w:bottom w:w="0" w:type="dxa"/>
              <w:right w:w="0" w:type="dxa"/>
            </w:tcMar>
            <w:vAlign w:val="center"/>
          </w:tcPr>
          <w:p>
            <w:pPr>
              <w:pStyle w:val="22"/>
              <w:bidi w:val="0"/>
              <w:rPr>
                <w:rFonts w:hint="default"/>
              </w:rPr>
            </w:pPr>
            <w:r>
              <w:rPr>
                <w:rFonts w:hint="default"/>
              </w:rPr>
              <w:t>50.6</w:t>
            </w:r>
          </w:p>
        </w:tc>
        <w:tc>
          <w:tcPr>
            <w:tcW w:w="271" w:type="pct"/>
            <w:shd w:val="clear" w:color="auto" w:fill="auto"/>
            <w:tcMar>
              <w:top w:w="0" w:type="dxa"/>
              <w:left w:w="0" w:type="dxa"/>
              <w:bottom w:w="0" w:type="dxa"/>
              <w:right w:w="0" w:type="dxa"/>
            </w:tcMar>
            <w:vAlign w:val="center"/>
          </w:tcPr>
          <w:p>
            <w:pPr>
              <w:pStyle w:val="22"/>
              <w:bidi w:val="0"/>
              <w:rPr>
                <w:rFonts w:hint="default"/>
              </w:rPr>
            </w:pPr>
            <w:r>
              <w:rPr>
                <w:rFonts w:hint="default"/>
              </w:rPr>
              <w:t>1</w:t>
            </w:r>
          </w:p>
        </w:tc>
      </w:tr>
      <w:bookmarkEnd w:id="7"/>
    </w:tbl>
    <w:p>
      <w:pPr>
        <w:adjustRightInd w:val="0"/>
        <w:snapToGrid w:val="0"/>
        <w:spacing w:line="360" w:lineRule="auto"/>
        <w:rPr>
          <w:rFonts w:hint="default"/>
          <w:lang w:val="en-US" w:eastAsia="zh-CN"/>
        </w:rPr>
      </w:pPr>
    </w:p>
    <w:p>
      <w:pPr>
        <w:adjustRightInd w:val="0"/>
        <w:snapToGrid w:val="0"/>
        <w:spacing w:line="360" w:lineRule="auto"/>
        <w:rPr>
          <w:rFonts w:hint="default"/>
          <w:lang w:val="en-US" w:eastAsia="zh-CN"/>
        </w:rPr>
      </w:pPr>
    </w:p>
    <w:p>
      <w:pPr>
        <w:adjustRightInd w:val="0"/>
        <w:snapToGrid w:val="0"/>
        <w:spacing w:line="360" w:lineRule="auto"/>
        <w:rPr>
          <w:rFonts w:hint="default"/>
          <w:lang w:val="en-US" w:eastAsia="zh-CN"/>
        </w:rPr>
      </w:pPr>
    </w:p>
    <w:p>
      <w:pPr>
        <w:adjustRightInd w:val="0"/>
        <w:snapToGrid w:val="0"/>
        <w:spacing w:line="360" w:lineRule="auto"/>
        <w:rPr>
          <w:rFonts w:hint="eastAsia"/>
          <w:lang w:val="en-US" w:eastAsia="zh-CN"/>
        </w:rPr>
        <w:sectPr>
          <w:pgSz w:w="16840" w:h="11907" w:orient="landscape"/>
          <w:pgMar w:top="1531" w:right="1701" w:bottom="1531" w:left="2127" w:header="851" w:footer="851" w:gutter="0"/>
          <w:pgNumType w:fmt="decimal"/>
          <w:cols w:space="720" w:num="1"/>
          <w:docGrid w:linePitch="312" w:charSpace="0"/>
        </w:sectPr>
      </w:pPr>
    </w:p>
    <w:tbl>
      <w:tblPr>
        <w:tblStyle w:val="16"/>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91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20" w:type="pct"/>
            <w:noWrap w:val="0"/>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Cs/>
                <w:i w:val="0"/>
                <w:iCs w:val="0"/>
                <w:szCs w:val="21"/>
              </w:rPr>
            </w:pPr>
          </w:p>
        </w:tc>
        <w:tc>
          <w:tcPr>
            <w:tcW w:w="4679" w:type="pct"/>
            <w:noWrap w:val="0"/>
            <w:vAlign w:val="top"/>
          </w:tcPr>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4.4.2噪声环境影响及防治措施分析</w:t>
            </w:r>
          </w:p>
          <w:p>
            <w:pPr>
              <w:rPr>
                <w:rFonts w:hint="default" w:ascii="Times New Roman" w:hAnsi="Times New Roman" w:cs="Times New Roman"/>
                <w:lang w:val="en-US" w:eastAsia="zh-CN"/>
              </w:rPr>
            </w:pPr>
            <w:r>
              <w:rPr>
                <w:rFonts w:hint="default" w:ascii="Times New Roman" w:hAnsi="Times New Roman" w:cs="Times New Roman"/>
                <w:lang w:val="en-US" w:eastAsia="zh-CN"/>
              </w:rPr>
              <w:t>为降低噪声对周围环境和敏感点产生不良影响，本项目采取一系列的降噪措施，具体如下:</w:t>
            </w:r>
          </w:p>
          <w:p>
            <w:pPr>
              <w:rPr>
                <w:rFonts w:hint="default" w:ascii="Times New Roman" w:hAnsi="Times New Roman" w:cs="Times New Roman"/>
                <w:lang w:val="en-US" w:eastAsia="zh-CN"/>
              </w:rPr>
            </w:pPr>
            <w:r>
              <w:rPr>
                <w:rFonts w:hint="default" w:ascii="Times New Roman" w:hAnsi="Times New Roman" w:cs="Times New Roman"/>
                <w:lang w:val="en-US" w:eastAsia="zh-CN"/>
              </w:rPr>
              <w:t>(1)本项目厂界设置围墙</w:t>
            </w:r>
            <w:r>
              <w:rPr>
                <w:rFonts w:hint="eastAsia" w:ascii="Times New Roman" w:hAnsi="Times New Roman" w:cs="Times New Roman"/>
                <w:lang w:val="en-US" w:eastAsia="zh-CN"/>
              </w:rPr>
              <w:t>及绿化带，</w:t>
            </w:r>
            <w:r>
              <w:rPr>
                <w:rFonts w:hint="default" w:ascii="Times New Roman" w:hAnsi="Times New Roman" w:cs="Times New Roman"/>
                <w:lang w:val="en-US" w:eastAsia="zh-CN"/>
              </w:rPr>
              <w:t>可有效阻隔噪声排放。</w:t>
            </w:r>
          </w:p>
          <w:p>
            <w:pPr>
              <w:rPr>
                <w:rFonts w:hint="default" w:ascii="Times New Roman" w:hAnsi="Times New Roman" w:cs="Times New Roman"/>
                <w:lang w:val="en-US" w:eastAsia="zh-CN"/>
              </w:rPr>
            </w:pPr>
            <w:r>
              <w:rPr>
                <w:rFonts w:hint="default" w:ascii="Times New Roman" w:hAnsi="Times New Roman" w:cs="Times New Roman"/>
                <w:lang w:val="en-US" w:eastAsia="zh-CN"/>
              </w:rPr>
              <w:t>(2)采用低噪声设备，对设备基础减振。</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(3)合理布局噪声源，将清洗区和办公室分开布置，可有效降低生产噪声对办公室的影响。</w:t>
            </w:r>
          </w:p>
          <w:p>
            <w:pPr>
              <w:pStyle w:val="8"/>
              <w:rPr>
                <w:rFonts w:hint="eastAsia" w:ascii="Times New Roman" w:hAnsi="Times New Roman" w:cs="Times New Roman"/>
                <w:lang w:val="en-US" w:eastAsia="zh-CN"/>
              </w:rPr>
            </w:pPr>
            <w:r>
              <w:rPr>
                <w:rFonts w:hint="default" w:ascii="Times New Roman" w:hAnsi="Times New Roman" w:cs="Times New Roman"/>
                <w:lang w:val="en-US" w:eastAsia="zh-CN"/>
              </w:rPr>
              <w:t>(4)严格生产作业管理，合理安排生产时间</w:t>
            </w:r>
            <w:r>
              <w:rPr>
                <w:rFonts w:hint="eastAsia" w:ascii="Times New Roman" w:hAnsi="Times New Roman" w:cs="Times New Roman"/>
                <w:lang w:val="en-US" w:eastAsia="zh-CN"/>
              </w:rPr>
              <w:t>。</w:t>
            </w:r>
          </w:p>
          <w:p>
            <w:pPr>
              <w:rPr>
                <w:rFonts w:hint="default"/>
                <w:lang w:val="en-US" w:eastAsia="zh-CN"/>
              </w:rPr>
            </w:pPr>
            <w:r>
              <w:rPr>
                <w:rFonts w:hint="eastAsia" w:cs="Times New Roman"/>
                <w:lang w:val="en-US" w:eastAsia="zh-CN"/>
              </w:rPr>
              <w:t>(5)合理安排消防队员训练时间。</w:t>
            </w:r>
          </w:p>
          <w:p>
            <w:pPr>
              <w:pStyle w:val="8"/>
              <w:rPr>
                <w:rFonts w:hint="default" w:ascii="Times New Roman" w:hAnsi="Times New Roman" w:cs="Times New Roman"/>
                <w:b/>
                <w:bCs/>
                <w:lang w:val="en-US" w:eastAsia="zh-CN"/>
              </w:rPr>
            </w:pPr>
            <w:r>
              <w:rPr>
                <w:rFonts w:hint="default" w:ascii="Times New Roman" w:hAnsi="Times New Roman" w:cs="Times New Roman"/>
                <w:b/>
                <w:bCs/>
                <w:lang w:val="en-US" w:eastAsia="zh-CN"/>
              </w:rPr>
              <w:t>4.4.3 达标情况分析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评价采用《环境影响评价技术导则 声环境》（HJ2.4-2021）中推荐的模式-工业噪声预测计算模式进行预测。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（1）室内声源等效为室外声源的计算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a、首先计算出某个室内靠近围护结构处的倍频带声压级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position w:val="-28"/>
                <w:sz w:val="24"/>
                <w:szCs w:val="24"/>
                <w:lang w:val="en-US" w:eastAsia="zh-CN"/>
              </w:rPr>
              <w:object>
                <v:shape id="_x0000_i1030" o:spt="75" type="#_x0000_t75" style="height:34pt;width:132.95pt;" o:ole="t" filled="f" o:preferrelative="t" stroked="f" coordsize="21600,21600">
                  <v:path/>
                  <v:fill on="f" focussize="0,0"/>
                  <v:stroke on="f"/>
                  <v:imagedata r:id="rId29" o:title=""/>
                  <o:lock v:ext="edit" aspectratio="t"/>
                  <w10:wrap type="none"/>
                  <w10:anchorlock/>
                </v:shape>
                <o:OLEObject Type="Embed" ProgID="Equation.KSEE3" ShapeID="_x0000_i1030" DrawAspect="Content" ObjectID="_1468075730" r:id="rId2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p1</w:t>
            </w:r>
            <w:r>
              <w:rPr>
                <w:rFonts w:hint="default" w:ascii="Times New Roman" w:hAnsi="Times New Roman" w:eastAsia="宋体" w:cs="Times New Roman"/>
                <w:sz w:val="24"/>
                <w:szCs w:val="24"/>
                <w:vertAlign w:val="baseline"/>
                <w:lang w:val="en-US" w:eastAsia="zh-CN"/>
              </w:rPr>
              <w:t>—某个室内声源在靠近</w:t>
            </w:r>
            <w:r>
              <w:rPr>
                <w:rFonts w:hint="default" w:ascii="Times New Roman" w:hAnsi="Times New Roman" w:eastAsia="宋体" w:cs="Times New Roman"/>
                <w:sz w:val="24"/>
                <w:szCs w:val="24"/>
                <w:lang w:val="en-US" w:eastAsia="zh-CN"/>
              </w:rPr>
              <w:t>围护</w:t>
            </w:r>
            <w:r>
              <w:rPr>
                <w:rFonts w:hint="default" w:ascii="Times New Roman" w:hAnsi="Times New Roman" w:eastAsia="宋体" w:cs="Times New Roman"/>
                <w:sz w:val="24"/>
                <w:szCs w:val="24"/>
                <w:vertAlign w:val="baseline"/>
                <w:lang w:val="en-US" w:eastAsia="zh-CN"/>
              </w:rPr>
              <w:t>结构处产生的倍频带声压级；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vertAlign w:val="baseline"/>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w</w:t>
            </w:r>
            <w:r>
              <w:rPr>
                <w:rFonts w:hint="default" w:ascii="Times New Roman" w:hAnsi="Times New Roman" w:eastAsia="宋体" w:cs="Times New Roman"/>
                <w:sz w:val="24"/>
                <w:szCs w:val="24"/>
                <w:vertAlign w:val="baseline"/>
                <w:lang w:val="en-US" w:eastAsia="zh-CN"/>
              </w:rPr>
              <w:t>—某个声源的倍频带声功率级，dB；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r—某个声源靠近围护结构处的距离，m；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R—房间常数，</w:t>
            </w:r>
            <w:r>
              <w:rPr>
                <w:rFonts w:hint="default" w:ascii="Times New Roman" w:hAnsi="Times New Roman" w:eastAsia="宋体" w:cs="Times New Roman"/>
                <w:position w:val="-10"/>
                <w:sz w:val="24"/>
                <w:szCs w:val="24"/>
                <w:lang w:val="en-US" w:eastAsia="zh-CN"/>
              </w:rPr>
              <w:object>
                <v:shape id="_x0000_i1031" o:spt="75" type="#_x0000_t75" style="height:17pt;width:71pt;" o:ole="t" filled="f" o:preferrelative="t" stroked="f" coordsize="21600,21600">
                  <v:path/>
                  <v:fill on="f" focussize="0,0"/>
                  <v:stroke on="f"/>
                  <v:imagedata r:id="rId31" o:title=""/>
                  <o:lock v:ext="edit" aspectratio="t"/>
                  <w10:wrap type="none"/>
                  <w10:anchorlock/>
                </v:shape>
                <o:OLEObject Type="Embed" ProgID="Equation.KSEE3" ShapeID="_x0000_i1031" DrawAspect="Content" ObjectID="_1468075731" r:id="rId30">
                  <o:LockedField>false</o:LockedField>
                </o:OLEObject>
              </w:object>
            </w:r>
            <w:r>
              <w:rPr>
                <w:rFonts w:hint="default" w:ascii="Times New Roman" w:hAnsi="Times New Roman" w:eastAsia="宋体" w:cs="Times New Roman"/>
                <w:sz w:val="24"/>
                <w:szCs w:val="24"/>
                <w:lang w:val="en-US" w:eastAsia="zh-CN"/>
              </w:rPr>
              <w:t>，S为房间内表面面积，m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；α为平均吸声系数；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Q—指向性因子，通常</w:t>
            </w:r>
            <w:r>
              <w:rPr>
                <w:rFonts w:hint="default" w:ascii="Times New Roman" w:hAnsi="Times New Roman" w:eastAsia="宋体" w:cs="Times New Roman"/>
                <w:color w:val="000000"/>
                <w:kern w:val="0"/>
                <w:sz w:val="24"/>
                <w:szCs w:val="24"/>
                <w:lang w:val="en-US" w:eastAsia="zh-CN" w:bidi="ar"/>
              </w:rPr>
              <w:t>对无指向性声源，当声源放在房间中心时，Q=1；当放在一面墙的中心时，Q=2；当放在两面墙夹角处时，Q=4；当放在三面墙夹角处时，Q=8；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b、计算出所有室内声源在围护结构处产生的i倍频带叠加声压级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position w:val="-32"/>
                <w:sz w:val="24"/>
                <w:szCs w:val="24"/>
                <w:lang w:val="en-US" w:eastAsia="zh-CN"/>
              </w:rPr>
              <w:object>
                <v:shape id="_x0000_i1032" o:spt="75" type="#_x0000_t75" style="height:38pt;width:130pt;" o:ole="t" filled="f" o:preferrelative="t" stroked="f" coordsize="21600,21600">
                  <v:path/>
                  <v:fill on="f" focussize="0,0"/>
                  <v:stroke on="f"/>
                  <v:imagedata r:id="rId33" o:title=""/>
                  <o:lock v:ext="edit" aspectratio="t"/>
                  <w10:wrap type="none"/>
                  <w10:anchorlock/>
                </v:shape>
                <o:OLEObject Type="Embed" ProgID="Equation.KSEE3" ShapeID="_x0000_i1032" DrawAspect="Content" ObjectID="_1468075732" r:id="rId3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pli</w:t>
            </w:r>
            <w:r>
              <w:rPr>
                <w:rFonts w:hint="default" w:ascii="Times New Roman" w:hAnsi="Times New Roman" w:eastAsia="宋体" w:cs="Times New Roman"/>
                <w:sz w:val="24"/>
                <w:szCs w:val="24"/>
                <w:lang w:val="en-US" w:eastAsia="zh-CN"/>
              </w:rPr>
              <w:t>（T）—靠近围护结构处N个室内声源产生的i倍频带的叠加声压级，dB；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plij</w:t>
            </w:r>
            <w:r>
              <w:rPr>
                <w:rFonts w:hint="default" w:ascii="Times New Roman" w:hAnsi="Times New Roman" w:eastAsia="宋体" w:cs="Times New Roman"/>
                <w:sz w:val="24"/>
                <w:szCs w:val="24"/>
                <w:lang w:val="en-US" w:eastAsia="zh-CN"/>
              </w:rPr>
              <w:t>—室内j声源i倍频带的声压级，dB；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N—室内声源总数；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c、计</w:t>
            </w:r>
            <w:r>
              <w:rPr>
                <w:rFonts w:hint="default" w:ascii="Times New Roman" w:hAnsi="Times New Roman" w:eastAsia="宋体" w:cs="Times New Roman"/>
                <w:color w:val="000000"/>
                <w:kern w:val="0"/>
                <w:sz w:val="24"/>
                <w:szCs w:val="24"/>
                <w:lang w:val="en-US" w:eastAsia="zh-CN" w:bidi="ar"/>
              </w:rPr>
              <w:t>算出室外靠近维护结构处的声压级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position w:val="-14"/>
                <w:sz w:val="24"/>
                <w:szCs w:val="24"/>
                <w:lang w:val="en-US" w:eastAsia="zh-CN"/>
              </w:rPr>
              <w:object>
                <v:shape id="_x0000_i1033" o:spt="75" type="#_x0000_t75" style="height:19pt;width:136pt;" o:ole="t" filled="f" o:preferrelative="t" stroked="f" coordsize="21600,21600">
                  <v:path/>
                  <v:fill on="f" focussize="0,0"/>
                  <v:stroke on="f"/>
                  <v:imagedata r:id="rId35" o:title=""/>
                  <o:lock v:ext="edit" aspectratio="t"/>
                  <w10:wrap type="none"/>
                  <w10:anchorlock/>
                </v:shape>
                <o:OLEObject Type="Embed" ProgID="Equation.KSEE3" ShapeID="_x0000_i1033" DrawAspect="Content" ObjectID="_1468075733" r:id="rId3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P2i</w:t>
            </w:r>
            <w:r>
              <w:rPr>
                <w:rFonts w:hint="default" w:ascii="Times New Roman" w:hAnsi="Times New Roman" w:eastAsia="宋体" w:cs="Times New Roman"/>
                <w:sz w:val="24"/>
                <w:szCs w:val="24"/>
                <w:lang w:val="en-US" w:eastAsia="zh-CN"/>
              </w:rPr>
              <w:t>（T）—靠近围护结构处N个室外声源产生的i倍频带的叠加声压级，dB；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TL</w:t>
            </w:r>
            <w:r>
              <w:rPr>
                <w:rFonts w:hint="default" w:ascii="Times New Roman" w:hAnsi="Times New Roman" w:eastAsia="宋体" w:cs="Times New Roman"/>
                <w:sz w:val="24"/>
                <w:szCs w:val="24"/>
                <w:vertAlign w:val="subscript"/>
                <w:lang w:val="en-US" w:eastAsia="zh-CN"/>
              </w:rPr>
              <w:t>i</w:t>
            </w:r>
            <w:r>
              <w:rPr>
                <w:rFonts w:hint="default" w:ascii="Times New Roman" w:hAnsi="Times New Roman" w:eastAsia="宋体" w:cs="Times New Roman"/>
                <w:sz w:val="24"/>
                <w:szCs w:val="24"/>
                <w:lang w:val="en-US" w:eastAsia="zh-CN"/>
              </w:rPr>
              <w:t>—维护结构i倍频带的隔声量，dB；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d、将室外声源的声压级和透声面积换算成等效的室外声源，计算出中心位置位于透声面积（S）处的等效声源的倍频带声功率级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position w:val="-14"/>
                <w:sz w:val="24"/>
                <w:szCs w:val="24"/>
                <w:lang w:val="en-US" w:eastAsia="zh-CN"/>
              </w:rPr>
              <w:object>
                <v:shape id="_x0000_i1034" o:spt="75" type="#_x0000_t75" style="height:19pt;width:114.95pt;" o:ole="t" filled="f" o:preferrelative="t" stroked="f" coordsize="21600,21600">
                  <v:path/>
                  <v:fill on="f" focussize="0,0"/>
                  <v:stroke on="f"/>
                  <v:imagedata r:id="rId37" o:title=""/>
                  <o:lock v:ext="edit" aspectratio="t"/>
                  <w10:wrap type="none"/>
                  <w10:anchorlock/>
                </v:shape>
                <o:OLEObject Type="Embed" ProgID="Equation.KSEE3" ShapeID="_x0000_i1034" DrawAspect="Content" ObjectID="_1468075734" r:id="rId3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式中：S—透声面积，m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（2）单个室外点声源在预测点产生的A声级的计算</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position w:val="-14"/>
                <w:sz w:val="24"/>
                <w:szCs w:val="24"/>
                <w:lang w:val="en-US" w:eastAsia="zh-CN"/>
              </w:rPr>
              <w:object>
                <v:shape id="_x0000_i1035" o:spt="75" type="#_x0000_t75" style="height:19pt;width:224pt;" o:ole="t" filled="f" o:preferrelative="t" stroked="f" coordsize="21600,21600">
                  <v:path/>
                  <v:fill on="f" focussize="0,0"/>
                  <v:stroke on="f"/>
                  <v:imagedata r:id="rId39" o:title=""/>
                  <o:lock v:ext="edit" aspectratio="t"/>
                  <w10:wrap type="none"/>
                  <w10:anchorlock/>
                </v:shape>
                <o:OLEObject Type="Embed" ProgID="Equation.KSEE3" ShapeID="_x0000_i1035" DrawAspect="Content" ObjectID="_1468075735" r:id="rId38">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式中：L</w:t>
            </w:r>
            <w:r>
              <w:rPr>
                <w:rFonts w:hint="default" w:ascii="Times New Roman" w:hAnsi="Times New Roman" w:eastAsia="宋体" w:cs="Times New Roman"/>
                <w:sz w:val="24"/>
                <w:szCs w:val="24"/>
                <w:vertAlign w:val="subscript"/>
                <w:lang w:val="en-US" w:eastAsia="zh-CN"/>
              </w:rPr>
              <w:t>A</w:t>
            </w:r>
            <w:r>
              <w:rPr>
                <w:rFonts w:hint="default" w:ascii="Times New Roman" w:hAnsi="Times New Roman" w:eastAsia="宋体" w:cs="Times New Roman"/>
                <w:sz w:val="24"/>
                <w:szCs w:val="24"/>
                <w:lang w:val="en-US" w:eastAsia="zh-CN"/>
              </w:rPr>
              <w:t>（r）—距声源r处的A声级，dB(A)；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L</w:t>
            </w:r>
            <w:r>
              <w:rPr>
                <w:rFonts w:hint="default" w:ascii="Times New Roman" w:hAnsi="Times New Roman" w:eastAsia="宋体" w:cs="Times New Roman"/>
                <w:sz w:val="24"/>
                <w:szCs w:val="24"/>
                <w:vertAlign w:val="subscript"/>
                <w:lang w:val="en-US" w:eastAsia="zh-CN"/>
              </w:rPr>
              <w:t>A</w:t>
            </w:r>
            <w:r>
              <w:rPr>
                <w:rFonts w:hint="default" w:ascii="Times New Roman" w:hAnsi="Times New Roman" w:eastAsia="宋体" w:cs="Times New Roman"/>
                <w:sz w:val="24"/>
                <w:szCs w:val="24"/>
                <w:lang w:val="en-US" w:eastAsia="zh-CN"/>
              </w:rPr>
              <w:t>（r</w:t>
            </w:r>
            <w:r>
              <w:rPr>
                <w:rFonts w:hint="default" w:ascii="Times New Roman" w:hAnsi="Times New Roman" w:eastAsia="宋体" w:cs="Times New Roman"/>
                <w:sz w:val="24"/>
                <w:szCs w:val="24"/>
                <w:vertAlign w:val="subscript"/>
                <w:lang w:val="en-US" w:eastAsia="zh-CN"/>
              </w:rPr>
              <w:t>0</w:t>
            </w:r>
            <w:r>
              <w:rPr>
                <w:rFonts w:hint="default" w:ascii="Times New Roman" w:hAnsi="Times New Roman" w:eastAsia="宋体" w:cs="Times New Roman"/>
                <w:sz w:val="24"/>
                <w:szCs w:val="24"/>
                <w:lang w:val="en-US" w:eastAsia="zh-CN"/>
              </w:rPr>
              <w:t>）—参考位置r</w:t>
            </w:r>
            <w:r>
              <w:rPr>
                <w:rFonts w:hint="default" w:ascii="Times New Roman" w:hAnsi="Times New Roman" w:eastAsia="宋体" w:cs="Times New Roman"/>
                <w:sz w:val="24"/>
                <w:szCs w:val="24"/>
                <w:vertAlign w:val="subscript"/>
                <w:lang w:val="en-US" w:eastAsia="zh-CN"/>
              </w:rPr>
              <w:t>0</w:t>
            </w:r>
            <w:r>
              <w:rPr>
                <w:rFonts w:hint="default" w:ascii="Times New Roman" w:hAnsi="Times New Roman" w:eastAsia="宋体" w:cs="Times New Roman"/>
                <w:sz w:val="24"/>
                <w:szCs w:val="24"/>
                <w:lang w:val="en-US" w:eastAsia="zh-CN"/>
              </w:rPr>
              <w:t>处的A声级，dB(A)；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vertAlign w:val="subscript"/>
                <w:lang w:val="en-US" w:eastAsia="zh-CN"/>
              </w:rPr>
              <w:t>div</w:t>
            </w:r>
            <w:r>
              <w:rPr>
                <w:rFonts w:hint="default" w:ascii="Times New Roman" w:hAnsi="Times New Roman" w:eastAsia="宋体" w:cs="Times New Roman"/>
                <w:sz w:val="24"/>
                <w:szCs w:val="24"/>
                <w:lang w:val="en-US" w:eastAsia="zh-CN"/>
              </w:rPr>
              <w:t>—几何发散引起的倍频带衰减，dB；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vertAlign w:val="subscript"/>
                <w:lang w:val="en-US" w:eastAsia="zh-CN"/>
              </w:rPr>
              <w:t>atm</w:t>
            </w:r>
            <w:r>
              <w:rPr>
                <w:rFonts w:hint="default" w:ascii="Times New Roman" w:hAnsi="Times New Roman" w:eastAsia="宋体" w:cs="Times New Roman"/>
                <w:sz w:val="24"/>
                <w:szCs w:val="24"/>
                <w:lang w:val="en-US" w:eastAsia="zh-CN"/>
              </w:rPr>
              <w:t>—大气吸收引起的倍频带衰减，dB；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vertAlign w:val="subscript"/>
                <w:lang w:val="en-US" w:eastAsia="zh-CN"/>
              </w:rPr>
              <w:t>gr</w:t>
            </w:r>
            <w:r>
              <w:rPr>
                <w:rFonts w:hint="default" w:ascii="Times New Roman" w:hAnsi="Times New Roman" w:eastAsia="宋体" w:cs="Times New Roman"/>
                <w:sz w:val="24"/>
                <w:szCs w:val="24"/>
                <w:lang w:val="en-US" w:eastAsia="zh-CN"/>
              </w:rPr>
              <w:t>—地面效应引起的倍频带衰减，dB；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vertAlign w:val="subscript"/>
                <w:lang w:val="en-US" w:eastAsia="zh-CN"/>
              </w:rPr>
              <w:t>bar</w:t>
            </w:r>
            <w:r>
              <w:rPr>
                <w:rFonts w:hint="default" w:ascii="Times New Roman" w:hAnsi="Times New Roman" w:eastAsia="宋体" w:cs="Times New Roman"/>
                <w:sz w:val="24"/>
                <w:szCs w:val="24"/>
                <w:lang w:val="en-US" w:eastAsia="zh-CN"/>
              </w:rPr>
              <w:t>—声屏障引起的倍频带衰减，dB；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vertAlign w:val="subscript"/>
                <w:lang w:val="en-US" w:eastAsia="zh-CN"/>
              </w:rPr>
              <w:t>misc</w:t>
            </w:r>
            <w:r>
              <w:rPr>
                <w:rFonts w:hint="default" w:ascii="Times New Roman" w:hAnsi="Times New Roman" w:eastAsia="宋体" w:cs="Times New Roman"/>
                <w:sz w:val="24"/>
                <w:szCs w:val="24"/>
                <w:lang w:val="en-US" w:eastAsia="zh-CN"/>
              </w:rPr>
              <w:t>—其他多方面效应引起的倍频带衰减，dB；</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（3）声源在预测点处噪声贡献值的计算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设第i个声源在预测点处产生的A声级为L</w:t>
            </w:r>
            <w:r>
              <w:rPr>
                <w:rFonts w:hint="default" w:ascii="Times New Roman" w:hAnsi="Times New Roman" w:eastAsia="宋体" w:cs="Times New Roman"/>
                <w:sz w:val="24"/>
                <w:szCs w:val="24"/>
                <w:vertAlign w:val="subscript"/>
                <w:lang w:val="en-US" w:eastAsia="zh-CN"/>
              </w:rPr>
              <w:t>Ai</w:t>
            </w:r>
            <w:r>
              <w:rPr>
                <w:rFonts w:hint="default" w:ascii="Times New Roman" w:hAnsi="Times New Roman" w:eastAsia="宋体" w:cs="Times New Roman"/>
                <w:sz w:val="24"/>
                <w:szCs w:val="24"/>
                <w:lang w:val="en-US" w:eastAsia="zh-CN"/>
              </w:rPr>
              <w:t>，在T时间内该声源工作时间为t</w:t>
            </w:r>
            <w:r>
              <w:rPr>
                <w:rFonts w:hint="default" w:ascii="Times New Roman" w:hAnsi="Times New Roman" w:eastAsia="宋体" w:cs="Times New Roman"/>
                <w:sz w:val="24"/>
                <w:szCs w:val="24"/>
                <w:vertAlign w:val="subscript"/>
                <w:lang w:val="en-US" w:eastAsia="zh-CN"/>
              </w:rPr>
              <w:t>i</w:t>
            </w:r>
            <w:r>
              <w:rPr>
                <w:rFonts w:hint="default" w:ascii="Times New Roman" w:hAnsi="Times New Roman" w:eastAsia="宋体" w:cs="Times New Roman"/>
                <w:sz w:val="24"/>
                <w:szCs w:val="24"/>
                <w:lang w:val="en-US" w:eastAsia="zh-CN"/>
              </w:rPr>
              <w:t>，则预测点的总声级为：</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position w:val="-30"/>
                <w:sz w:val="24"/>
                <w:szCs w:val="24"/>
                <w:lang w:val="en-US" w:eastAsia="zh-CN"/>
              </w:rPr>
              <w:object>
                <v:shape id="_x0000_i1036" o:spt="75" type="#_x0000_t75" style="height:36pt;width:161pt;" o:ole="t" filled="f" o:preferrelative="t" stroked="f" coordsize="21600,21600">
                  <v:path/>
                  <v:fill on="f" focussize="0,0"/>
                  <v:stroke on="f"/>
                  <v:imagedata r:id="rId41" o:title=""/>
                  <o:lock v:ext="edit" aspectratio="t"/>
                  <w10:wrap type="none"/>
                  <w10:anchorlock/>
                </v:shape>
                <o:OLEObject Type="Embed" ProgID="Equation.KSEE3" ShapeID="_x0000_i1036" DrawAspect="Content" ObjectID="_1468075736" r:id="rId4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式中：T为计算等效声级的时间，N为声级的个数；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（4）参数的确定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a、声波几何发散引起的A声级衰减量(工业噪声源)：A</w:t>
            </w:r>
            <w:r>
              <w:rPr>
                <w:rFonts w:hint="default" w:ascii="Times New Roman" w:hAnsi="Times New Roman" w:eastAsia="宋体" w:cs="Times New Roman"/>
                <w:sz w:val="24"/>
                <w:szCs w:val="24"/>
                <w:vertAlign w:val="subscript"/>
                <w:lang w:val="en-US" w:eastAsia="zh-CN"/>
              </w:rPr>
              <w:t>div</w:t>
            </w:r>
            <w:r>
              <w:rPr>
                <w:rFonts w:hint="default" w:ascii="Times New Roman" w:hAnsi="Times New Roman" w:eastAsia="宋体" w:cs="Times New Roman"/>
                <w:sz w:val="24"/>
                <w:szCs w:val="24"/>
                <w:lang w:val="en-US" w:eastAsia="zh-CN"/>
              </w:rPr>
              <w:t>＝20Lg(r/r</w:t>
            </w:r>
            <w:r>
              <w:rPr>
                <w:rFonts w:hint="default" w:ascii="Times New Roman" w:hAnsi="Times New Roman" w:eastAsia="宋体" w:cs="Times New Roman"/>
                <w:sz w:val="24"/>
                <w:szCs w:val="24"/>
                <w:vertAlign w:val="subscript"/>
                <w:lang w:val="en-US" w:eastAsia="zh-CN"/>
              </w:rPr>
              <w:t>0</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b、空气吸收引起的衰减量A</w:t>
            </w:r>
            <w:r>
              <w:rPr>
                <w:rFonts w:hint="default" w:ascii="Times New Roman" w:hAnsi="Times New Roman" w:eastAsia="宋体" w:cs="Times New Roman"/>
                <w:sz w:val="24"/>
                <w:szCs w:val="24"/>
                <w:vertAlign w:val="subscript"/>
                <w:lang w:val="en-US" w:eastAsia="zh-CN"/>
              </w:rPr>
              <w:t>atm</w:t>
            </w:r>
            <w:r>
              <w:rPr>
                <w:rFonts w:hint="default" w:ascii="Times New Roman" w:hAnsi="Times New Roman" w:eastAsia="宋体" w:cs="Times New Roman"/>
                <w:sz w:val="24"/>
                <w:szCs w:val="24"/>
                <w:lang w:val="en-US" w:eastAsia="zh-CN"/>
              </w:rPr>
              <w:t>，项目噪声以中低频为主，空气吸收性衰减很少，本次评价预测时忽略不计；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c、地面效应引起的衰减量A</w:t>
            </w:r>
            <w:r>
              <w:rPr>
                <w:rFonts w:hint="default" w:ascii="Times New Roman" w:hAnsi="Times New Roman" w:eastAsia="宋体" w:cs="Times New Roman"/>
                <w:sz w:val="24"/>
                <w:szCs w:val="24"/>
                <w:vertAlign w:val="subscript"/>
                <w:lang w:val="en-US" w:eastAsia="zh-CN"/>
              </w:rPr>
              <w:t>gr</w:t>
            </w:r>
            <w:r>
              <w:rPr>
                <w:rFonts w:hint="default" w:ascii="Times New Roman" w:hAnsi="Times New Roman" w:eastAsia="宋体" w:cs="Times New Roman"/>
                <w:sz w:val="24"/>
                <w:szCs w:val="24"/>
                <w:lang w:val="en-US" w:eastAsia="zh-CN"/>
              </w:rPr>
              <w:t>，项目地面为混凝土硬化地面，地面效应引起的衰减量很小，本次评价预测时忽略不计；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d、屏障引起的衰减A</w:t>
            </w:r>
            <w:r>
              <w:rPr>
                <w:rFonts w:hint="default" w:ascii="Times New Roman" w:hAnsi="Times New Roman" w:eastAsia="宋体" w:cs="Times New Roman"/>
                <w:sz w:val="24"/>
                <w:szCs w:val="24"/>
                <w:vertAlign w:val="subscript"/>
                <w:lang w:val="en-US" w:eastAsia="zh-CN"/>
              </w:rPr>
              <w:t>bar</w:t>
            </w:r>
            <w:r>
              <w:rPr>
                <w:rFonts w:hint="default" w:ascii="Times New Roman" w:hAnsi="Times New Roman" w:eastAsia="宋体" w:cs="Times New Roman"/>
                <w:sz w:val="24"/>
                <w:szCs w:val="24"/>
                <w:vertAlign w:val="baseline"/>
                <w:lang w:val="en-US" w:eastAsia="zh-CN"/>
              </w:rPr>
              <w:t>，</w:t>
            </w:r>
            <w:r>
              <w:rPr>
                <w:rFonts w:hint="default" w:ascii="Times New Roman" w:hAnsi="Times New Roman" w:eastAsia="宋体" w:cs="Times New Roman"/>
                <w:sz w:val="24"/>
                <w:szCs w:val="24"/>
                <w:lang w:val="en-US" w:eastAsia="zh-CN"/>
              </w:rPr>
              <w:t>噪声在向外传播过程中将受到建筑或其他物体的阻挡影响，从而引起声能量的衰减，具体衰减根据不同声级的传播途径而定；</w:t>
            </w:r>
          </w:p>
          <w:p>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kern w:val="21"/>
                <w:sz w:val="24"/>
                <w:szCs w:val="24"/>
              </w:rPr>
            </w:pPr>
            <w:r>
              <w:rPr>
                <w:rFonts w:hint="default" w:ascii="Times New Roman" w:hAnsi="Times New Roman" w:eastAsia="宋体" w:cs="Times New Roman"/>
                <w:sz w:val="24"/>
                <w:szCs w:val="24"/>
                <w:lang w:val="en-US" w:eastAsia="zh-CN"/>
              </w:rPr>
              <w:t>e、其他多方面原因引起的衰减量A</w:t>
            </w:r>
            <w:r>
              <w:rPr>
                <w:rFonts w:hint="default" w:ascii="Times New Roman" w:hAnsi="Times New Roman" w:eastAsia="宋体" w:cs="Times New Roman"/>
                <w:sz w:val="24"/>
                <w:szCs w:val="24"/>
                <w:vertAlign w:val="subscript"/>
                <w:lang w:val="en-US" w:eastAsia="zh-CN"/>
              </w:rPr>
              <w:t>misc</w:t>
            </w:r>
            <w:r>
              <w:rPr>
                <w:rFonts w:hint="default" w:ascii="Times New Roman" w:hAnsi="Times New Roman" w:eastAsia="宋体"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sz w:val="24"/>
              </w:rPr>
            </w:pPr>
            <w:r>
              <w:rPr>
                <w:sz w:val="24"/>
              </w:rPr>
              <w:t>③预测结果及评价</w:t>
            </w:r>
          </w:p>
          <w:p>
            <w:pPr>
              <w:rPr>
                <w:rFonts w:hint="default" w:ascii="Times New Roman" w:hAnsi="Times New Roman" w:cs="Times New Roman"/>
              </w:rPr>
            </w:pPr>
            <w:r>
              <w:rPr>
                <w:rFonts w:hint="default" w:ascii="Times New Roman" w:hAnsi="Times New Roman" w:eastAsia="宋体" w:cs="Times New Roman"/>
                <w:color w:val="000000"/>
                <w:sz w:val="24"/>
                <w:szCs w:val="24"/>
              </w:rPr>
              <w:t>预测结果见</w:t>
            </w:r>
            <w:r>
              <w:rPr>
                <w:rFonts w:hint="eastAsia" w:cs="Times New Roman"/>
                <w:color w:val="000000"/>
                <w:sz w:val="24"/>
                <w:szCs w:val="24"/>
                <w:lang w:val="en-US" w:eastAsia="zh-CN"/>
              </w:rPr>
              <w:t>下</w:t>
            </w:r>
            <w:r>
              <w:rPr>
                <w:rFonts w:hint="default" w:ascii="Times New Roman" w:hAnsi="Times New Roman" w:eastAsia="宋体" w:cs="Times New Roman"/>
                <w:color w:val="000000"/>
                <w:sz w:val="24"/>
                <w:szCs w:val="24"/>
              </w:rPr>
              <w:t>表</w:t>
            </w:r>
            <w:r>
              <w:rPr>
                <w:rFonts w:hint="default" w:ascii="Times New Roman" w:hAnsi="Times New Roman" w:cs="Times New Roman"/>
              </w:rPr>
              <w:t>。</w:t>
            </w:r>
          </w:p>
          <w:p>
            <w:pPr>
              <w:pStyle w:val="26"/>
              <w:bidi w:val="0"/>
            </w:pPr>
            <w:r>
              <w:t>表</w:t>
            </w:r>
            <w:r>
              <w:rPr>
                <w:rFonts w:hint="eastAsia"/>
                <w:lang w:val="en-US" w:eastAsia="zh-CN"/>
              </w:rPr>
              <w:t>4.4-3</w:t>
            </w:r>
            <w:r>
              <w:rPr>
                <w:rFonts w:hint="eastAsia"/>
              </w:rPr>
              <w:t xml:space="preserve"> </w:t>
            </w:r>
            <w:r>
              <w:t>厂界噪声</w:t>
            </w:r>
            <w:r>
              <w:rPr>
                <w:rFonts w:hint="eastAsia"/>
                <w:lang w:val="en-US" w:eastAsia="zh-CN"/>
              </w:rPr>
              <w:t>计算</w:t>
            </w:r>
            <w:r>
              <w:t>结果（单位：dB（A））</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49"/>
              <w:gridCol w:w="942"/>
              <w:gridCol w:w="839"/>
              <w:gridCol w:w="842"/>
              <w:gridCol w:w="1037"/>
              <w:gridCol w:w="1481"/>
              <w:gridCol w:w="1485"/>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4" w:hRule="exact"/>
                <w:jc w:val="center"/>
              </w:trPr>
              <w:tc>
                <w:tcPr>
                  <w:tcW w:w="588" w:type="pct"/>
                  <w:vMerge w:val="restart"/>
                  <w:shd w:val="clear" w:color="auto" w:fill="auto"/>
                  <w:vAlign w:val="center"/>
                </w:tcPr>
                <w:p>
                  <w:pPr>
                    <w:pStyle w:val="22"/>
                    <w:bidi w:val="0"/>
                    <w:rPr>
                      <w:rFonts w:hint="default"/>
                    </w:rPr>
                  </w:pPr>
                  <w:r>
                    <w:rPr>
                      <w:rFonts w:hint="default"/>
                    </w:rPr>
                    <w:t>预测方位</w:t>
                  </w:r>
                </w:p>
              </w:tc>
              <w:tc>
                <w:tcPr>
                  <w:tcW w:w="1470" w:type="pct"/>
                  <w:gridSpan w:val="3"/>
                  <w:shd w:val="clear" w:color="auto" w:fill="auto"/>
                  <w:vAlign w:val="center"/>
                </w:tcPr>
                <w:p>
                  <w:pPr>
                    <w:pStyle w:val="22"/>
                    <w:bidi w:val="0"/>
                    <w:rPr>
                      <w:rFonts w:hint="default"/>
                    </w:rPr>
                  </w:pPr>
                  <w:r>
                    <w:rPr>
                      <w:rFonts w:hint="default"/>
                      <w:lang w:val="en-US" w:eastAsia="zh-CN"/>
                    </w:rPr>
                    <w:t>最大值点</w:t>
                  </w:r>
                  <w:r>
                    <w:rPr>
                      <w:rFonts w:hint="default"/>
                    </w:rPr>
                    <w:t>空间相对位置/m</w:t>
                  </w:r>
                </w:p>
              </w:tc>
              <w:tc>
                <w:tcPr>
                  <w:tcW w:w="581" w:type="pct"/>
                  <w:vMerge w:val="restart"/>
                  <w:shd w:val="clear" w:color="auto" w:fill="auto"/>
                  <w:vAlign w:val="center"/>
                </w:tcPr>
                <w:p>
                  <w:pPr>
                    <w:pStyle w:val="22"/>
                    <w:bidi w:val="0"/>
                    <w:rPr>
                      <w:rFonts w:hint="default"/>
                    </w:rPr>
                  </w:pPr>
                  <w:r>
                    <w:rPr>
                      <w:rFonts w:hint="default"/>
                    </w:rPr>
                    <w:t>时段</w:t>
                  </w:r>
                </w:p>
              </w:tc>
              <w:tc>
                <w:tcPr>
                  <w:tcW w:w="830" w:type="pct"/>
                  <w:vMerge w:val="restart"/>
                  <w:shd w:val="clear" w:color="auto" w:fill="auto"/>
                  <w:vAlign w:val="center"/>
                </w:tcPr>
                <w:p>
                  <w:pPr>
                    <w:pStyle w:val="22"/>
                    <w:bidi w:val="0"/>
                    <w:rPr>
                      <w:rFonts w:hint="default"/>
                    </w:rPr>
                  </w:pPr>
                  <w:r>
                    <w:rPr>
                      <w:rFonts w:hint="default"/>
                    </w:rPr>
                    <w:t>贡献值（dB(A)）</w:t>
                  </w:r>
                </w:p>
              </w:tc>
              <w:tc>
                <w:tcPr>
                  <w:tcW w:w="832" w:type="pct"/>
                  <w:vMerge w:val="restart"/>
                  <w:shd w:val="clear" w:color="auto" w:fill="auto"/>
                  <w:vAlign w:val="center"/>
                </w:tcPr>
                <w:p>
                  <w:pPr>
                    <w:pStyle w:val="22"/>
                    <w:bidi w:val="0"/>
                    <w:rPr>
                      <w:rFonts w:hint="default"/>
                    </w:rPr>
                  </w:pPr>
                  <w:r>
                    <w:rPr>
                      <w:rFonts w:hint="default"/>
                    </w:rPr>
                    <w:t>标准限值（dB(A)）</w:t>
                  </w:r>
                </w:p>
              </w:tc>
              <w:tc>
                <w:tcPr>
                  <w:tcW w:w="696" w:type="pct"/>
                  <w:vMerge w:val="restart"/>
                  <w:shd w:val="clear" w:color="auto" w:fill="auto"/>
                  <w:vAlign w:val="center"/>
                </w:tcPr>
                <w:p>
                  <w:pPr>
                    <w:pStyle w:val="22"/>
                    <w:bidi w:val="0"/>
                    <w:rPr>
                      <w:rFonts w:hint="default"/>
                    </w:rPr>
                  </w:pPr>
                  <w:r>
                    <w:rPr>
                      <w:rFonts w:hint="default"/>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88" w:type="pct"/>
                  <w:vMerge w:val="continue"/>
                  <w:shd w:val="clear" w:color="auto" w:fill="auto"/>
                  <w:vAlign w:val="center"/>
                </w:tcPr>
                <w:p>
                  <w:pPr>
                    <w:pStyle w:val="22"/>
                    <w:bidi w:val="0"/>
                    <w:rPr>
                      <w:rFonts w:hint="default"/>
                    </w:rPr>
                  </w:pPr>
                </w:p>
              </w:tc>
              <w:tc>
                <w:tcPr>
                  <w:tcW w:w="528" w:type="pct"/>
                  <w:shd w:val="clear" w:color="auto" w:fill="auto"/>
                  <w:vAlign w:val="center"/>
                </w:tcPr>
                <w:p>
                  <w:pPr>
                    <w:pStyle w:val="22"/>
                    <w:bidi w:val="0"/>
                    <w:rPr>
                      <w:rFonts w:hint="default"/>
                    </w:rPr>
                  </w:pPr>
                  <w:r>
                    <w:rPr>
                      <w:rFonts w:hint="default"/>
                    </w:rPr>
                    <w:t>X</w:t>
                  </w:r>
                </w:p>
              </w:tc>
              <w:tc>
                <w:tcPr>
                  <w:tcW w:w="470" w:type="pct"/>
                  <w:shd w:val="clear" w:color="auto" w:fill="auto"/>
                  <w:vAlign w:val="center"/>
                </w:tcPr>
                <w:p>
                  <w:pPr>
                    <w:pStyle w:val="22"/>
                    <w:bidi w:val="0"/>
                    <w:rPr>
                      <w:rFonts w:hint="default"/>
                    </w:rPr>
                  </w:pPr>
                  <w:r>
                    <w:rPr>
                      <w:rFonts w:hint="default"/>
                    </w:rPr>
                    <w:t>Y</w:t>
                  </w:r>
                </w:p>
              </w:tc>
              <w:tc>
                <w:tcPr>
                  <w:tcW w:w="472" w:type="pct"/>
                  <w:shd w:val="clear" w:color="auto" w:fill="auto"/>
                  <w:vAlign w:val="center"/>
                </w:tcPr>
                <w:p>
                  <w:pPr>
                    <w:pStyle w:val="22"/>
                    <w:bidi w:val="0"/>
                    <w:rPr>
                      <w:rFonts w:hint="default"/>
                    </w:rPr>
                  </w:pPr>
                  <w:r>
                    <w:rPr>
                      <w:rFonts w:hint="default"/>
                    </w:rPr>
                    <w:t>Z</w:t>
                  </w:r>
                </w:p>
              </w:tc>
              <w:tc>
                <w:tcPr>
                  <w:tcW w:w="581" w:type="pct"/>
                  <w:vMerge w:val="continue"/>
                  <w:shd w:val="clear" w:color="auto" w:fill="auto"/>
                  <w:vAlign w:val="center"/>
                </w:tcPr>
                <w:p>
                  <w:pPr>
                    <w:pStyle w:val="22"/>
                    <w:bidi w:val="0"/>
                    <w:rPr>
                      <w:rFonts w:hint="default"/>
                    </w:rPr>
                  </w:pPr>
                </w:p>
              </w:tc>
              <w:tc>
                <w:tcPr>
                  <w:tcW w:w="830" w:type="pct"/>
                  <w:vMerge w:val="continue"/>
                  <w:shd w:val="clear" w:color="auto" w:fill="auto"/>
                  <w:vAlign w:val="center"/>
                </w:tcPr>
                <w:p>
                  <w:pPr>
                    <w:pStyle w:val="22"/>
                    <w:bidi w:val="0"/>
                    <w:rPr>
                      <w:rFonts w:hint="default"/>
                    </w:rPr>
                  </w:pPr>
                </w:p>
              </w:tc>
              <w:tc>
                <w:tcPr>
                  <w:tcW w:w="832" w:type="pct"/>
                  <w:vMerge w:val="continue"/>
                  <w:shd w:val="clear" w:color="auto" w:fill="auto"/>
                  <w:vAlign w:val="center"/>
                </w:tcPr>
                <w:p>
                  <w:pPr>
                    <w:pStyle w:val="22"/>
                    <w:bidi w:val="0"/>
                    <w:rPr>
                      <w:rFonts w:hint="default"/>
                    </w:rPr>
                  </w:pPr>
                </w:p>
              </w:tc>
              <w:tc>
                <w:tcPr>
                  <w:tcW w:w="696" w:type="pct"/>
                  <w:vMerge w:val="continue"/>
                  <w:shd w:val="clear" w:color="auto" w:fill="auto"/>
                  <w:vAlign w:val="center"/>
                </w:tcPr>
                <w:p>
                  <w:pPr>
                    <w:pStyle w:val="22"/>
                    <w:bidi w:val="0"/>
                    <w:rPr>
                      <w:rFonts w:hint="defaul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pct"/>
                  <w:vMerge w:val="restart"/>
                  <w:shd w:val="clear" w:color="auto" w:fill="auto"/>
                  <w:vAlign w:val="center"/>
                </w:tcPr>
                <w:p>
                  <w:pPr>
                    <w:pStyle w:val="22"/>
                    <w:bidi w:val="0"/>
                    <w:rPr>
                      <w:rFonts w:hint="default"/>
                    </w:rPr>
                  </w:pPr>
                  <w:r>
                    <w:rPr>
                      <w:rFonts w:hint="default"/>
                    </w:rPr>
                    <w:t>东侧</w:t>
                  </w:r>
                </w:p>
              </w:tc>
              <w:tc>
                <w:tcPr>
                  <w:tcW w:w="528" w:type="pct"/>
                  <w:shd w:val="clear" w:color="auto" w:fill="auto"/>
                  <w:vAlign w:val="center"/>
                </w:tcPr>
                <w:p>
                  <w:pPr>
                    <w:pStyle w:val="22"/>
                    <w:bidi w:val="0"/>
                    <w:rPr>
                      <w:rFonts w:hint="default"/>
                    </w:rPr>
                  </w:pPr>
                  <w:r>
                    <w:rPr>
                      <w:rFonts w:hint="default"/>
                    </w:rPr>
                    <w:t>174</w:t>
                  </w:r>
                </w:p>
              </w:tc>
              <w:tc>
                <w:tcPr>
                  <w:tcW w:w="470" w:type="pct"/>
                  <w:shd w:val="clear" w:color="auto" w:fill="auto"/>
                  <w:vAlign w:val="center"/>
                </w:tcPr>
                <w:p>
                  <w:pPr>
                    <w:pStyle w:val="22"/>
                    <w:bidi w:val="0"/>
                    <w:rPr>
                      <w:rFonts w:hint="default"/>
                    </w:rPr>
                  </w:pPr>
                  <w:r>
                    <w:rPr>
                      <w:rFonts w:hint="default"/>
                    </w:rPr>
                    <w:t>-82.4</w:t>
                  </w:r>
                </w:p>
              </w:tc>
              <w:tc>
                <w:tcPr>
                  <w:tcW w:w="472" w:type="pct"/>
                  <w:shd w:val="clear" w:color="auto" w:fill="auto"/>
                  <w:vAlign w:val="center"/>
                </w:tcPr>
                <w:p>
                  <w:pPr>
                    <w:pStyle w:val="22"/>
                    <w:bidi w:val="0"/>
                    <w:rPr>
                      <w:rFonts w:hint="default"/>
                    </w:rPr>
                  </w:pPr>
                  <w:r>
                    <w:rPr>
                      <w:rFonts w:hint="default"/>
                    </w:rPr>
                    <w:t>1.2</w:t>
                  </w:r>
                </w:p>
              </w:tc>
              <w:tc>
                <w:tcPr>
                  <w:tcW w:w="581" w:type="pct"/>
                  <w:shd w:val="clear" w:color="auto" w:fill="auto"/>
                  <w:vAlign w:val="center"/>
                </w:tcPr>
                <w:p>
                  <w:pPr>
                    <w:pStyle w:val="22"/>
                    <w:bidi w:val="0"/>
                    <w:rPr>
                      <w:rFonts w:hint="default"/>
                    </w:rPr>
                  </w:pPr>
                  <w:r>
                    <w:rPr>
                      <w:rFonts w:hint="default"/>
                    </w:rPr>
                    <w:t>昼间</w:t>
                  </w:r>
                </w:p>
              </w:tc>
              <w:tc>
                <w:tcPr>
                  <w:tcW w:w="830" w:type="pct"/>
                  <w:shd w:val="clear" w:color="auto" w:fill="auto"/>
                  <w:vAlign w:val="center"/>
                </w:tcPr>
                <w:p>
                  <w:pPr>
                    <w:pStyle w:val="22"/>
                    <w:bidi w:val="0"/>
                    <w:rPr>
                      <w:rFonts w:hint="default"/>
                    </w:rPr>
                  </w:pPr>
                  <w:r>
                    <w:rPr>
                      <w:rFonts w:hint="default"/>
                    </w:rPr>
                    <w:t>26.2</w:t>
                  </w:r>
                </w:p>
              </w:tc>
              <w:tc>
                <w:tcPr>
                  <w:tcW w:w="832" w:type="pct"/>
                  <w:shd w:val="clear" w:color="auto" w:fill="auto"/>
                  <w:vAlign w:val="center"/>
                </w:tcPr>
                <w:p>
                  <w:pPr>
                    <w:pStyle w:val="22"/>
                    <w:bidi w:val="0"/>
                    <w:rPr>
                      <w:rFonts w:hint="default"/>
                    </w:rPr>
                  </w:pPr>
                  <w:r>
                    <w:rPr>
                      <w:rFonts w:hint="default"/>
                    </w:rPr>
                    <w:t>65</w:t>
                  </w:r>
                </w:p>
              </w:tc>
              <w:tc>
                <w:tcPr>
                  <w:tcW w:w="696" w:type="pct"/>
                  <w:shd w:val="clear" w:color="auto" w:fill="auto"/>
                  <w:vAlign w:val="center"/>
                </w:tcPr>
                <w:p>
                  <w:pPr>
                    <w:pStyle w:val="22"/>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pct"/>
                  <w:vMerge w:val="continue"/>
                  <w:shd w:val="clear" w:color="auto" w:fill="auto"/>
                  <w:vAlign w:val="center"/>
                </w:tcPr>
                <w:p>
                  <w:pPr>
                    <w:pStyle w:val="22"/>
                    <w:bidi w:val="0"/>
                    <w:rPr>
                      <w:rFonts w:hint="default"/>
                    </w:rPr>
                  </w:pPr>
                </w:p>
              </w:tc>
              <w:tc>
                <w:tcPr>
                  <w:tcW w:w="528" w:type="pct"/>
                  <w:shd w:val="clear" w:color="auto" w:fill="auto"/>
                  <w:vAlign w:val="center"/>
                </w:tcPr>
                <w:p>
                  <w:pPr>
                    <w:pStyle w:val="22"/>
                    <w:bidi w:val="0"/>
                    <w:rPr>
                      <w:rFonts w:hint="default"/>
                    </w:rPr>
                  </w:pPr>
                  <w:r>
                    <w:rPr>
                      <w:rFonts w:hint="default"/>
                    </w:rPr>
                    <w:t>174</w:t>
                  </w:r>
                </w:p>
              </w:tc>
              <w:tc>
                <w:tcPr>
                  <w:tcW w:w="470" w:type="pct"/>
                  <w:shd w:val="clear" w:color="auto" w:fill="auto"/>
                  <w:vAlign w:val="center"/>
                </w:tcPr>
                <w:p>
                  <w:pPr>
                    <w:pStyle w:val="22"/>
                    <w:bidi w:val="0"/>
                    <w:rPr>
                      <w:rFonts w:hint="default"/>
                    </w:rPr>
                  </w:pPr>
                  <w:r>
                    <w:rPr>
                      <w:rFonts w:hint="default"/>
                    </w:rPr>
                    <w:t>-82.4</w:t>
                  </w:r>
                </w:p>
              </w:tc>
              <w:tc>
                <w:tcPr>
                  <w:tcW w:w="472" w:type="pct"/>
                  <w:shd w:val="clear" w:color="auto" w:fill="auto"/>
                  <w:vAlign w:val="center"/>
                </w:tcPr>
                <w:p>
                  <w:pPr>
                    <w:pStyle w:val="22"/>
                    <w:bidi w:val="0"/>
                    <w:rPr>
                      <w:rFonts w:hint="default"/>
                    </w:rPr>
                  </w:pPr>
                  <w:r>
                    <w:rPr>
                      <w:rFonts w:hint="default"/>
                    </w:rPr>
                    <w:t>1.2</w:t>
                  </w:r>
                </w:p>
              </w:tc>
              <w:tc>
                <w:tcPr>
                  <w:tcW w:w="581" w:type="pct"/>
                  <w:shd w:val="clear" w:color="auto" w:fill="auto"/>
                  <w:vAlign w:val="center"/>
                </w:tcPr>
                <w:p>
                  <w:pPr>
                    <w:pStyle w:val="22"/>
                    <w:bidi w:val="0"/>
                    <w:rPr>
                      <w:rFonts w:hint="default"/>
                    </w:rPr>
                  </w:pPr>
                  <w:r>
                    <w:rPr>
                      <w:rFonts w:hint="default"/>
                    </w:rPr>
                    <w:t>夜间</w:t>
                  </w:r>
                </w:p>
              </w:tc>
              <w:tc>
                <w:tcPr>
                  <w:tcW w:w="830" w:type="pct"/>
                  <w:shd w:val="clear" w:color="auto" w:fill="auto"/>
                  <w:vAlign w:val="center"/>
                </w:tcPr>
                <w:p>
                  <w:pPr>
                    <w:pStyle w:val="22"/>
                    <w:bidi w:val="0"/>
                    <w:rPr>
                      <w:rFonts w:hint="default"/>
                    </w:rPr>
                  </w:pPr>
                  <w:r>
                    <w:rPr>
                      <w:rFonts w:hint="default"/>
                    </w:rPr>
                    <w:t>26.2</w:t>
                  </w:r>
                </w:p>
              </w:tc>
              <w:tc>
                <w:tcPr>
                  <w:tcW w:w="832" w:type="pct"/>
                  <w:shd w:val="clear" w:color="auto" w:fill="auto"/>
                  <w:vAlign w:val="center"/>
                </w:tcPr>
                <w:p>
                  <w:pPr>
                    <w:pStyle w:val="22"/>
                    <w:bidi w:val="0"/>
                    <w:rPr>
                      <w:rFonts w:hint="default"/>
                    </w:rPr>
                  </w:pPr>
                  <w:r>
                    <w:rPr>
                      <w:rFonts w:hint="default"/>
                    </w:rPr>
                    <w:t>55</w:t>
                  </w:r>
                </w:p>
              </w:tc>
              <w:tc>
                <w:tcPr>
                  <w:tcW w:w="696" w:type="pct"/>
                  <w:shd w:val="clear" w:color="auto" w:fill="auto"/>
                  <w:vAlign w:val="center"/>
                </w:tcPr>
                <w:p>
                  <w:pPr>
                    <w:pStyle w:val="22"/>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pct"/>
                  <w:vMerge w:val="restart"/>
                  <w:shd w:val="clear" w:color="auto" w:fill="auto"/>
                  <w:vAlign w:val="center"/>
                </w:tcPr>
                <w:p>
                  <w:pPr>
                    <w:pStyle w:val="22"/>
                    <w:bidi w:val="0"/>
                    <w:rPr>
                      <w:rFonts w:hint="default"/>
                    </w:rPr>
                  </w:pPr>
                  <w:r>
                    <w:rPr>
                      <w:rFonts w:hint="default"/>
                    </w:rPr>
                    <w:t>南侧</w:t>
                  </w:r>
                </w:p>
              </w:tc>
              <w:tc>
                <w:tcPr>
                  <w:tcW w:w="528" w:type="pct"/>
                  <w:shd w:val="clear" w:color="auto" w:fill="auto"/>
                  <w:vAlign w:val="center"/>
                </w:tcPr>
                <w:p>
                  <w:pPr>
                    <w:pStyle w:val="22"/>
                    <w:bidi w:val="0"/>
                    <w:rPr>
                      <w:rFonts w:hint="default"/>
                    </w:rPr>
                  </w:pPr>
                  <w:r>
                    <w:rPr>
                      <w:rFonts w:hint="default"/>
                    </w:rPr>
                    <w:t>-106.7</w:t>
                  </w:r>
                </w:p>
              </w:tc>
              <w:tc>
                <w:tcPr>
                  <w:tcW w:w="470" w:type="pct"/>
                  <w:shd w:val="clear" w:color="auto" w:fill="auto"/>
                  <w:vAlign w:val="center"/>
                </w:tcPr>
                <w:p>
                  <w:pPr>
                    <w:pStyle w:val="22"/>
                    <w:bidi w:val="0"/>
                    <w:rPr>
                      <w:rFonts w:hint="default"/>
                    </w:rPr>
                  </w:pPr>
                  <w:r>
                    <w:rPr>
                      <w:rFonts w:hint="default"/>
                    </w:rPr>
                    <w:t>137.9</w:t>
                  </w:r>
                </w:p>
              </w:tc>
              <w:tc>
                <w:tcPr>
                  <w:tcW w:w="472" w:type="pct"/>
                  <w:shd w:val="clear" w:color="auto" w:fill="auto"/>
                  <w:vAlign w:val="center"/>
                </w:tcPr>
                <w:p>
                  <w:pPr>
                    <w:pStyle w:val="22"/>
                    <w:bidi w:val="0"/>
                    <w:rPr>
                      <w:rFonts w:hint="default"/>
                    </w:rPr>
                  </w:pPr>
                  <w:r>
                    <w:rPr>
                      <w:rFonts w:hint="default"/>
                    </w:rPr>
                    <w:t>1.2</w:t>
                  </w:r>
                </w:p>
              </w:tc>
              <w:tc>
                <w:tcPr>
                  <w:tcW w:w="581" w:type="pct"/>
                  <w:shd w:val="clear" w:color="auto" w:fill="auto"/>
                  <w:vAlign w:val="center"/>
                </w:tcPr>
                <w:p>
                  <w:pPr>
                    <w:pStyle w:val="22"/>
                    <w:bidi w:val="0"/>
                    <w:rPr>
                      <w:rFonts w:hint="default"/>
                    </w:rPr>
                  </w:pPr>
                  <w:r>
                    <w:rPr>
                      <w:rFonts w:hint="default"/>
                    </w:rPr>
                    <w:t>昼间</w:t>
                  </w:r>
                </w:p>
              </w:tc>
              <w:tc>
                <w:tcPr>
                  <w:tcW w:w="830" w:type="pct"/>
                  <w:shd w:val="clear" w:color="auto" w:fill="auto"/>
                  <w:vAlign w:val="center"/>
                </w:tcPr>
                <w:p>
                  <w:pPr>
                    <w:pStyle w:val="22"/>
                    <w:bidi w:val="0"/>
                    <w:rPr>
                      <w:rFonts w:hint="default"/>
                    </w:rPr>
                  </w:pPr>
                  <w:r>
                    <w:rPr>
                      <w:rFonts w:hint="default"/>
                    </w:rPr>
                    <w:t>39.6</w:t>
                  </w:r>
                </w:p>
              </w:tc>
              <w:tc>
                <w:tcPr>
                  <w:tcW w:w="832" w:type="pct"/>
                  <w:shd w:val="clear" w:color="auto" w:fill="auto"/>
                  <w:vAlign w:val="center"/>
                </w:tcPr>
                <w:p>
                  <w:pPr>
                    <w:pStyle w:val="22"/>
                    <w:bidi w:val="0"/>
                    <w:rPr>
                      <w:rFonts w:hint="default"/>
                    </w:rPr>
                  </w:pPr>
                  <w:r>
                    <w:rPr>
                      <w:rFonts w:hint="default"/>
                    </w:rPr>
                    <w:t>65</w:t>
                  </w:r>
                </w:p>
              </w:tc>
              <w:tc>
                <w:tcPr>
                  <w:tcW w:w="696" w:type="pct"/>
                  <w:shd w:val="clear" w:color="auto" w:fill="auto"/>
                  <w:vAlign w:val="center"/>
                </w:tcPr>
                <w:p>
                  <w:pPr>
                    <w:pStyle w:val="22"/>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pct"/>
                  <w:vMerge w:val="continue"/>
                  <w:shd w:val="clear" w:color="auto" w:fill="auto"/>
                  <w:vAlign w:val="center"/>
                </w:tcPr>
                <w:p>
                  <w:pPr>
                    <w:pStyle w:val="22"/>
                    <w:bidi w:val="0"/>
                    <w:rPr>
                      <w:rFonts w:hint="default"/>
                    </w:rPr>
                  </w:pPr>
                </w:p>
              </w:tc>
              <w:tc>
                <w:tcPr>
                  <w:tcW w:w="528" w:type="pct"/>
                  <w:shd w:val="clear" w:color="auto" w:fill="auto"/>
                  <w:vAlign w:val="center"/>
                </w:tcPr>
                <w:p>
                  <w:pPr>
                    <w:pStyle w:val="22"/>
                    <w:bidi w:val="0"/>
                    <w:rPr>
                      <w:rFonts w:hint="default"/>
                    </w:rPr>
                  </w:pPr>
                  <w:r>
                    <w:rPr>
                      <w:rFonts w:hint="default"/>
                    </w:rPr>
                    <w:t>-106.7</w:t>
                  </w:r>
                </w:p>
              </w:tc>
              <w:tc>
                <w:tcPr>
                  <w:tcW w:w="470" w:type="pct"/>
                  <w:shd w:val="clear" w:color="auto" w:fill="auto"/>
                  <w:vAlign w:val="center"/>
                </w:tcPr>
                <w:p>
                  <w:pPr>
                    <w:pStyle w:val="22"/>
                    <w:bidi w:val="0"/>
                    <w:rPr>
                      <w:rFonts w:hint="default"/>
                    </w:rPr>
                  </w:pPr>
                  <w:r>
                    <w:rPr>
                      <w:rFonts w:hint="default"/>
                    </w:rPr>
                    <w:t>137.9</w:t>
                  </w:r>
                </w:p>
              </w:tc>
              <w:tc>
                <w:tcPr>
                  <w:tcW w:w="472" w:type="pct"/>
                  <w:shd w:val="clear" w:color="auto" w:fill="auto"/>
                  <w:vAlign w:val="center"/>
                </w:tcPr>
                <w:p>
                  <w:pPr>
                    <w:pStyle w:val="22"/>
                    <w:bidi w:val="0"/>
                    <w:rPr>
                      <w:rFonts w:hint="default"/>
                    </w:rPr>
                  </w:pPr>
                  <w:r>
                    <w:rPr>
                      <w:rFonts w:hint="default"/>
                    </w:rPr>
                    <w:t>1.2</w:t>
                  </w:r>
                </w:p>
              </w:tc>
              <w:tc>
                <w:tcPr>
                  <w:tcW w:w="581" w:type="pct"/>
                  <w:shd w:val="clear" w:color="auto" w:fill="auto"/>
                  <w:vAlign w:val="center"/>
                </w:tcPr>
                <w:p>
                  <w:pPr>
                    <w:pStyle w:val="22"/>
                    <w:bidi w:val="0"/>
                    <w:rPr>
                      <w:rFonts w:hint="default"/>
                    </w:rPr>
                  </w:pPr>
                  <w:r>
                    <w:rPr>
                      <w:rFonts w:hint="default"/>
                    </w:rPr>
                    <w:t>夜间</w:t>
                  </w:r>
                </w:p>
              </w:tc>
              <w:tc>
                <w:tcPr>
                  <w:tcW w:w="830" w:type="pct"/>
                  <w:shd w:val="clear" w:color="auto" w:fill="auto"/>
                  <w:vAlign w:val="center"/>
                </w:tcPr>
                <w:p>
                  <w:pPr>
                    <w:pStyle w:val="22"/>
                    <w:bidi w:val="0"/>
                    <w:rPr>
                      <w:rFonts w:hint="default"/>
                    </w:rPr>
                  </w:pPr>
                  <w:r>
                    <w:rPr>
                      <w:rFonts w:hint="default"/>
                    </w:rPr>
                    <w:t>39.6</w:t>
                  </w:r>
                </w:p>
              </w:tc>
              <w:tc>
                <w:tcPr>
                  <w:tcW w:w="832" w:type="pct"/>
                  <w:shd w:val="clear" w:color="auto" w:fill="auto"/>
                  <w:vAlign w:val="center"/>
                </w:tcPr>
                <w:p>
                  <w:pPr>
                    <w:pStyle w:val="22"/>
                    <w:bidi w:val="0"/>
                    <w:rPr>
                      <w:rFonts w:hint="default"/>
                    </w:rPr>
                  </w:pPr>
                  <w:r>
                    <w:rPr>
                      <w:rFonts w:hint="default"/>
                    </w:rPr>
                    <w:t>55</w:t>
                  </w:r>
                </w:p>
              </w:tc>
              <w:tc>
                <w:tcPr>
                  <w:tcW w:w="696" w:type="pct"/>
                  <w:shd w:val="clear" w:color="auto" w:fill="auto"/>
                  <w:vAlign w:val="center"/>
                </w:tcPr>
                <w:p>
                  <w:pPr>
                    <w:pStyle w:val="22"/>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pct"/>
                  <w:vMerge w:val="restart"/>
                  <w:shd w:val="clear" w:color="auto" w:fill="auto"/>
                  <w:vAlign w:val="center"/>
                </w:tcPr>
                <w:p>
                  <w:pPr>
                    <w:pStyle w:val="22"/>
                    <w:bidi w:val="0"/>
                    <w:rPr>
                      <w:rFonts w:hint="default"/>
                    </w:rPr>
                  </w:pPr>
                  <w:r>
                    <w:rPr>
                      <w:rFonts w:hint="default"/>
                    </w:rPr>
                    <w:t>西侧</w:t>
                  </w:r>
                </w:p>
              </w:tc>
              <w:tc>
                <w:tcPr>
                  <w:tcW w:w="528" w:type="pct"/>
                  <w:shd w:val="clear" w:color="auto" w:fill="auto"/>
                  <w:vAlign w:val="center"/>
                </w:tcPr>
                <w:p>
                  <w:pPr>
                    <w:pStyle w:val="22"/>
                    <w:bidi w:val="0"/>
                    <w:rPr>
                      <w:rFonts w:hint="default"/>
                    </w:rPr>
                  </w:pPr>
                  <w:r>
                    <w:rPr>
                      <w:rFonts w:hint="default"/>
                    </w:rPr>
                    <w:t>-63.1</w:t>
                  </w:r>
                </w:p>
              </w:tc>
              <w:tc>
                <w:tcPr>
                  <w:tcW w:w="470" w:type="pct"/>
                  <w:shd w:val="clear" w:color="auto" w:fill="auto"/>
                  <w:vAlign w:val="center"/>
                </w:tcPr>
                <w:p>
                  <w:pPr>
                    <w:pStyle w:val="22"/>
                    <w:bidi w:val="0"/>
                    <w:rPr>
                      <w:rFonts w:hint="default"/>
                    </w:rPr>
                  </w:pPr>
                  <w:r>
                    <w:rPr>
                      <w:rFonts w:hint="default"/>
                    </w:rPr>
                    <w:t>-35.1</w:t>
                  </w:r>
                </w:p>
              </w:tc>
              <w:tc>
                <w:tcPr>
                  <w:tcW w:w="472" w:type="pct"/>
                  <w:shd w:val="clear" w:color="auto" w:fill="auto"/>
                  <w:vAlign w:val="center"/>
                </w:tcPr>
                <w:p>
                  <w:pPr>
                    <w:pStyle w:val="22"/>
                    <w:bidi w:val="0"/>
                    <w:rPr>
                      <w:rFonts w:hint="default"/>
                    </w:rPr>
                  </w:pPr>
                  <w:r>
                    <w:rPr>
                      <w:rFonts w:hint="default"/>
                    </w:rPr>
                    <w:t>1.2</w:t>
                  </w:r>
                </w:p>
              </w:tc>
              <w:tc>
                <w:tcPr>
                  <w:tcW w:w="581" w:type="pct"/>
                  <w:shd w:val="clear" w:color="auto" w:fill="auto"/>
                  <w:vAlign w:val="center"/>
                </w:tcPr>
                <w:p>
                  <w:pPr>
                    <w:pStyle w:val="22"/>
                    <w:bidi w:val="0"/>
                    <w:rPr>
                      <w:rFonts w:hint="default"/>
                    </w:rPr>
                  </w:pPr>
                  <w:r>
                    <w:rPr>
                      <w:rFonts w:hint="default"/>
                    </w:rPr>
                    <w:t>昼间</w:t>
                  </w:r>
                </w:p>
              </w:tc>
              <w:tc>
                <w:tcPr>
                  <w:tcW w:w="830" w:type="pct"/>
                  <w:shd w:val="clear" w:color="auto" w:fill="auto"/>
                  <w:vAlign w:val="center"/>
                </w:tcPr>
                <w:p>
                  <w:pPr>
                    <w:pStyle w:val="22"/>
                    <w:bidi w:val="0"/>
                    <w:rPr>
                      <w:rFonts w:hint="default"/>
                    </w:rPr>
                  </w:pPr>
                  <w:r>
                    <w:rPr>
                      <w:rFonts w:hint="default"/>
                    </w:rPr>
                    <w:t>41.2</w:t>
                  </w:r>
                </w:p>
              </w:tc>
              <w:tc>
                <w:tcPr>
                  <w:tcW w:w="832" w:type="pct"/>
                  <w:shd w:val="clear" w:color="auto" w:fill="auto"/>
                  <w:vAlign w:val="center"/>
                </w:tcPr>
                <w:p>
                  <w:pPr>
                    <w:pStyle w:val="22"/>
                    <w:bidi w:val="0"/>
                    <w:rPr>
                      <w:rFonts w:hint="default"/>
                    </w:rPr>
                  </w:pPr>
                  <w:r>
                    <w:rPr>
                      <w:rFonts w:hint="default"/>
                    </w:rPr>
                    <w:t>65</w:t>
                  </w:r>
                </w:p>
              </w:tc>
              <w:tc>
                <w:tcPr>
                  <w:tcW w:w="696" w:type="pct"/>
                  <w:shd w:val="clear" w:color="auto" w:fill="auto"/>
                  <w:vAlign w:val="center"/>
                </w:tcPr>
                <w:p>
                  <w:pPr>
                    <w:pStyle w:val="22"/>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pct"/>
                  <w:vMerge w:val="continue"/>
                  <w:shd w:val="clear" w:color="auto" w:fill="auto"/>
                  <w:vAlign w:val="center"/>
                </w:tcPr>
                <w:p>
                  <w:pPr>
                    <w:pStyle w:val="22"/>
                    <w:bidi w:val="0"/>
                    <w:rPr>
                      <w:rFonts w:hint="default"/>
                    </w:rPr>
                  </w:pPr>
                </w:p>
              </w:tc>
              <w:tc>
                <w:tcPr>
                  <w:tcW w:w="528" w:type="pct"/>
                  <w:shd w:val="clear" w:color="auto" w:fill="auto"/>
                  <w:vAlign w:val="center"/>
                </w:tcPr>
                <w:p>
                  <w:pPr>
                    <w:pStyle w:val="22"/>
                    <w:bidi w:val="0"/>
                    <w:rPr>
                      <w:rFonts w:hint="default"/>
                    </w:rPr>
                  </w:pPr>
                  <w:r>
                    <w:rPr>
                      <w:rFonts w:hint="default"/>
                    </w:rPr>
                    <w:t>-63.1</w:t>
                  </w:r>
                </w:p>
              </w:tc>
              <w:tc>
                <w:tcPr>
                  <w:tcW w:w="470" w:type="pct"/>
                  <w:shd w:val="clear" w:color="auto" w:fill="auto"/>
                  <w:vAlign w:val="center"/>
                </w:tcPr>
                <w:p>
                  <w:pPr>
                    <w:pStyle w:val="22"/>
                    <w:bidi w:val="0"/>
                    <w:rPr>
                      <w:rFonts w:hint="default"/>
                    </w:rPr>
                  </w:pPr>
                  <w:r>
                    <w:rPr>
                      <w:rFonts w:hint="default"/>
                    </w:rPr>
                    <w:t>-35.1</w:t>
                  </w:r>
                </w:p>
              </w:tc>
              <w:tc>
                <w:tcPr>
                  <w:tcW w:w="472" w:type="pct"/>
                  <w:shd w:val="clear" w:color="auto" w:fill="auto"/>
                  <w:vAlign w:val="center"/>
                </w:tcPr>
                <w:p>
                  <w:pPr>
                    <w:pStyle w:val="22"/>
                    <w:bidi w:val="0"/>
                    <w:rPr>
                      <w:rFonts w:hint="default"/>
                    </w:rPr>
                  </w:pPr>
                  <w:r>
                    <w:rPr>
                      <w:rFonts w:hint="default"/>
                    </w:rPr>
                    <w:t>1.2</w:t>
                  </w:r>
                </w:p>
              </w:tc>
              <w:tc>
                <w:tcPr>
                  <w:tcW w:w="581" w:type="pct"/>
                  <w:shd w:val="clear" w:color="auto" w:fill="auto"/>
                  <w:vAlign w:val="center"/>
                </w:tcPr>
                <w:p>
                  <w:pPr>
                    <w:pStyle w:val="22"/>
                    <w:bidi w:val="0"/>
                    <w:rPr>
                      <w:rFonts w:hint="default"/>
                    </w:rPr>
                  </w:pPr>
                  <w:r>
                    <w:rPr>
                      <w:rFonts w:hint="default"/>
                    </w:rPr>
                    <w:t>夜间</w:t>
                  </w:r>
                </w:p>
              </w:tc>
              <w:tc>
                <w:tcPr>
                  <w:tcW w:w="830" w:type="pct"/>
                  <w:shd w:val="clear" w:color="auto" w:fill="auto"/>
                  <w:vAlign w:val="center"/>
                </w:tcPr>
                <w:p>
                  <w:pPr>
                    <w:pStyle w:val="22"/>
                    <w:bidi w:val="0"/>
                    <w:rPr>
                      <w:rFonts w:hint="default"/>
                    </w:rPr>
                  </w:pPr>
                  <w:r>
                    <w:rPr>
                      <w:rFonts w:hint="default"/>
                    </w:rPr>
                    <w:t>41.2</w:t>
                  </w:r>
                </w:p>
              </w:tc>
              <w:tc>
                <w:tcPr>
                  <w:tcW w:w="832" w:type="pct"/>
                  <w:shd w:val="clear" w:color="auto" w:fill="auto"/>
                  <w:vAlign w:val="center"/>
                </w:tcPr>
                <w:p>
                  <w:pPr>
                    <w:pStyle w:val="22"/>
                    <w:bidi w:val="0"/>
                    <w:rPr>
                      <w:rFonts w:hint="default"/>
                    </w:rPr>
                  </w:pPr>
                  <w:r>
                    <w:rPr>
                      <w:rFonts w:hint="default"/>
                    </w:rPr>
                    <w:t>55</w:t>
                  </w:r>
                </w:p>
              </w:tc>
              <w:tc>
                <w:tcPr>
                  <w:tcW w:w="696" w:type="pct"/>
                  <w:shd w:val="clear" w:color="auto" w:fill="auto"/>
                  <w:vAlign w:val="center"/>
                </w:tcPr>
                <w:p>
                  <w:pPr>
                    <w:pStyle w:val="22"/>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pct"/>
                  <w:vMerge w:val="restart"/>
                  <w:shd w:val="clear" w:color="auto" w:fill="auto"/>
                  <w:vAlign w:val="center"/>
                </w:tcPr>
                <w:p>
                  <w:pPr>
                    <w:pStyle w:val="22"/>
                    <w:bidi w:val="0"/>
                    <w:rPr>
                      <w:rFonts w:hint="default"/>
                    </w:rPr>
                  </w:pPr>
                  <w:r>
                    <w:rPr>
                      <w:rFonts w:hint="default"/>
                    </w:rPr>
                    <w:t>北侧</w:t>
                  </w:r>
                </w:p>
              </w:tc>
              <w:tc>
                <w:tcPr>
                  <w:tcW w:w="528" w:type="pct"/>
                  <w:shd w:val="clear" w:color="auto" w:fill="auto"/>
                  <w:vAlign w:val="center"/>
                </w:tcPr>
                <w:p>
                  <w:pPr>
                    <w:pStyle w:val="22"/>
                    <w:bidi w:val="0"/>
                    <w:rPr>
                      <w:rFonts w:hint="default"/>
                    </w:rPr>
                  </w:pPr>
                  <w:r>
                    <w:rPr>
                      <w:rFonts w:hint="default"/>
                    </w:rPr>
                    <w:t>3.2</w:t>
                  </w:r>
                </w:p>
              </w:tc>
              <w:tc>
                <w:tcPr>
                  <w:tcW w:w="470" w:type="pct"/>
                  <w:shd w:val="clear" w:color="auto" w:fill="auto"/>
                  <w:vAlign w:val="center"/>
                </w:tcPr>
                <w:p>
                  <w:pPr>
                    <w:pStyle w:val="22"/>
                    <w:bidi w:val="0"/>
                    <w:rPr>
                      <w:rFonts w:hint="default"/>
                    </w:rPr>
                  </w:pPr>
                  <w:r>
                    <w:rPr>
                      <w:rFonts w:hint="default"/>
                    </w:rPr>
                    <w:t>93.4</w:t>
                  </w:r>
                </w:p>
              </w:tc>
              <w:tc>
                <w:tcPr>
                  <w:tcW w:w="472" w:type="pct"/>
                  <w:shd w:val="clear" w:color="auto" w:fill="auto"/>
                  <w:vAlign w:val="center"/>
                </w:tcPr>
                <w:p>
                  <w:pPr>
                    <w:pStyle w:val="22"/>
                    <w:bidi w:val="0"/>
                    <w:rPr>
                      <w:rFonts w:hint="default"/>
                    </w:rPr>
                  </w:pPr>
                  <w:r>
                    <w:rPr>
                      <w:rFonts w:hint="default"/>
                    </w:rPr>
                    <w:t>1.2</w:t>
                  </w:r>
                </w:p>
              </w:tc>
              <w:tc>
                <w:tcPr>
                  <w:tcW w:w="581" w:type="pct"/>
                  <w:shd w:val="clear" w:color="auto" w:fill="auto"/>
                  <w:vAlign w:val="center"/>
                </w:tcPr>
                <w:p>
                  <w:pPr>
                    <w:pStyle w:val="22"/>
                    <w:bidi w:val="0"/>
                    <w:rPr>
                      <w:rFonts w:hint="default"/>
                    </w:rPr>
                  </w:pPr>
                  <w:r>
                    <w:rPr>
                      <w:rFonts w:hint="default"/>
                    </w:rPr>
                    <w:t>昼间</w:t>
                  </w:r>
                </w:p>
              </w:tc>
              <w:tc>
                <w:tcPr>
                  <w:tcW w:w="830" w:type="pct"/>
                  <w:shd w:val="clear" w:color="auto" w:fill="auto"/>
                  <w:vAlign w:val="center"/>
                </w:tcPr>
                <w:p>
                  <w:pPr>
                    <w:pStyle w:val="22"/>
                    <w:bidi w:val="0"/>
                    <w:rPr>
                      <w:rFonts w:hint="default"/>
                    </w:rPr>
                  </w:pPr>
                  <w:r>
                    <w:rPr>
                      <w:rFonts w:hint="default"/>
                    </w:rPr>
                    <w:t>54.8</w:t>
                  </w:r>
                </w:p>
              </w:tc>
              <w:tc>
                <w:tcPr>
                  <w:tcW w:w="832" w:type="pct"/>
                  <w:shd w:val="clear" w:color="auto" w:fill="auto"/>
                  <w:vAlign w:val="center"/>
                </w:tcPr>
                <w:p>
                  <w:pPr>
                    <w:pStyle w:val="22"/>
                    <w:bidi w:val="0"/>
                    <w:rPr>
                      <w:rFonts w:hint="default"/>
                    </w:rPr>
                  </w:pPr>
                  <w:r>
                    <w:rPr>
                      <w:rFonts w:hint="default"/>
                    </w:rPr>
                    <w:t>65</w:t>
                  </w:r>
                </w:p>
              </w:tc>
              <w:tc>
                <w:tcPr>
                  <w:tcW w:w="696" w:type="pct"/>
                  <w:shd w:val="clear" w:color="auto" w:fill="auto"/>
                  <w:vAlign w:val="center"/>
                </w:tcPr>
                <w:p>
                  <w:pPr>
                    <w:pStyle w:val="22"/>
                    <w:bidi w:val="0"/>
                    <w:rPr>
                      <w:rFonts w:hint="default"/>
                    </w:rPr>
                  </w:pPr>
                  <w:r>
                    <w:rPr>
                      <w:rFonts w:hint="default"/>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88" w:type="pct"/>
                  <w:vMerge w:val="continue"/>
                  <w:shd w:val="clear" w:color="auto" w:fill="auto"/>
                  <w:vAlign w:val="center"/>
                </w:tcPr>
                <w:p>
                  <w:pPr>
                    <w:pStyle w:val="22"/>
                    <w:bidi w:val="0"/>
                    <w:rPr>
                      <w:rFonts w:hint="default"/>
                    </w:rPr>
                  </w:pPr>
                </w:p>
              </w:tc>
              <w:tc>
                <w:tcPr>
                  <w:tcW w:w="528" w:type="pct"/>
                  <w:shd w:val="clear" w:color="auto" w:fill="auto"/>
                  <w:vAlign w:val="center"/>
                </w:tcPr>
                <w:p>
                  <w:pPr>
                    <w:pStyle w:val="22"/>
                    <w:bidi w:val="0"/>
                    <w:rPr>
                      <w:rFonts w:hint="default"/>
                    </w:rPr>
                  </w:pPr>
                  <w:r>
                    <w:rPr>
                      <w:rFonts w:hint="default"/>
                    </w:rPr>
                    <w:t>3.2</w:t>
                  </w:r>
                </w:p>
              </w:tc>
              <w:tc>
                <w:tcPr>
                  <w:tcW w:w="470" w:type="pct"/>
                  <w:shd w:val="clear" w:color="auto" w:fill="auto"/>
                  <w:vAlign w:val="center"/>
                </w:tcPr>
                <w:p>
                  <w:pPr>
                    <w:pStyle w:val="22"/>
                    <w:bidi w:val="0"/>
                    <w:rPr>
                      <w:rFonts w:hint="default"/>
                    </w:rPr>
                  </w:pPr>
                  <w:r>
                    <w:rPr>
                      <w:rFonts w:hint="default"/>
                    </w:rPr>
                    <w:t>93.4</w:t>
                  </w:r>
                </w:p>
              </w:tc>
              <w:tc>
                <w:tcPr>
                  <w:tcW w:w="472" w:type="pct"/>
                  <w:shd w:val="clear" w:color="auto" w:fill="auto"/>
                  <w:vAlign w:val="center"/>
                </w:tcPr>
                <w:p>
                  <w:pPr>
                    <w:pStyle w:val="22"/>
                    <w:bidi w:val="0"/>
                    <w:rPr>
                      <w:rFonts w:hint="default"/>
                    </w:rPr>
                  </w:pPr>
                  <w:r>
                    <w:rPr>
                      <w:rFonts w:hint="default"/>
                    </w:rPr>
                    <w:t>1.2</w:t>
                  </w:r>
                </w:p>
              </w:tc>
              <w:tc>
                <w:tcPr>
                  <w:tcW w:w="581" w:type="pct"/>
                  <w:shd w:val="clear" w:color="auto" w:fill="auto"/>
                  <w:vAlign w:val="center"/>
                </w:tcPr>
                <w:p>
                  <w:pPr>
                    <w:pStyle w:val="22"/>
                    <w:bidi w:val="0"/>
                    <w:rPr>
                      <w:rFonts w:hint="default"/>
                    </w:rPr>
                  </w:pPr>
                  <w:r>
                    <w:rPr>
                      <w:rFonts w:hint="default"/>
                    </w:rPr>
                    <w:t>夜间</w:t>
                  </w:r>
                </w:p>
              </w:tc>
              <w:tc>
                <w:tcPr>
                  <w:tcW w:w="830" w:type="pct"/>
                  <w:shd w:val="clear" w:color="auto" w:fill="auto"/>
                  <w:vAlign w:val="center"/>
                </w:tcPr>
                <w:p>
                  <w:pPr>
                    <w:pStyle w:val="22"/>
                    <w:bidi w:val="0"/>
                    <w:rPr>
                      <w:rFonts w:hint="default"/>
                    </w:rPr>
                  </w:pPr>
                  <w:r>
                    <w:rPr>
                      <w:rFonts w:hint="default"/>
                    </w:rPr>
                    <w:t>54.8</w:t>
                  </w:r>
                </w:p>
              </w:tc>
              <w:tc>
                <w:tcPr>
                  <w:tcW w:w="832" w:type="pct"/>
                  <w:shd w:val="clear" w:color="auto" w:fill="auto"/>
                  <w:vAlign w:val="center"/>
                </w:tcPr>
                <w:p>
                  <w:pPr>
                    <w:pStyle w:val="22"/>
                    <w:bidi w:val="0"/>
                    <w:rPr>
                      <w:rFonts w:hint="default"/>
                    </w:rPr>
                  </w:pPr>
                  <w:r>
                    <w:rPr>
                      <w:rFonts w:hint="default"/>
                    </w:rPr>
                    <w:t>55</w:t>
                  </w:r>
                </w:p>
              </w:tc>
              <w:tc>
                <w:tcPr>
                  <w:tcW w:w="696" w:type="pct"/>
                  <w:shd w:val="clear" w:color="auto" w:fill="auto"/>
                  <w:vAlign w:val="center"/>
                </w:tcPr>
                <w:p>
                  <w:pPr>
                    <w:pStyle w:val="22"/>
                    <w:bidi w:val="0"/>
                    <w:rPr>
                      <w:rFonts w:hint="default"/>
                    </w:rPr>
                  </w:pPr>
                  <w:r>
                    <w:rPr>
                      <w:rFonts w:hint="default"/>
                    </w:rPr>
                    <w:t>达标</w:t>
                  </w:r>
                </w:p>
              </w:tc>
            </w:tr>
          </w:tbl>
          <w:p>
            <w:pPr>
              <w:pStyle w:val="8"/>
              <w:rPr>
                <w:rFonts w:hint="default" w:ascii="Times New Roman" w:hAnsi="Times New Roman" w:cs="Times New Roman"/>
                <w:lang w:val="en-US" w:eastAsia="zh-CN"/>
              </w:rPr>
            </w:pPr>
            <w:r>
              <w:rPr>
                <w:rFonts w:hint="default" w:ascii="Times New Roman" w:hAnsi="Times New Roman" w:cs="Times New Roman"/>
                <w:lang w:val="en-US" w:eastAsia="zh-CN"/>
              </w:rPr>
              <w:t>根据上表的噪声预测结果分析，本项目厂区各噪声源经降噪、防噪处理后传播至厂界噪声预测点时，噪声值都有较大程度的衰减，四周厂界噪声满足《工业企业厂界环境噪声排放标准》(GB12348-2008)3类标准。因此，本项目对周边的声环境影响较小。</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4.4.4噪声监测</w:t>
            </w:r>
            <w:r>
              <w:rPr>
                <w:rFonts w:hint="eastAsia" w:ascii="Times New Roman" w:hAnsi="Times New Roman" w:cs="Times New Roman"/>
                <w:b/>
                <w:bCs/>
                <w:lang w:val="en-US" w:eastAsia="zh-CN"/>
              </w:rPr>
              <w:t>计划</w:t>
            </w:r>
          </w:p>
          <w:p>
            <w:pPr>
              <w:rPr>
                <w:rFonts w:hint="default" w:ascii="Times New Roman" w:hAnsi="Times New Roman" w:cs="Times New Roman"/>
                <w:lang w:val="en-US" w:eastAsia="zh-CN"/>
              </w:rPr>
            </w:pPr>
            <w:r>
              <w:rPr>
                <w:rFonts w:hint="default" w:ascii="Times New Roman" w:hAnsi="Times New Roman" w:cs="Times New Roman"/>
                <w:lang w:val="en-US" w:eastAsia="zh-CN"/>
              </w:rPr>
              <w:t>根据《排污单位自行监测技术指南 总则》(HJ819-2017)，本项目噪声污染源监测计划见下表。</w:t>
            </w:r>
          </w:p>
          <w:p>
            <w:pPr>
              <w:pStyle w:val="26"/>
              <w:bidi w:val="0"/>
              <w:rPr>
                <w:rFonts w:hint="default"/>
                <w:lang w:val="en-US" w:eastAsia="zh-CN"/>
              </w:rPr>
            </w:pPr>
            <w:r>
              <w:rPr>
                <w:rFonts w:hint="default"/>
                <w:lang w:val="en-US" w:eastAsia="zh-CN"/>
              </w:rPr>
              <w:t>表 4.4-</w:t>
            </w:r>
            <w:r>
              <w:rPr>
                <w:rFonts w:hint="eastAsia"/>
                <w:lang w:val="en-US" w:eastAsia="zh-CN"/>
              </w:rPr>
              <w:t>4</w:t>
            </w:r>
            <w:r>
              <w:rPr>
                <w:rFonts w:hint="default"/>
                <w:lang w:val="en-US" w:eastAsia="zh-CN"/>
              </w:rPr>
              <w:t xml:space="preserve"> 建设项目监测计划表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1952"/>
              <w:gridCol w:w="1918"/>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pPr>
                    <w:pStyle w:val="22"/>
                    <w:bidi w:val="0"/>
                    <w:jc w:val="center"/>
                    <w:rPr>
                      <w:rFonts w:hint="default"/>
                      <w:lang w:val="en-US" w:eastAsia="zh-CN"/>
                    </w:rPr>
                  </w:pPr>
                  <w:r>
                    <w:rPr>
                      <w:rFonts w:hint="eastAsia"/>
                      <w:lang w:val="en-US" w:eastAsia="zh-CN"/>
                    </w:rPr>
                    <w:t>监测点位</w:t>
                  </w:r>
                </w:p>
              </w:tc>
              <w:tc>
                <w:tcPr>
                  <w:tcW w:w="1094" w:type="pct"/>
                  <w:vAlign w:val="center"/>
                </w:tcPr>
                <w:p>
                  <w:pPr>
                    <w:pStyle w:val="22"/>
                    <w:bidi w:val="0"/>
                    <w:jc w:val="center"/>
                    <w:rPr>
                      <w:rFonts w:hint="default"/>
                      <w:lang w:val="en-US" w:eastAsia="zh-CN"/>
                    </w:rPr>
                  </w:pPr>
                  <w:r>
                    <w:rPr>
                      <w:rFonts w:hint="eastAsia"/>
                      <w:lang w:val="en-US" w:eastAsia="zh-CN"/>
                    </w:rPr>
                    <w:t>监测指标</w:t>
                  </w:r>
                </w:p>
              </w:tc>
              <w:tc>
                <w:tcPr>
                  <w:tcW w:w="1075" w:type="pct"/>
                  <w:vAlign w:val="center"/>
                </w:tcPr>
                <w:p>
                  <w:pPr>
                    <w:pStyle w:val="22"/>
                    <w:bidi w:val="0"/>
                    <w:jc w:val="center"/>
                    <w:rPr>
                      <w:rFonts w:hint="default"/>
                      <w:lang w:val="en-US" w:eastAsia="zh-CN"/>
                    </w:rPr>
                  </w:pPr>
                  <w:r>
                    <w:rPr>
                      <w:rFonts w:hint="eastAsia"/>
                      <w:lang w:val="en-US" w:eastAsia="zh-CN"/>
                    </w:rPr>
                    <w:t>监测频次</w:t>
                  </w:r>
                </w:p>
              </w:tc>
              <w:tc>
                <w:tcPr>
                  <w:tcW w:w="1847" w:type="pct"/>
                  <w:vAlign w:val="center"/>
                </w:tcPr>
                <w:p>
                  <w:pPr>
                    <w:pStyle w:val="22"/>
                    <w:bidi w:val="0"/>
                    <w:jc w:val="center"/>
                    <w:rPr>
                      <w:rFonts w:hint="default"/>
                      <w:lang w:val="en-US" w:eastAsia="zh-CN"/>
                    </w:rPr>
                  </w:pPr>
                  <w:r>
                    <w:rPr>
                      <w:rFonts w:hint="eastAsia"/>
                      <w:lang w:val="en-US" w:eastAsia="zh-CN"/>
                    </w:rPr>
                    <w:t>执行环境质量标准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pct"/>
                  <w:vAlign w:val="center"/>
                </w:tcPr>
                <w:p>
                  <w:pPr>
                    <w:pStyle w:val="22"/>
                    <w:bidi w:val="0"/>
                    <w:jc w:val="center"/>
                    <w:rPr>
                      <w:rFonts w:hint="default"/>
                      <w:lang w:val="en-US" w:eastAsia="zh-CN"/>
                    </w:rPr>
                  </w:pPr>
                  <w:r>
                    <w:rPr>
                      <w:rFonts w:hint="eastAsia"/>
                      <w:lang w:val="en-US" w:eastAsia="zh-CN"/>
                    </w:rPr>
                    <w:t>停车场四周厂界外1m处</w:t>
                  </w:r>
                </w:p>
              </w:tc>
              <w:tc>
                <w:tcPr>
                  <w:tcW w:w="1094" w:type="pct"/>
                  <w:vAlign w:val="center"/>
                </w:tcPr>
                <w:p>
                  <w:pPr>
                    <w:pStyle w:val="22"/>
                    <w:bidi w:val="0"/>
                    <w:jc w:val="center"/>
                    <w:rPr>
                      <w:rFonts w:hint="default"/>
                      <w:lang w:val="en-US" w:eastAsia="zh-CN"/>
                    </w:rPr>
                  </w:pPr>
                  <w:r>
                    <w:rPr>
                      <w:rFonts w:hint="eastAsia"/>
                      <w:lang w:val="en-US" w:eastAsia="zh-CN"/>
                    </w:rPr>
                    <w:t>等效连续A声级</w:t>
                  </w:r>
                </w:p>
              </w:tc>
              <w:tc>
                <w:tcPr>
                  <w:tcW w:w="1075" w:type="pct"/>
                  <w:vAlign w:val="center"/>
                </w:tcPr>
                <w:p>
                  <w:pPr>
                    <w:pStyle w:val="22"/>
                    <w:bidi w:val="0"/>
                    <w:jc w:val="center"/>
                    <w:rPr>
                      <w:rFonts w:hint="default"/>
                      <w:lang w:val="en-US" w:eastAsia="zh-CN"/>
                    </w:rPr>
                  </w:pPr>
                  <w:r>
                    <w:rPr>
                      <w:rFonts w:hint="eastAsia"/>
                      <w:lang w:val="en-US" w:eastAsia="zh-CN"/>
                    </w:rPr>
                    <w:t>1次/季度，昼、夜各一次</w:t>
                  </w:r>
                </w:p>
              </w:tc>
              <w:tc>
                <w:tcPr>
                  <w:tcW w:w="1847" w:type="pct"/>
                  <w:vAlign w:val="center"/>
                </w:tcPr>
                <w:p>
                  <w:pPr>
                    <w:pStyle w:val="22"/>
                    <w:bidi w:val="0"/>
                    <w:jc w:val="center"/>
                    <w:rPr>
                      <w:rFonts w:hint="default"/>
                      <w:lang w:val="en-US" w:eastAsia="zh-CN"/>
                    </w:rPr>
                  </w:pPr>
                  <w:r>
                    <w:rPr>
                      <w:rFonts w:hint="eastAsia"/>
                      <w:lang w:val="en-US" w:eastAsia="zh-CN"/>
                    </w:rPr>
                    <w:t>《工业企业厂界环境噪声排放标准》（GB12348-2008）3类标准</w:t>
                  </w:r>
                </w:p>
              </w:tc>
            </w:tr>
          </w:tbl>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4.5固体废物环境影响和保护措施</w:t>
            </w:r>
          </w:p>
          <w:p>
            <w:pPr>
              <w:pStyle w:val="29"/>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4.5.1固体废物属性及产生情况</w:t>
            </w:r>
          </w:p>
          <w:p>
            <w:pPr>
              <w:bidi w:val="0"/>
              <w:rPr>
                <w:rFonts w:hint="default"/>
                <w:lang w:val="en-US" w:eastAsia="zh-CN"/>
              </w:rPr>
            </w:pPr>
            <w:r>
              <w:rPr>
                <w:rFonts w:hint="default"/>
                <w:lang w:val="en-US" w:eastAsia="zh-CN"/>
              </w:rPr>
              <w:t>本项目产生的固体废物为收集的残留液(废矿物油、</w:t>
            </w:r>
            <w:r>
              <w:rPr>
                <w:rFonts w:hint="eastAsia"/>
                <w:lang w:val="en-US" w:eastAsia="zh-CN"/>
              </w:rPr>
              <w:t>废酸液、</w:t>
            </w:r>
            <w:r>
              <w:rPr>
                <w:rFonts w:hint="default"/>
                <w:lang w:val="en-US" w:eastAsia="zh-CN"/>
              </w:rPr>
              <w:t>废碱液</w:t>
            </w:r>
            <w:r>
              <w:rPr>
                <w:rFonts w:hint="eastAsia"/>
                <w:lang w:val="en-US" w:eastAsia="zh-CN"/>
              </w:rPr>
              <w:t>、废有机溶剂等</w:t>
            </w:r>
            <w:r>
              <w:rPr>
                <w:rFonts w:hint="default"/>
                <w:lang w:val="en-US" w:eastAsia="zh-CN"/>
              </w:rPr>
              <w:t>)、表面活性剂废包装和废活性炭、污水处理站的油泥和生活垃圾</w:t>
            </w:r>
            <w:r>
              <w:rPr>
                <w:rFonts w:hint="eastAsia"/>
                <w:lang w:val="en-US" w:eastAsia="zh-CN"/>
              </w:rPr>
              <w:t>、未修建废机油、含油抹布和手套</w:t>
            </w:r>
            <w:r>
              <w:rPr>
                <w:rFonts w:hint="default"/>
                <w:lang w:val="en-US" w:eastAsia="zh-CN"/>
              </w:rPr>
              <w:t>。</w:t>
            </w:r>
          </w:p>
          <w:p>
            <w:pPr>
              <w:bidi w:val="0"/>
              <w:rPr>
                <w:rFonts w:hint="default" w:ascii="Times New Roman" w:hAnsi="Times New Roman" w:cs="Times New Roman"/>
                <w:lang w:val="en-US" w:eastAsia="zh-CN"/>
              </w:rPr>
            </w:pPr>
            <w:r>
              <w:rPr>
                <w:rFonts w:hint="default"/>
                <w:lang w:val="en-US" w:eastAsia="zh-CN"/>
              </w:rPr>
              <w:t>(1)残留液(废矿物油、废碱液)根</w:t>
            </w:r>
            <w:r>
              <w:rPr>
                <w:rFonts w:hint="default" w:ascii="Times New Roman" w:hAnsi="Times New Roman" w:cs="Times New Roman"/>
                <w:lang w:val="en-US" w:eastAsia="zh-CN"/>
              </w:rPr>
              <w:t>据建设单位生产经验，残留液按2kg/辆槽罐车计，残留液主要为废矿物油、</w:t>
            </w:r>
            <w:r>
              <w:rPr>
                <w:rFonts w:hint="eastAsia" w:ascii="Times New Roman" w:hAnsi="Times New Roman" w:cs="Times New Roman"/>
                <w:lang w:val="en-US" w:eastAsia="zh-CN"/>
              </w:rPr>
              <w:t>废酸液、</w:t>
            </w:r>
            <w:r>
              <w:rPr>
                <w:rFonts w:hint="default" w:ascii="Times New Roman" w:hAnsi="Times New Roman" w:cs="Times New Roman"/>
                <w:lang w:val="en-US" w:eastAsia="zh-CN"/>
              </w:rPr>
              <w:t>废碱液</w:t>
            </w:r>
            <w:r>
              <w:rPr>
                <w:rFonts w:hint="eastAsia" w:ascii="Times New Roman" w:hAnsi="Times New Roman" w:cs="Times New Roman"/>
                <w:lang w:val="en-US" w:eastAsia="zh-CN"/>
              </w:rPr>
              <w:t>、废危险化学品等</w:t>
            </w:r>
            <w:r>
              <w:rPr>
                <w:rFonts w:hint="default" w:ascii="Times New Roman" w:hAnsi="Times New Roman" w:cs="Times New Roman"/>
                <w:lang w:val="en-US" w:eastAsia="zh-CN"/>
              </w:rPr>
              <w:t>，废矿物油属于《国家危险废物名录》(2021 版)中编号为 HW08(废物代码:251-001-08)的危险废物:废碱液属于HW35(废物代码:900-399-35)的危险废物</w:t>
            </w:r>
            <w:r>
              <w:rPr>
                <w:rFonts w:hint="eastAsia" w:ascii="Times New Roman" w:hAnsi="Times New Roman" w:cs="Times New Roman"/>
                <w:lang w:val="en-US" w:eastAsia="zh-CN"/>
              </w:rPr>
              <w:t>；废酸液属于HW34（废物代码：900-349-34）的危险废物；废二硫化碳、甲醇、苯酚、三乙胺、优级品碳酸二甲酯、轻质二元醇、重质二元醇、碳酸二乙酯、电子级碳酸二甲酯均属《危险化学品名录》中的物质，因此该类废弃溶液属于HW49（危废代码：900-999-49）的危险废物；各残留液产生情况详见下表：</w:t>
            </w:r>
          </w:p>
          <w:p>
            <w:pPr>
              <w:pStyle w:val="26"/>
              <w:bidi w:val="0"/>
              <w:rPr>
                <w:rFonts w:hint="eastAsia"/>
                <w:lang w:val="en-US" w:eastAsia="zh-CN"/>
              </w:rPr>
            </w:pPr>
            <w:r>
              <w:rPr>
                <w:rFonts w:hint="eastAsia"/>
                <w:lang w:val="en-US" w:eastAsia="zh-CN"/>
              </w:rPr>
              <w:t>表4.5-1 残留液产生表</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406"/>
              <w:gridCol w:w="1167"/>
              <w:gridCol w:w="1374"/>
              <w:gridCol w:w="1215"/>
              <w:gridCol w:w="1696"/>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default"/>
                      <w:lang w:val="en-US" w:eastAsia="zh-CN"/>
                    </w:rPr>
                    <w:t>序号</w:t>
                  </w:r>
                </w:p>
              </w:tc>
              <w:tc>
                <w:tcPr>
                  <w:tcW w:w="788" w:type="pct"/>
                  <w:shd w:val="clear" w:color="auto" w:fill="auto"/>
                  <w:vAlign w:val="center"/>
                </w:tcPr>
                <w:p>
                  <w:pPr>
                    <w:pStyle w:val="22"/>
                    <w:bidi w:val="0"/>
                    <w:rPr>
                      <w:rFonts w:hint="default"/>
                      <w:lang w:val="en-US" w:eastAsia="zh-CN"/>
                    </w:rPr>
                  </w:pPr>
                  <w:r>
                    <w:rPr>
                      <w:rFonts w:hint="default"/>
                      <w:lang w:val="en-US" w:eastAsia="zh-CN"/>
                    </w:rPr>
                    <w:t>残留液名称</w:t>
                  </w:r>
                </w:p>
              </w:tc>
              <w:tc>
                <w:tcPr>
                  <w:tcW w:w="654" w:type="pct"/>
                  <w:shd w:val="clear" w:color="auto" w:fill="auto"/>
                  <w:vAlign w:val="center"/>
                </w:tcPr>
                <w:p>
                  <w:pPr>
                    <w:pStyle w:val="22"/>
                    <w:bidi w:val="0"/>
                    <w:rPr>
                      <w:rFonts w:hint="default"/>
                      <w:lang w:val="en-US" w:eastAsia="zh-CN"/>
                    </w:rPr>
                  </w:pPr>
                  <w:r>
                    <w:rPr>
                      <w:rFonts w:hint="default"/>
                      <w:lang w:val="en-US" w:eastAsia="zh-CN"/>
                    </w:rPr>
                    <w:t>参数系数</w:t>
                  </w:r>
                </w:p>
              </w:tc>
              <w:tc>
                <w:tcPr>
                  <w:tcW w:w="770" w:type="pct"/>
                  <w:shd w:val="clear" w:color="auto" w:fill="auto"/>
                  <w:vAlign w:val="center"/>
                </w:tcPr>
                <w:p>
                  <w:pPr>
                    <w:pStyle w:val="22"/>
                    <w:bidi w:val="0"/>
                    <w:rPr>
                      <w:rFonts w:hint="default"/>
                      <w:lang w:val="en-US" w:eastAsia="zh-CN"/>
                    </w:rPr>
                  </w:pPr>
                  <w:r>
                    <w:rPr>
                      <w:rFonts w:hint="default"/>
                      <w:lang w:val="en-US" w:eastAsia="zh-CN"/>
                    </w:rPr>
                    <w:t>车辆数量</w:t>
                  </w:r>
                  <w:r>
                    <w:rPr>
                      <w:rFonts w:hint="eastAsia"/>
                      <w:lang w:val="en-US" w:eastAsia="zh-CN"/>
                    </w:rPr>
                    <w:t>（辆/a）</w:t>
                  </w:r>
                </w:p>
              </w:tc>
              <w:tc>
                <w:tcPr>
                  <w:tcW w:w="681" w:type="pct"/>
                  <w:shd w:val="clear" w:color="auto" w:fill="auto"/>
                  <w:vAlign w:val="center"/>
                </w:tcPr>
                <w:p>
                  <w:pPr>
                    <w:pStyle w:val="22"/>
                    <w:bidi w:val="0"/>
                    <w:rPr>
                      <w:rFonts w:hint="default"/>
                      <w:lang w:val="en-US" w:eastAsia="zh-CN"/>
                    </w:rPr>
                  </w:pPr>
                  <w:r>
                    <w:rPr>
                      <w:rFonts w:hint="default"/>
                      <w:lang w:val="en-US" w:eastAsia="zh-CN"/>
                    </w:rPr>
                    <w:t>产生量</w:t>
                  </w:r>
                  <w:r>
                    <w:rPr>
                      <w:rFonts w:hint="eastAsia"/>
                      <w:lang w:val="en-US" w:eastAsia="zh-CN"/>
                    </w:rPr>
                    <w:t>（kg/a）</w:t>
                  </w:r>
                </w:p>
              </w:tc>
              <w:tc>
                <w:tcPr>
                  <w:tcW w:w="950" w:type="pct"/>
                  <w:vAlign w:val="center"/>
                </w:tcPr>
                <w:p>
                  <w:pPr>
                    <w:pStyle w:val="22"/>
                    <w:bidi w:val="0"/>
                    <w:rPr>
                      <w:rFonts w:hint="default"/>
                      <w:lang w:val="en-US" w:eastAsia="zh-CN"/>
                    </w:rPr>
                  </w:pPr>
                  <w:r>
                    <w:rPr>
                      <w:rFonts w:hint="default"/>
                      <w:lang w:val="en-US" w:eastAsia="zh-CN"/>
                    </w:rPr>
                    <w:t>危废类型</w:t>
                  </w:r>
                </w:p>
              </w:tc>
              <w:tc>
                <w:tcPr>
                  <w:tcW w:w="716" w:type="pct"/>
                  <w:vAlign w:val="center"/>
                </w:tcPr>
                <w:p>
                  <w:pPr>
                    <w:pStyle w:val="22"/>
                    <w:bidi w:val="0"/>
                    <w:rPr>
                      <w:rFonts w:hint="default"/>
                      <w:lang w:val="en-US" w:eastAsia="zh-CN"/>
                    </w:rPr>
                  </w:pPr>
                  <w:r>
                    <w:rPr>
                      <w:rFonts w:hint="default"/>
                      <w:lang w:val="en-US" w:eastAsia="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default"/>
                      <w:lang w:val="en-US" w:eastAsia="zh-CN"/>
                    </w:rPr>
                    <w:t>1</w:t>
                  </w:r>
                </w:p>
              </w:tc>
              <w:tc>
                <w:tcPr>
                  <w:tcW w:w="788" w:type="pct"/>
                  <w:vAlign w:val="center"/>
                </w:tcPr>
                <w:p>
                  <w:pPr>
                    <w:pStyle w:val="22"/>
                    <w:bidi w:val="0"/>
                    <w:rPr>
                      <w:rFonts w:hint="default"/>
                      <w:lang w:val="en-US" w:eastAsia="zh-CN"/>
                    </w:rPr>
                  </w:pPr>
                  <w:r>
                    <w:rPr>
                      <w:rFonts w:hint="default"/>
                      <w:lang w:val="en-US" w:eastAsia="zh-CN"/>
                    </w:rPr>
                    <w:t>甲醇</w:t>
                  </w:r>
                </w:p>
              </w:tc>
              <w:tc>
                <w:tcPr>
                  <w:tcW w:w="654" w:type="pct"/>
                  <w:vMerge w:val="restart"/>
                  <w:vAlign w:val="center"/>
                </w:tcPr>
                <w:p>
                  <w:pPr>
                    <w:pStyle w:val="22"/>
                    <w:bidi w:val="0"/>
                    <w:rPr>
                      <w:rFonts w:hint="default"/>
                      <w:lang w:val="en-US" w:eastAsia="zh-CN"/>
                    </w:rPr>
                  </w:pPr>
                  <w:r>
                    <w:rPr>
                      <w:rFonts w:hint="default"/>
                      <w:lang w:val="en-US" w:eastAsia="zh-CN"/>
                    </w:rPr>
                    <w:t>2kg/辆槽罐车</w:t>
                  </w:r>
                </w:p>
              </w:tc>
              <w:tc>
                <w:tcPr>
                  <w:tcW w:w="770" w:type="pct"/>
                  <w:vAlign w:val="center"/>
                </w:tcPr>
                <w:p>
                  <w:pPr>
                    <w:pStyle w:val="22"/>
                    <w:bidi w:val="0"/>
                    <w:rPr>
                      <w:rFonts w:hint="default"/>
                      <w:lang w:val="en-US" w:eastAsia="zh-CN"/>
                    </w:rPr>
                  </w:pPr>
                  <w:r>
                    <w:rPr>
                      <w:rFonts w:hint="default"/>
                      <w:lang w:val="en-US" w:eastAsia="zh-CN"/>
                    </w:rPr>
                    <w:t>40</w:t>
                  </w:r>
                </w:p>
              </w:tc>
              <w:tc>
                <w:tcPr>
                  <w:tcW w:w="681" w:type="pct"/>
                  <w:vAlign w:val="center"/>
                </w:tcPr>
                <w:p>
                  <w:pPr>
                    <w:pStyle w:val="22"/>
                    <w:bidi w:val="0"/>
                    <w:rPr>
                      <w:rFonts w:hint="default"/>
                      <w:lang w:val="en-US" w:eastAsia="zh-CN"/>
                    </w:rPr>
                  </w:pPr>
                  <w:r>
                    <w:rPr>
                      <w:rFonts w:hint="default"/>
                      <w:lang w:val="en-US" w:eastAsia="zh-CN"/>
                    </w:rPr>
                    <w:t>80</w:t>
                  </w:r>
                </w:p>
              </w:tc>
              <w:tc>
                <w:tcPr>
                  <w:tcW w:w="950" w:type="pct"/>
                  <w:vMerge w:val="restart"/>
                  <w:vAlign w:val="center"/>
                </w:tcPr>
                <w:p>
                  <w:pPr>
                    <w:pStyle w:val="22"/>
                    <w:bidi w:val="0"/>
                    <w:rPr>
                      <w:rFonts w:hint="default"/>
                      <w:lang w:val="en-US" w:eastAsia="zh-CN"/>
                    </w:rPr>
                  </w:pPr>
                  <w:r>
                    <w:rPr>
                      <w:rFonts w:hint="default"/>
                      <w:lang w:val="en-US" w:eastAsia="zh-CN"/>
                    </w:rPr>
                    <w:t>HW49（危废代码：900-999-49）</w:t>
                  </w:r>
                </w:p>
              </w:tc>
              <w:tc>
                <w:tcPr>
                  <w:tcW w:w="716" w:type="pct"/>
                  <w:vMerge w:val="restart"/>
                  <w:vAlign w:val="center"/>
                </w:tcPr>
                <w:p>
                  <w:pPr>
                    <w:pStyle w:val="22"/>
                    <w:bidi w:val="0"/>
                    <w:rPr>
                      <w:rFonts w:hint="default"/>
                      <w:lang w:val="en-US" w:eastAsia="zh-CN"/>
                    </w:rPr>
                  </w:pPr>
                  <w:r>
                    <w:rPr>
                      <w:rFonts w:hint="default"/>
                      <w:lang w:val="en-US" w:eastAsia="zh-CN"/>
                    </w:rPr>
                    <w:t>分类收集，暂存于危废暂存间内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2</w:t>
                  </w:r>
                </w:p>
              </w:tc>
              <w:tc>
                <w:tcPr>
                  <w:tcW w:w="788" w:type="pct"/>
                  <w:vAlign w:val="center"/>
                </w:tcPr>
                <w:p>
                  <w:pPr>
                    <w:pStyle w:val="22"/>
                    <w:bidi w:val="0"/>
                    <w:rPr>
                      <w:rFonts w:hint="default"/>
                      <w:lang w:val="en-US" w:eastAsia="zh-CN"/>
                    </w:rPr>
                  </w:pPr>
                  <w:r>
                    <w:rPr>
                      <w:rFonts w:hint="default"/>
                      <w:lang w:val="en-US" w:eastAsia="zh-CN"/>
                    </w:rPr>
                    <w:t>苯酚</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30</w:t>
                  </w:r>
                </w:p>
              </w:tc>
              <w:tc>
                <w:tcPr>
                  <w:tcW w:w="681" w:type="pct"/>
                  <w:vAlign w:val="center"/>
                </w:tcPr>
                <w:p>
                  <w:pPr>
                    <w:pStyle w:val="22"/>
                    <w:bidi w:val="0"/>
                    <w:rPr>
                      <w:rFonts w:hint="default"/>
                      <w:lang w:val="en-US" w:eastAsia="zh-CN"/>
                    </w:rPr>
                  </w:pPr>
                  <w:r>
                    <w:rPr>
                      <w:rFonts w:hint="default"/>
                      <w:lang w:val="en-US" w:eastAsia="zh-CN"/>
                    </w:rPr>
                    <w:t>60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3</w:t>
                  </w:r>
                </w:p>
              </w:tc>
              <w:tc>
                <w:tcPr>
                  <w:tcW w:w="788" w:type="pct"/>
                  <w:vAlign w:val="center"/>
                </w:tcPr>
                <w:p>
                  <w:pPr>
                    <w:pStyle w:val="22"/>
                    <w:bidi w:val="0"/>
                    <w:rPr>
                      <w:rFonts w:hint="default"/>
                      <w:lang w:val="en-US" w:eastAsia="zh-CN"/>
                    </w:rPr>
                  </w:pPr>
                  <w:r>
                    <w:rPr>
                      <w:rFonts w:hint="default"/>
                      <w:lang w:val="en-US" w:eastAsia="zh-CN"/>
                    </w:rPr>
                    <w:t>三乙胺</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20</w:t>
                  </w:r>
                </w:p>
              </w:tc>
              <w:tc>
                <w:tcPr>
                  <w:tcW w:w="681" w:type="pct"/>
                  <w:vAlign w:val="center"/>
                </w:tcPr>
                <w:p>
                  <w:pPr>
                    <w:pStyle w:val="22"/>
                    <w:bidi w:val="0"/>
                    <w:rPr>
                      <w:rFonts w:hint="default"/>
                      <w:lang w:val="en-US" w:eastAsia="zh-CN"/>
                    </w:rPr>
                  </w:pPr>
                  <w:r>
                    <w:rPr>
                      <w:rFonts w:hint="default"/>
                      <w:lang w:val="en-US" w:eastAsia="zh-CN"/>
                    </w:rPr>
                    <w:t>40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8" w:type="pct"/>
                  <w:vAlign w:val="center"/>
                </w:tcPr>
                <w:p>
                  <w:pPr>
                    <w:pStyle w:val="22"/>
                    <w:bidi w:val="0"/>
                    <w:rPr>
                      <w:rFonts w:hint="default"/>
                      <w:lang w:val="en-US" w:eastAsia="zh-CN"/>
                    </w:rPr>
                  </w:pPr>
                  <w:r>
                    <w:rPr>
                      <w:rFonts w:hint="eastAsia"/>
                      <w:lang w:val="en-US" w:eastAsia="zh-CN"/>
                    </w:rPr>
                    <w:t>4</w:t>
                  </w:r>
                </w:p>
              </w:tc>
              <w:tc>
                <w:tcPr>
                  <w:tcW w:w="788" w:type="pct"/>
                  <w:vAlign w:val="center"/>
                </w:tcPr>
                <w:p>
                  <w:pPr>
                    <w:pStyle w:val="22"/>
                    <w:bidi w:val="0"/>
                    <w:rPr>
                      <w:rFonts w:hint="default"/>
                      <w:lang w:val="en-US" w:eastAsia="zh-CN"/>
                    </w:rPr>
                  </w:pPr>
                  <w:r>
                    <w:rPr>
                      <w:rFonts w:hint="default"/>
                      <w:lang w:val="en-US" w:eastAsia="zh-CN"/>
                    </w:rPr>
                    <w:t>优级品碳酸二甲酯</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10</w:t>
                  </w:r>
                </w:p>
              </w:tc>
              <w:tc>
                <w:tcPr>
                  <w:tcW w:w="681" w:type="pct"/>
                  <w:vAlign w:val="center"/>
                </w:tcPr>
                <w:p>
                  <w:pPr>
                    <w:pStyle w:val="22"/>
                    <w:bidi w:val="0"/>
                    <w:rPr>
                      <w:rFonts w:hint="default"/>
                      <w:lang w:val="en-US" w:eastAsia="zh-CN"/>
                    </w:rPr>
                  </w:pPr>
                  <w:r>
                    <w:rPr>
                      <w:rFonts w:hint="default"/>
                      <w:lang w:val="en-US" w:eastAsia="zh-CN"/>
                    </w:rPr>
                    <w:t>20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5</w:t>
                  </w:r>
                </w:p>
              </w:tc>
              <w:tc>
                <w:tcPr>
                  <w:tcW w:w="788" w:type="pct"/>
                  <w:vAlign w:val="center"/>
                </w:tcPr>
                <w:p>
                  <w:pPr>
                    <w:pStyle w:val="22"/>
                    <w:bidi w:val="0"/>
                    <w:rPr>
                      <w:rFonts w:hint="default"/>
                      <w:lang w:val="en-US" w:eastAsia="zh-CN"/>
                    </w:rPr>
                  </w:pPr>
                  <w:r>
                    <w:rPr>
                      <w:rFonts w:hint="default"/>
                      <w:lang w:val="en-US" w:eastAsia="zh-CN"/>
                    </w:rPr>
                    <w:t>轻质二元醇</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10</w:t>
                  </w:r>
                </w:p>
              </w:tc>
              <w:tc>
                <w:tcPr>
                  <w:tcW w:w="681" w:type="pct"/>
                  <w:vAlign w:val="center"/>
                </w:tcPr>
                <w:p>
                  <w:pPr>
                    <w:pStyle w:val="22"/>
                    <w:bidi w:val="0"/>
                    <w:rPr>
                      <w:rFonts w:hint="default"/>
                      <w:lang w:val="en-US" w:eastAsia="zh-CN"/>
                    </w:rPr>
                  </w:pPr>
                  <w:r>
                    <w:rPr>
                      <w:rFonts w:hint="default"/>
                      <w:lang w:val="en-US" w:eastAsia="zh-CN"/>
                    </w:rPr>
                    <w:t>20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6</w:t>
                  </w:r>
                </w:p>
              </w:tc>
              <w:tc>
                <w:tcPr>
                  <w:tcW w:w="788" w:type="pct"/>
                  <w:vAlign w:val="center"/>
                </w:tcPr>
                <w:p>
                  <w:pPr>
                    <w:pStyle w:val="22"/>
                    <w:bidi w:val="0"/>
                    <w:rPr>
                      <w:rFonts w:hint="default"/>
                      <w:lang w:val="en-US" w:eastAsia="zh-CN"/>
                    </w:rPr>
                  </w:pPr>
                  <w:r>
                    <w:rPr>
                      <w:rFonts w:hint="default"/>
                      <w:lang w:val="en-US" w:eastAsia="zh-CN"/>
                    </w:rPr>
                    <w:t>混合一元醇</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10</w:t>
                  </w:r>
                </w:p>
              </w:tc>
              <w:tc>
                <w:tcPr>
                  <w:tcW w:w="681" w:type="pct"/>
                  <w:vAlign w:val="center"/>
                </w:tcPr>
                <w:p>
                  <w:pPr>
                    <w:pStyle w:val="22"/>
                    <w:bidi w:val="0"/>
                    <w:rPr>
                      <w:rFonts w:hint="default"/>
                      <w:lang w:val="en-US" w:eastAsia="zh-CN"/>
                    </w:rPr>
                  </w:pPr>
                  <w:r>
                    <w:rPr>
                      <w:rFonts w:hint="default"/>
                      <w:lang w:val="en-US" w:eastAsia="zh-CN"/>
                    </w:rPr>
                    <w:t>20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7</w:t>
                  </w:r>
                </w:p>
              </w:tc>
              <w:tc>
                <w:tcPr>
                  <w:tcW w:w="788" w:type="pct"/>
                  <w:vAlign w:val="center"/>
                </w:tcPr>
                <w:p>
                  <w:pPr>
                    <w:pStyle w:val="22"/>
                    <w:bidi w:val="0"/>
                    <w:rPr>
                      <w:rFonts w:hint="default"/>
                      <w:lang w:val="en-US" w:eastAsia="zh-CN"/>
                    </w:rPr>
                  </w:pPr>
                  <w:r>
                    <w:rPr>
                      <w:rFonts w:hint="default"/>
                      <w:lang w:val="en-US" w:eastAsia="zh-CN"/>
                    </w:rPr>
                    <w:t>重质二元醇</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10</w:t>
                  </w:r>
                </w:p>
              </w:tc>
              <w:tc>
                <w:tcPr>
                  <w:tcW w:w="681" w:type="pct"/>
                  <w:vAlign w:val="center"/>
                </w:tcPr>
                <w:p>
                  <w:pPr>
                    <w:pStyle w:val="22"/>
                    <w:bidi w:val="0"/>
                    <w:rPr>
                      <w:rFonts w:hint="default"/>
                      <w:lang w:val="en-US" w:eastAsia="zh-CN"/>
                    </w:rPr>
                  </w:pPr>
                  <w:r>
                    <w:rPr>
                      <w:rFonts w:hint="default"/>
                      <w:lang w:val="en-US" w:eastAsia="zh-CN"/>
                    </w:rPr>
                    <w:t>20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8</w:t>
                  </w:r>
                </w:p>
              </w:tc>
              <w:tc>
                <w:tcPr>
                  <w:tcW w:w="788" w:type="pct"/>
                  <w:vAlign w:val="center"/>
                </w:tcPr>
                <w:p>
                  <w:pPr>
                    <w:pStyle w:val="22"/>
                    <w:bidi w:val="0"/>
                    <w:rPr>
                      <w:rFonts w:hint="default"/>
                      <w:lang w:val="en-US" w:eastAsia="zh-CN"/>
                    </w:rPr>
                  </w:pPr>
                  <w:r>
                    <w:rPr>
                      <w:rFonts w:hint="default"/>
                      <w:lang w:val="en-US" w:eastAsia="zh-CN"/>
                    </w:rPr>
                    <w:t>乙二醇</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10</w:t>
                  </w:r>
                </w:p>
              </w:tc>
              <w:tc>
                <w:tcPr>
                  <w:tcW w:w="681" w:type="pct"/>
                  <w:vAlign w:val="center"/>
                </w:tcPr>
                <w:p>
                  <w:pPr>
                    <w:pStyle w:val="22"/>
                    <w:bidi w:val="0"/>
                    <w:rPr>
                      <w:rFonts w:hint="default"/>
                      <w:lang w:val="en-US" w:eastAsia="zh-CN"/>
                    </w:rPr>
                  </w:pPr>
                  <w:r>
                    <w:rPr>
                      <w:rFonts w:hint="default"/>
                      <w:lang w:val="en-US" w:eastAsia="zh-CN"/>
                    </w:rPr>
                    <w:t>20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9</w:t>
                  </w:r>
                </w:p>
              </w:tc>
              <w:tc>
                <w:tcPr>
                  <w:tcW w:w="788" w:type="pct"/>
                  <w:vAlign w:val="center"/>
                </w:tcPr>
                <w:p>
                  <w:pPr>
                    <w:pStyle w:val="22"/>
                    <w:bidi w:val="0"/>
                    <w:rPr>
                      <w:rFonts w:hint="default"/>
                      <w:lang w:val="en-US" w:eastAsia="zh-CN"/>
                    </w:rPr>
                  </w:pPr>
                  <w:r>
                    <w:rPr>
                      <w:rFonts w:hint="default"/>
                      <w:lang w:val="en-US" w:eastAsia="zh-CN"/>
                    </w:rPr>
                    <w:t>碳酸甲乙酯</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10</w:t>
                  </w:r>
                </w:p>
              </w:tc>
              <w:tc>
                <w:tcPr>
                  <w:tcW w:w="681" w:type="pct"/>
                  <w:vAlign w:val="center"/>
                </w:tcPr>
                <w:p>
                  <w:pPr>
                    <w:pStyle w:val="22"/>
                    <w:bidi w:val="0"/>
                    <w:rPr>
                      <w:rFonts w:hint="default"/>
                      <w:lang w:val="en-US" w:eastAsia="zh-CN"/>
                    </w:rPr>
                  </w:pPr>
                  <w:r>
                    <w:rPr>
                      <w:rFonts w:hint="default"/>
                      <w:lang w:val="en-US" w:eastAsia="zh-CN"/>
                    </w:rPr>
                    <w:t>20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10</w:t>
                  </w:r>
                </w:p>
              </w:tc>
              <w:tc>
                <w:tcPr>
                  <w:tcW w:w="788" w:type="pct"/>
                  <w:vAlign w:val="center"/>
                </w:tcPr>
                <w:p>
                  <w:pPr>
                    <w:pStyle w:val="22"/>
                    <w:bidi w:val="0"/>
                    <w:rPr>
                      <w:rFonts w:hint="default"/>
                      <w:lang w:val="en-US" w:eastAsia="zh-CN"/>
                    </w:rPr>
                  </w:pPr>
                  <w:r>
                    <w:rPr>
                      <w:rFonts w:hint="default"/>
                      <w:lang w:val="en-US" w:eastAsia="zh-CN"/>
                    </w:rPr>
                    <w:t>碳酸二乙酯</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20</w:t>
                  </w:r>
                </w:p>
              </w:tc>
              <w:tc>
                <w:tcPr>
                  <w:tcW w:w="681" w:type="pct"/>
                  <w:vAlign w:val="center"/>
                </w:tcPr>
                <w:p>
                  <w:pPr>
                    <w:pStyle w:val="22"/>
                    <w:bidi w:val="0"/>
                    <w:rPr>
                      <w:rFonts w:hint="default"/>
                      <w:lang w:val="en-US" w:eastAsia="zh-CN"/>
                    </w:rPr>
                  </w:pPr>
                  <w:r>
                    <w:rPr>
                      <w:rFonts w:hint="default"/>
                      <w:lang w:val="en-US" w:eastAsia="zh-CN"/>
                    </w:rPr>
                    <w:t>40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11</w:t>
                  </w:r>
                </w:p>
              </w:tc>
              <w:tc>
                <w:tcPr>
                  <w:tcW w:w="788" w:type="pct"/>
                  <w:vAlign w:val="center"/>
                </w:tcPr>
                <w:p>
                  <w:pPr>
                    <w:pStyle w:val="22"/>
                    <w:bidi w:val="0"/>
                    <w:rPr>
                      <w:rFonts w:hint="default"/>
                      <w:lang w:val="en-US" w:eastAsia="zh-CN"/>
                    </w:rPr>
                  </w:pPr>
                  <w:r>
                    <w:rPr>
                      <w:rFonts w:hint="default"/>
                      <w:lang w:val="en-US" w:eastAsia="zh-CN"/>
                    </w:rPr>
                    <w:t>电子级碳酸二甲酯</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10</w:t>
                  </w:r>
                </w:p>
              </w:tc>
              <w:tc>
                <w:tcPr>
                  <w:tcW w:w="681" w:type="pct"/>
                  <w:vAlign w:val="center"/>
                </w:tcPr>
                <w:p>
                  <w:pPr>
                    <w:pStyle w:val="22"/>
                    <w:bidi w:val="0"/>
                    <w:rPr>
                      <w:rFonts w:hint="default"/>
                      <w:lang w:val="en-US" w:eastAsia="zh-CN"/>
                    </w:rPr>
                  </w:pPr>
                  <w:r>
                    <w:rPr>
                      <w:rFonts w:hint="default"/>
                      <w:lang w:val="en-US" w:eastAsia="zh-CN"/>
                    </w:rPr>
                    <w:t>20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12</w:t>
                  </w:r>
                </w:p>
              </w:tc>
              <w:tc>
                <w:tcPr>
                  <w:tcW w:w="788" w:type="pct"/>
                  <w:vAlign w:val="center"/>
                </w:tcPr>
                <w:p>
                  <w:pPr>
                    <w:pStyle w:val="22"/>
                    <w:bidi w:val="0"/>
                    <w:rPr>
                      <w:rFonts w:hint="default"/>
                      <w:lang w:val="en-US" w:eastAsia="zh-CN"/>
                    </w:rPr>
                  </w:pPr>
                  <w:r>
                    <w:rPr>
                      <w:rFonts w:hint="default"/>
                      <w:lang w:val="en-US" w:eastAsia="zh-CN"/>
                    </w:rPr>
                    <w:t>二硫化碳</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20</w:t>
                  </w:r>
                </w:p>
              </w:tc>
              <w:tc>
                <w:tcPr>
                  <w:tcW w:w="681" w:type="pct"/>
                  <w:vAlign w:val="center"/>
                </w:tcPr>
                <w:p>
                  <w:pPr>
                    <w:pStyle w:val="22"/>
                    <w:bidi w:val="0"/>
                    <w:rPr>
                      <w:rFonts w:hint="default"/>
                      <w:lang w:val="en-US" w:eastAsia="zh-CN"/>
                    </w:rPr>
                  </w:pPr>
                  <w:r>
                    <w:rPr>
                      <w:rFonts w:hint="default"/>
                      <w:lang w:val="en-US" w:eastAsia="zh-CN"/>
                    </w:rPr>
                    <w:t>40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13</w:t>
                  </w:r>
                </w:p>
              </w:tc>
              <w:tc>
                <w:tcPr>
                  <w:tcW w:w="788" w:type="pct"/>
                  <w:vAlign w:val="center"/>
                </w:tcPr>
                <w:p>
                  <w:pPr>
                    <w:pStyle w:val="22"/>
                    <w:bidi w:val="0"/>
                    <w:rPr>
                      <w:rFonts w:hint="default"/>
                      <w:lang w:val="en-US" w:eastAsia="zh-CN"/>
                    </w:rPr>
                  </w:pPr>
                  <w:r>
                    <w:rPr>
                      <w:rFonts w:hint="default"/>
                      <w:lang w:val="en-US" w:eastAsia="zh-CN"/>
                    </w:rPr>
                    <w:t>98%硫酸</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40</w:t>
                  </w:r>
                </w:p>
              </w:tc>
              <w:tc>
                <w:tcPr>
                  <w:tcW w:w="681" w:type="pct"/>
                  <w:vAlign w:val="center"/>
                </w:tcPr>
                <w:p>
                  <w:pPr>
                    <w:pStyle w:val="22"/>
                    <w:bidi w:val="0"/>
                    <w:rPr>
                      <w:rFonts w:hint="default"/>
                      <w:lang w:val="en-US" w:eastAsia="zh-CN"/>
                    </w:rPr>
                  </w:pPr>
                  <w:r>
                    <w:rPr>
                      <w:rFonts w:hint="default"/>
                      <w:lang w:val="en-US" w:eastAsia="zh-CN"/>
                    </w:rPr>
                    <w:t>80</w:t>
                  </w:r>
                </w:p>
              </w:tc>
              <w:tc>
                <w:tcPr>
                  <w:tcW w:w="950" w:type="pct"/>
                  <w:vMerge w:val="restart"/>
                  <w:vAlign w:val="center"/>
                </w:tcPr>
                <w:p>
                  <w:pPr>
                    <w:pStyle w:val="22"/>
                    <w:bidi w:val="0"/>
                    <w:rPr>
                      <w:rFonts w:hint="default"/>
                      <w:lang w:val="en-US" w:eastAsia="zh-CN"/>
                    </w:rPr>
                  </w:pPr>
                  <w:r>
                    <w:rPr>
                      <w:rFonts w:hint="default"/>
                      <w:lang w:val="en-US" w:eastAsia="zh-CN"/>
                    </w:rPr>
                    <w:t>HW34（废物代码：900-349-34）</w:t>
                  </w: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14</w:t>
                  </w:r>
                </w:p>
              </w:tc>
              <w:tc>
                <w:tcPr>
                  <w:tcW w:w="788" w:type="pct"/>
                  <w:vAlign w:val="center"/>
                </w:tcPr>
                <w:p>
                  <w:pPr>
                    <w:pStyle w:val="22"/>
                    <w:bidi w:val="0"/>
                    <w:rPr>
                      <w:rFonts w:hint="default"/>
                      <w:lang w:val="en-US" w:eastAsia="zh-CN"/>
                    </w:rPr>
                  </w:pPr>
                  <w:r>
                    <w:rPr>
                      <w:rFonts w:hint="default"/>
                      <w:lang w:val="en-US" w:eastAsia="zh-CN"/>
                    </w:rPr>
                    <w:t>试剂硫酸</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30</w:t>
                  </w:r>
                </w:p>
              </w:tc>
              <w:tc>
                <w:tcPr>
                  <w:tcW w:w="681" w:type="pct"/>
                  <w:vAlign w:val="center"/>
                </w:tcPr>
                <w:p>
                  <w:pPr>
                    <w:pStyle w:val="22"/>
                    <w:bidi w:val="0"/>
                    <w:rPr>
                      <w:rFonts w:hint="default"/>
                      <w:lang w:val="en-US" w:eastAsia="zh-CN"/>
                    </w:rPr>
                  </w:pPr>
                  <w:r>
                    <w:rPr>
                      <w:rFonts w:hint="default"/>
                      <w:lang w:val="en-US" w:eastAsia="zh-CN"/>
                    </w:rPr>
                    <w:t>60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15</w:t>
                  </w:r>
                </w:p>
              </w:tc>
              <w:tc>
                <w:tcPr>
                  <w:tcW w:w="788" w:type="pct"/>
                  <w:vAlign w:val="center"/>
                </w:tcPr>
                <w:p>
                  <w:pPr>
                    <w:pStyle w:val="22"/>
                    <w:bidi w:val="0"/>
                    <w:rPr>
                      <w:rFonts w:hint="default"/>
                      <w:lang w:val="en-US" w:eastAsia="zh-CN"/>
                    </w:rPr>
                  </w:pPr>
                  <w:r>
                    <w:rPr>
                      <w:rFonts w:hint="default"/>
                      <w:lang w:val="en-US" w:eastAsia="zh-CN"/>
                    </w:rPr>
                    <w:t>31%盐酸</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20</w:t>
                  </w:r>
                </w:p>
              </w:tc>
              <w:tc>
                <w:tcPr>
                  <w:tcW w:w="681" w:type="pct"/>
                  <w:vAlign w:val="center"/>
                </w:tcPr>
                <w:p>
                  <w:pPr>
                    <w:pStyle w:val="22"/>
                    <w:bidi w:val="0"/>
                    <w:rPr>
                      <w:rFonts w:hint="default"/>
                      <w:lang w:val="en-US" w:eastAsia="zh-CN"/>
                    </w:rPr>
                  </w:pPr>
                  <w:r>
                    <w:rPr>
                      <w:rFonts w:hint="default"/>
                      <w:lang w:val="en-US" w:eastAsia="zh-CN"/>
                    </w:rPr>
                    <w:t>40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16</w:t>
                  </w:r>
                </w:p>
              </w:tc>
              <w:tc>
                <w:tcPr>
                  <w:tcW w:w="788" w:type="pct"/>
                  <w:vAlign w:val="center"/>
                </w:tcPr>
                <w:p>
                  <w:pPr>
                    <w:pStyle w:val="22"/>
                    <w:bidi w:val="0"/>
                    <w:rPr>
                      <w:rFonts w:hint="default"/>
                      <w:lang w:val="en-US" w:eastAsia="zh-CN"/>
                    </w:rPr>
                  </w:pPr>
                  <w:r>
                    <w:rPr>
                      <w:rFonts w:hint="default"/>
                      <w:lang w:val="en-US" w:eastAsia="zh-CN"/>
                    </w:rPr>
                    <w:t>85%磷酸</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10</w:t>
                  </w:r>
                </w:p>
              </w:tc>
              <w:tc>
                <w:tcPr>
                  <w:tcW w:w="681" w:type="pct"/>
                  <w:vAlign w:val="center"/>
                </w:tcPr>
                <w:p>
                  <w:pPr>
                    <w:pStyle w:val="22"/>
                    <w:bidi w:val="0"/>
                    <w:rPr>
                      <w:rFonts w:hint="default"/>
                      <w:lang w:val="en-US" w:eastAsia="zh-CN"/>
                    </w:rPr>
                  </w:pPr>
                  <w:r>
                    <w:rPr>
                      <w:rFonts w:hint="default"/>
                      <w:lang w:val="en-US" w:eastAsia="zh-CN"/>
                    </w:rPr>
                    <w:t>20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17</w:t>
                  </w:r>
                </w:p>
              </w:tc>
              <w:tc>
                <w:tcPr>
                  <w:tcW w:w="788" w:type="pct"/>
                  <w:vAlign w:val="center"/>
                </w:tcPr>
                <w:p>
                  <w:pPr>
                    <w:pStyle w:val="22"/>
                    <w:bidi w:val="0"/>
                    <w:rPr>
                      <w:rFonts w:hint="default"/>
                      <w:lang w:val="en-US" w:eastAsia="zh-CN"/>
                    </w:rPr>
                  </w:pPr>
                  <w:r>
                    <w:rPr>
                      <w:rFonts w:hint="default"/>
                      <w:lang w:val="en-US" w:eastAsia="zh-CN"/>
                    </w:rPr>
                    <w:t>40%氢氟酸</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20</w:t>
                  </w:r>
                </w:p>
              </w:tc>
              <w:tc>
                <w:tcPr>
                  <w:tcW w:w="681" w:type="pct"/>
                  <w:vAlign w:val="center"/>
                </w:tcPr>
                <w:p>
                  <w:pPr>
                    <w:pStyle w:val="22"/>
                    <w:bidi w:val="0"/>
                    <w:rPr>
                      <w:rFonts w:hint="default"/>
                      <w:lang w:val="en-US" w:eastAsia="zh-CN"/>
                    </w:rPr>
                  </w:pPr>
                  <w:r>
                    <w:rPr>
                      <w:rFonts w:hint="default"/>
                      <w:lang w:val="en-US" w:eastAsia="zh-CN"/>
                    </w:rPr>
                    <w:t>40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18</w:t>
                  </w:r>
                </w:p>
              </w:tc>
              <w:tc>
                <w:tcPr>
                  <w:tcW w:w="788" w:type="pct"/>
                  <w:vAlign w:val="center"/>
                </w:tcPr>
                <w:p>
                  <w:pPr>
                    <w:pStyle w:val="22"/>
                    <w:bidi w:val="0"/>
                    <w:rPr>
                      <w:rFonts w:hint="default"/>
                      <w:lang w:val="en-US" w:eastAsia="zh-CN"/>
                    </w:rPr>
                  </w:pPr>
                  <w:r>
                    <w:rPr>
                      <w:rFonts w:hint="default"/>
                      <w:lang w:val="en-US" w:eastAsia="zh-CN"/>
                    </w:rPr>
                    <w:t>草酸</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10</w:t>
                  </w:r>
                </w:p>
              </w:tc>
              <w:tc>
                <w:tcPr>
                  <w:tcW w:w="681" w:type="pct"/>
                  <w:vAlign w:val="center"/>
                </w:tcPr>
                <w:p>
                  <w:pPr>
                    <w:pStyle w:val="22"/>
                    <w:bidi w:val="0"/>
                    <w:rPr>
                      <w:rFonts w:hint="default"/>
                      <w:lang w:val="en-US" w:eastAsia="zh-CN"/>
                    </w:rPr>
                  </w:pPr>
                  <w:r>
                    <w:rPr>
                      <w:rFonts w:hint="default"/>
                      <w:lang w:val="en-US" w:eastAsia="zh-CN"/>
                    </w:rPr>
                    <w:t>20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19</w:t>
                  </w:r>
                </w:p>
              </w:tc>
              <w:tc>
                <w:tcPr>
                  <w:tcW w:w="788" w:type="pct"/>
                  <w:vAlign w:val="center"/>
                </w:tcPr>
                <w:p>
                  <w:pPr>
                    <w:pStyle w:val="22"/>
                    <w:bidi w:val="0"/>
                    <w:rPr>
                      <w:rFonts w:hint="default"/>
                      <w:lang w:val="en-US" w:eastAsia="zh-CN"/>
                    </w:rPr>
                  </w:pPr>
                  <w:r>
                    <w:rPr>
                      <w:rFonts w:hint="default"/>
                      <w:lang w:val="en-US" w:eastAsia="zh-CN"/>
                    </w:rPr>
                    <w:t>硝酸</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30</w:t>
                  </w:r>
                </w:p>
              </w:tc>
              <w:tc>
                <w:tcPr>
                  <w:tcW w:w="681" w:type="pct"/>
                  <w:vAlign w:val="center"/>
                </w:tcPr>
                <w:p>
                  <w:pPr>
                    <w:pStyle w:val="22"/>
                    <w:bidi w:val="0"/>
                    <w:rPr>
                      <w:rFonts w:hint="default"/>
                      <w:lang w:val="en-US" w:eastAsia="zh-CN"/>
                    </w:rPr>
                  </w:pPr>
                  <w:r>
                    <w:rPr>
                      <w:rFonts w:hint="default"/>
                      <w:lang w:val="en-US" w:eastAsia="zh-CN"/>
                    </w:rPr>
                    <w:t>60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20</w:t>
                  </w:r>
                </w:p>
              </w:tc>
              <w:tc>
                <w:tcPr>
                  <w:tcW w:w="788" w:type="pct"/>
                  <w:vAlign w:val="center"/>
                </w:tcPr>
                <w:p>
                  <w:pPr>
                    <w:pStyle w:val="22"/>
                    <w:bidi w:val="0"/>
                    <w:rPr>
                      <w:rFonts w:hint="default"/>
                      <w:lang w:val="en-US" w:eastAsia="zh-CN"/>
                    </w:rPr>
                  </w:pPr>
                  <w:r>
                    <w:rPr>
                      <w:rFonts w:hint="default"/>
                      <w:lang w:val="en-US" w:eastAsia="zh-CN"/>
                    </w:rPr>
                    <w:t>42%氢氧化钠</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30</w:t>
                  </w:r>
                </w:p>
              </w:tc>
              <w:tc>
                <w:tcPr>
                  <w:tcW w:w="681" w:type="pct"/>
                  <w:vAlign w:val="center"/>
                </w:tcPr>
                <w:p>
                  <w:pPr>
                    <w:pStyle w:val="22"/>
                    <w:bidi w:val="0"/>
                    <w:rPr>
                      <w:rFonts w:hint="default"/>
                      <w:lang w:val="en-US" w:eastAsia="zh-CN"/>
                    </w:rPr>
                  </w:pPr>
                  <w:r>
                    <w:rPr>
                      <w:rFonts w:hint="default"/>
                      <w:lang w:val="en-US" w:eastAsia="zh-CN"/>
                    </w:rPr>
                    <w:t>60</w:t>
                  </w:r>
                </w:p>
              </w:tc>
              <w:tc>
                <w:tcPr>
                  <w:tcW w:w="950" w:type="pct"/>
                  <w:vMerge w:val="restart"/>
                  <w:vAlign w:val="center"/>
                </w:tcPr>
                <w:p>
                  <w:pPr>
                    <w:pStyle w:val="22"/>
                    <w:bidi w:val="0"/>
                    <w:rPr>
                      <w:rFonts w:hint="default"/>
                      <w:lang w:val="en-US" w:eastAsia="zh-CN"/>
                    </w:rPr>
                  </w:pPr>
                  <w:r>
                    <w:rPr>
                      <w:rFonts w:hint="default"/>
                      <w:lang w:val="en-US" w:eastAsia="zh-CN"/>
                    </w:rPr>
                    <w:t>HW35(废物代码:900-399-35)</w:t>
                  </w: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21</w:t>
                  </w:r>
                </w:p>
              </w:tc>
              <w:tc>
                <w:tcPr>
                  <w:tcW w:w="788" w:type="pct"/>
                  <w:vAlign w:val="center"/>
                </w:tcPr>
                <w:p>
                  <w:pPr>
                    <w:pStyle w:val="22"/>
                    <w:bidi w:val="0"/>
                    <w:rPr>
                      <w:rFonts w:hint="default"/>
                      <w:lang w:val="en-US" w:eastAsia="zh-CN"/>
                    </w:rPr>
                  </w:pPr>
                  <w:r>
                    <w:rPr>
                      <w:rFonts w:hint="default"/>
                      <w:lang w:val="en-US" w:eastAsia="zh-CN"/>
                    </w:rPr>
                    <w:t>液碱</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20</w:t>
                  </w:r>
                </w:p>
              </w:tc>
              <w:tc>
                <w:tcPr>
                  <w:tcW w:w="681" w:type="pct"/>
                  <w:vAlign w:val="center"/>
                </w:tcPr>
                <w:p>
                  <w:pPr>
                    <w:pStyle w:val="22"/>
                    <w:bidi w:val="0"/>
                    <w:rPr>
                      <w:rFonts w:hint="default"/>
                      <w:lang w:val="en-US" w:eastAsia="zh-CN"/>
                    </w:rPr>
                  </w:pPr>
                  <w:r>
                    <w:rPr>
                      <w:rFonts w:hint="default"/>
                      <w:lang w:val="en-US" w:eastAsia="zh-CN"/>
                    </w:rPr>
                    <w:t>40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22</w:t>
                  </w:r>
                </w:p>
              </w:tc>
              <w:tc>
                <w:tcPr>
                  <w:tcW w:w="788" w:type="pct"/>
                  <w:vAlign w:val="center"/>
                </w:tcPr>
                <w:p>
                  <w:pPr>
                    <w:pStyle w:val="22"/>
                    <w:bidi w:val="0"/>
                    <w:rPr>
                      <w:rFonts w:hint="default"/>
                      <w:lang w:val="en-US" w:eastAsia="zh-CN"/>
                    </w:rPr>
                  </w:pPr>
                  <w:r>
                    <w:rPr>
                      <w:rFonts w:hint="default"/>
                      <w:lang w:val="en-US" w:eastAsia="zh-CN"/>
                    </w:rPr>
                    <w:t>氨水</w:t>
                  </w:r>
                </w:p>
              </w:tc>
              <w:tc>
                <w:tcPr>
                  <w:tcW w:w="654" w:type="pct"/>
                  <w:vMerge w:val="continue"/>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20</w:t>
                  </w:r>
                </w:p>
              </w:tc>
              <w:tc>
                <w:tcPr>
                  <w:tcW w:w="681" w:type="pct"/>
                  <w:vAlign w:val="center"/>
                </w:tcPr>
                <w:p>
                  <w:pPr>
                    <w:pStyle w:val="22"/>
                    <w:bidi w:val="0"/>
                    <w:rPr>
                      <w:rFonts w:hint="default"/>
                      <w:lang w:val="en-US" w:eastAsia="zh-CN"/>
                    </w:rPr>
                  </w:pPr>
                  <w:r>
                    <w:rPr>
                      <w:rFonts w:hint="default"/>
                      <w:lang w:val="en-US" w:eastAsia="zh-CN"/>
                    </w:rPr>
                    <w:t>40</w:t>
                  </w:r>
                </w:p>
              </w:tc>
              <w:tc>
                <w:tcPr>
                  <w:tcW w:w="950" w:type="pct"/>
                  <w:vMerge w:val="continue"/>
                  <w:vAlign w:val="center"/>
                </w:tcPr>
                <w:p>
                  <w:pPr>
                    <w:pStyle w:val="22"/>
                    <w:bidi w:val="0"/>
                    <w:rPr>
                      <w:rFonts w:hint="default"/>
                      <w:lang w:val="en-US" w:eastAsia="zh-CN"/>
                    </w:rPr>
                  </w:pPr>
                </w:p>
              </w:tc>
              <w:tc>
                <w:tcPr>
                  <w:tcW w:w="716"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8" w:type="pct"/>
                  <w:vAlign w:val="center"/>
                </w:tcPr>
                <w:p>
                  <w:pPr>
                    <w:pStyle w:val="22"/>
                    <w:bidi w:val="0"/>
                    <w:rPr>
                      <w:rFonts w:hint="default"/>
                      <w:lang w:val="en-US" w:eastAsia="zh-CN"/>
                    </w:rPr>
                  </w:pPr>
                  <w:r>
                    <w:rPr>
                      <w:rFonts w:hint="eastAsia"/>
                      <w:lang w:val="en-US" w:eastAsia="zh-CN"/>
                    </w:rPr>
                    <w:t>23</w:t>
                  </w:r>
                </w:p>
              </w:tc>
              <w:tc>
                <w:tcPr>
                  <w:tcW w:w="788" w:type="pct"/>
                  <w:vAlign w:val="center"/>
                </w:tcPr>
                <w:p>
                  <w:pPr>
                    <w:pStyle w:val="22"/>
                    <w:bidi w:val="0"/>
                    <w:rPr>
                      <w:rFonts w:hint="default"/>
                      <w:lang w:val="en-US" w:eastAsia="zh-CN"/>
                    </w:rPr>
                  </w:pPr>
                  <w:r>
                    <w:rPr>
                      <w:rFonts w:hint="default"/>
                      <w:lang w:val="en-US" w:eastAsia="zh-CN"/>
                    </w:rPr>
                    <w:t>油品</w:t>
                  </w:r>
                </w:p>
              </w:tc>
              <w:tc>
                <w:tcPr>
                  <w:tcW w:w="654" w:type="pct"/>
                  <w:vAlign w:val="center"/>
                </w:tcPr>
                <w:p>
                  <w:pPr>
                    <w:pStyle w:val="22"/>
                    <w:bidi w:val="0"/>
                    <w:rPr>
                      <w:rFonts w:hint="default"/>
                      <w:lang w:val="en-US" w:eastAsia="zh-CN"/>
                    </w:rPr>
                  </w:pPr>
                </w:p>
              </w:tc>
              <w:tc>
                <w:tcPr>
                  <w:tcW w:w="770" w:type="pct"/>
                  <w:vAlign w:val="center"/>
                </w:tcPr>
                <w:p>
                  <w:pPr>
                    <w:pStyle w:val="22"/>
                    <w:bidi w:val="0"/>
                    <w:rPr>
                      <w:rFonts w:hint="default"/>
                      <w:lang w:val="en-US" w:eastAsia="zh-CN"/>
                    </w:rPr>
                  </w:pPr>
                  <w:r>
                    <w:rPr>
                      <w:rFonts w:hint="default"/>
                      <w:lang w:val="en-US" w:eastAsia="zh-CN"/>
                    </w:rPr>
                    <w:t>40</w:t>
                  </w:r>
                </w:p>
              </w:tc>
              <w:tc>
                <w:tcPr>
                  <w:tcW w:w="681" w:type="pct"/>
                  <w:vAlign w:val="center"/>
                </w:tcPr>
                <w:p>
                  <w:pPr>
                    <w:pStyle w:val="22"/>
                    <w:bidi w:val="0"/>
                    <w:rPr>
                      <w:rFonts w:hint="default"/>
                      <w:lang w:val="en-US" w:eastAsia="zh-CN"/>
                    </w:rPr>
                  </w:pPr>
                  <w:r>
                    <w:rPr>
                      <w:rFonts w:hint="default"/>
                      <w:lang w:val="en-US" w:eastAsia="zh-CN"/>
                    </w:rPr>
                    <w:t>80</w:t>
                  </w:r>
                </w:p>
              </w:tc>
              <w:tc>
                <w:tcPr>
                  <w:tcW w:w="950" w:type="pct"/>
                  <w:vAlign w:val="center"/>
                </w:tcPr>
                <w:p>
                  <w:pPr>
                    <w:pStyle w:val="22"/>
                    <w:bidi w:val="0"/>
                    <w:rPr>
                      <w:rFonts w:hint="default"/>
                      <w:lang w:val="en-US" w:eastAsia="zh-CN"/>
                    </w:rPr>
                  </w:pPr>
                  <w:r>
                    <w:rPr>
                      <w:rFonts w:hint="default"/>
                      <w:lang w:val="en-US" w:eastAsia="zh-CN"/>
                    </w:rPr>
                    <w:t>HW08(废物代码:251-001-08)</w:t>
                  </w:r>
                </w:p>
              </w:tc>
              <w:tc>
                <w:tcPr>
                  <w:tcW w:w="716" w:type="pct"/>
                  <w:vMerge w:val="continue"/>
                  <w:vAlign w:val="center"/>
                </w:tcPr>
                <w:p>
                  <w:pPr>
                    <w:pStyle w:val="22"/>
                    <w:bidi w:val="0"/>
                    <w:rPr>
                      <w:rFonts w:hint="default"/>
                      <w:lang w:val="en-US" w:eastAsia="zh-CN"/>
                    </w:rPr>
                  </w:pPr>
                </w:p>
              </w:tc>
            </w:tr>
          </w:tbl>
          <w:p>
            <w:pPr>
              <w:pStyle w:val="8"/>
              <w:rPr>
                <w:rFonts w:hint="default" w:ascii="Times New Roman" w:hAnsi="Times New Roman" w:cs="Times New Roman"/>
                <w:lang w:val="en-US" w:eastAsia="zh-CN"/>
              </w:rPr>
            </w:pPr>
            <w:r>
              <w:rPr>
                <w:rFonts w:hint="default" w:ascii="Times New Roman" w:hAnsi="Times New Roman" w:cs="Times New Roman"/>
                <w:lang w:val="en-US" w:eastAsia="zh-CN"/>
              </w:rPr>
              <w:t>(2)表面活性剂废包装</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项目使用的非离子表面活性剂会产生废包装，产生量约0.6t</w:t>
            </w:r>
            <w:r>
              <w:rPr>
                <w:rFonts w:hint="eastAsia" w:ascii="Times New Roman" w:hAnsi="Times New Roman" w:cs="Times New Roman"/>
                <w:lang w:val="en-US" w:eastAsia="zh-CN"/>
              </w:rPr>
              <w:t>/</w:t>
            </w:r>
            <w:r>
              <w:rPr>
                <w:rFonts w:hint="default" w:ascii="Times New Roman" w:hAnsi="Times New Roman" w:cs="Times New Roman"/>
                <w:lang w:val="en-US" w:eastAsia="zh-CN"/>
              </w:rPr>
              <w:t>a，收集后定期交由</w:t>
            </w:r>
            <w:r>
              <w:rPr>
                <w:rFonts w:hint="eastAsia" w:ascii="Times New Roman" w:hAnsi="Times New Roman" w:cs="Times New Roman"/>
                <w:lang w:val="en-US" w:eastAsia="zh-CN"/>
              </w:rPr>
              <w:t>环卫部门统一处置</w:t>
            </w:r>
            <w:r>
              <w:rPr>
                <w:rFonts w:hint="default" w:ascii="Times New Roman" w:hAnsi="Times New Roman" w:cs="Times New Roman"/>
                <w:lang w:val="en-US" w:eastAsia="zh-CN"/>
              </w:rPr>
              <w:t>。</w:t>
            </w:r>
          </w:p>
          <w:p>
            <w:pPr>
              <w:rPr>
                <w:rFonts w:hint="default" w:ascii="Times New Roman" w:hAnsi="Times New Roman" w:cs="Times New Roman"/>
                <w:lang w:val="en-US" w:eastAsia="zh-CN"/>
              </w:rPr>
            </w:pPr>
            <w:r>
              <w:rPr>
                <w:rFonts w:hint="default" w:ascii="Times New Roman" w:hAnsi="Times New Roman" w:cs="Times New Roman"/>
                <w:lang w:val="en-US" w:eastAsia="zh-CN"/>
              </w:rPr>
              <w:t>（3）废活性炭</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项目废气采取</w:t>
            </w:r>
            <w:r>
              <w:rPr>
                <w:rFonts w:hint="eastAsia" w:ascii="Times New Roman" w:hAnsi="Times New Roman" w:cs="Times New Roman"/>
                <w:lang w:val="en-US" w:eastAsia="zh-CN"/>
              </w:rPr>
              <w:t>碱喷淋+干式过滤棉+二级蜂窝状活性炭</w:t>
            </w:r>
            <w:r>
              <w:rPr>
                <w:rFonts w:hint="default" w:ascii="Times New Roman" w:hAnsi="Times New Roman" w:cs="Times New Roman"/>
                <w:lang w:val="en-US" w:eastAsia="zh-CN"/>
              </w:rPr>
              <w:t>处理工艺，活性炭吸附装置中的活性炭吸附至饱和后需更换。根据工程分析可知，本项目活性炭吸装置</w:t>
            </w:r>
            <w:r>
              <w:rPr>
                <w:rFonts w:hint="eastAsia" w:ascii="Times New Roman" w:hAnsi="Times New Roman" w:cs="Times New Roman"/>
                <w:lang w:val="en-US" w:eastAsia="zh-CN"/>
              </w:rPr>
              <w:t>对废气的吸附量约</w:t>
            </w:r>
            <w:r>
              <w:rPr>
                <w:rFonts w:hint="default" w:ascii="Times New Roman" w:hAnsi="Times New Roman" w:cs="Times New Roman"/>
                <w:lang w:val="en-US" w:eastAsia="zh-CN"/>
              </w:rPr>
              <w:t>为</w:t>
            </w:r>
            <w:r>
              <w:rPr>
                <w:rFonts w:hint="eastAsia" w:ascii="Times New Roman" w:hAnsi="Times New Roman" w:cs="Times New Roman"/>
                <w:lang w:val="en-US" w:eastAsia="zh-CN"/>
              </w:rPr>
              <w:t>219.7kg/</w:t>
            </w:r>
            <w:r>
              <w:rPr>
                <w:rFonts w:hint="default" w:ascii="Times New Roman" w:hAnsi="Times New Roman" w:cs="Times New Roman"/>
                <w:lang w:val="en-US" w:eastAsia="zh-CN"/>
              </w:rPr>
              <w:t>a。</w:t>
            </w:r>
            <w:r>
              <w:rPr>
                <w:rFonts w:hint="eastAsia" w:ascii="Times New Roman" w:hAnsi="Times New Roman" w:cs="Times New Roman"/>
                <w:lang w:val="en-US" w:eastAsia="zh-CN"/>
              </w:rPr>
              <w:t>本项目设置2个活性炭吸附箱，每个吸附箱装碳量为1m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w:t>
            </w:r>
            <w:r>
              <w:rPr>
                <w:rFonts w:hint="default" w:ascii="Times New Roman" w:hAnsi="Times New Roman" w:cs="Times New Roman"/>
                <w:lang w:val="en-US" w:eastAsia="zh-CN"/>
              </w:rPr>
              <w:t>密度按450kg/m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，因此单个活性炭吸附箱内需填装活性炭量为</w:t>
            </w:r>
            <w:r>
              <w:rPr>
                <w:rFonts w:hint="eastAsia" w:ascii="Times New Roman" w:hAnsi="Times New Roman" w:cs="Times New Roman"/>
                <w:lang w:val="en-US" w:eastAsia="zh-CN"/>
              </w:rPr>
              <w:t>0.45</w:t>
            </w:r>
            <w:r>
              <w:rPr>
                <w:rFonts w:hint="default" w:ascii="Times New Roman" w:hAnsi="Times New Roman" w:cs="Times New Roman"/>
                <w:lang w:val="en-US" w:eastAsia="zh-CN"/>
              </w:rPr>
              <w:t>t</w:t>
            </w:r>
            <w:r>
              <w:rPr>
                <w:rFonts w:hint="eastAsia" w:ascii="Times New Roman" w:hAnsi="Times New Roman" w:cs="Times New Roman"/>
                <w:lang w:val="en-US" w:eastAsia="zh-CN"/>
              </w:rPr>
              <w:t>，总装填量为0.9t</w:t>
            </w:r>
            <w:r>
              <w:rPr>
                <w:rFonts w:hint="default" w:ascii="Times New Roman" w:hAnsi="Times New Roman" w:cs="Times New Roman"/>
                <w:lang w:val="en-US" w:eastAsia="zh-CN"/>
              </w:rPr>
              <w:t>。为保证活性炭处理效率，根据《简明通风设计手册》，活性炭的有效吸附量为qe=0.2kg/kg活性炭，因此，</w:t>
            </w:r>
            <w:r>
              <w:rPr>
                <w:rFonts w:hint="eastAsia" w:ascii="Times New Roman" w:hAnsi="Times New Roman" w:cs="Times New Roman"/>
                <w:lang w:val="en-US" w:eastAsia="zh-CN"/>
              </w:rPr>
              <w:t>项目活性炭吸附箱可吸附180kg废气，则</w:t>
            </w:r>
            <w:r>
              <w:rPr>
                <w:rFonts w:hint="default" w:ascii="Times New Roman" w:hAnsi="Times New Roman" w:cs="Times New Roman"/>
                <w:lang w:val="en-US" w:eastAsia="zh-CN"/>
              </w:rPr>
              <w:t>一年</w:t>
            </w:r>
            <w:r>
              <w:rPr>
                <w:rFonts w:hint="eastAsia" w:ascii="Times New Roman" w:hAnsi="Times New Roman" w:cs="Times New Roman"/>
                <w:lang w:val="en-US" w:eastAsia="zh-CN"/>
              </w:rPr>
              <w:t>需</w:t>
            </w:r>
            <w:r>
              <w:rPr>
                <w:rFonts w:hint="default" w:ascii="Times New Roman" w:hAnsi="Times New Roman" w:cs="Times New Roman"/>
                <w:lang w:val="en-US" w:eastAsia="zh-CN"/>
              </w:rPr>
              <w:t>更换</w:t>
            </w:r>
            <w:r>
              <w:rPr>
                <w:rFonts w:hint="eastAsia" w:ascii="Times New Roman" w:hAnsi="Times New Roman" w:cs="Times New Roman"/>
                <w:lang w:val="en-US" w:eastAsia="zh-CN"/>
              </w:rPr>
              <w:t>2</w:t>
            </w:r>
            <w:r>
              <w:rPr>
                <w:rFonts w:hint="default" w:ascii="Times New Roman" w:hAnsi="Times New Roman" w:cs="Times New Roman"/>
                <w:lang w:val="en-US" w:eastAsia="zh-CN"/>
              </w:rPr>
              <w:t>次活性炭。废活性炭产生量</w:t>
            </w:r>
            <w:r>
              <w:rPr>
                <w:rFonts w:hint="eastAsia" w:ascii="Times New Roman" w:hAnsi="Times New Roman" w:cs="Times New Roman"/>
                <w:lang w:val="en-US" w:eastAsia="zh-CN"/>
              </w:rPr>
              <w:t>约</w:t>
            </w:r>
            <w:r>
              <w:rPr>
                <w:rFonts w:hint="default" w:ascii="Times New Roman" w:hAnsi="Times New Roman" w:cs="Times New Roman"/>
                <w:lang w:val="en-US" w:eastAsia="zh-CN"/>
              </w:rPr>
              <w:t>为</w:t>
            </w:r>
            <w:r>
              <w:rPr>
                <w:rFonts w:hint="eastAsia" w:ascii="Times New Roman" w:hAnsi="Times New Roman" w:cs="Times New Roman"/>
                <w:lang w:val="en-US" w:eastAsia="zh-CN"/>
              </w:rPr>
              <w:t>1.12</w:t>
            </w:r>
            <w:r>
              <w:rPr>
                <w:rFonts w:hint="default" w:ascii="Times New Roman" w:hAnsi="Times New Roman" w:cs="Times New Roman"/>
                <w:lang w:val="en-US" w:eastAsia="zh-CN"/>
              </w:rPr>
              <w:t>t/a，根据《国家危险废物名录(2021年)》，废活性炭属HW49其他废物，代码为900-039-49，妥善收集后定期交由有资质单位处理。</w:t>
            </w:r>
          </w:p>
          <w:p>
            <w:pPr>
              <w:rPr>
                <w:rFonts w:hint="default" w:ascii="Times New Roman" w:hAnsi="Times New Roman" w:cs="Times New Roman"/>
                <w:lang w:val="en-US" w:eastAsia="zh-CN"/>
              </w:rPr>
            </w:pPr>
            <w:r>
              <w:rPr>
                <w:rFonts w:hint="default" w:ascii="Times New Roman" w:hAnsi="Times New Roman" w:cs="Times New Roman"/>
                <w:lang w:val="en-US" w:eastAsia="zh-CN"/>
              </w:rPr>
              <w:t>(4)污水处理站</w:t>
            </w:r>
            <w:r>
              <w:rPr>
                <w:rFonts w:hint="eastAsia" w:ascii="Times New Roman" w:hAnsi="Times New Roman" w:cs="Times New Roman"/>
                <w:lang w:val="en-US" w:eastAsia="zh-CN"/>
              </w:rPr>
              <w:t>污泥</w:t>
            </w:r>
          </w:p>
          <w:p>
            <w:pPr>
              <w:rPr>
                <w:rFonts w:hint="default" w:ascii="Times New Roman" w:hAnsi="Times New Roman" w:cs="Times New Roman"/>
                <w:lang w:val="en-US" w:eastAsia="zh-CN"/>
              </w:rPr>
            </w:pPr>
            <w:r>
              <w:rPr>
                <w:rFonts w:hint="default" w:ascii="Times New Roman" w:hAnsi="Times New Roman" w:cs="Times New Roman"/>
                <w:lang w:val="en-US" w:eastAsia="zh-CN"/>
              </w:rPr>
              <w:t>本项目污水处理站会产生一定量的</w:t>
            </w:r>
            <w:r>
              <w:rPr>
                <w:rFonts w:hint="eastAsia" w:ascii="Times New Roman" w:hAnsi="Times New Roman" w:cs="Times New Roman"/>
                <w:lang w:val="en-US" w:eastAsia="zh-CN"/>
              </w:rPr>
              <w:t>污泥</w:t>
            </w:r>
            <w:r>
              <w:rPr>
                <w:rFonts w:hint="default" w:ascii="Times New Roman" w:hAnsi="Times New Roman" w:cs="Times New Roman"/>
                <w:lang w:val="en-US" w:eastAsia="zh-CN"/>
              </w:rPr>
              <w:t>。</w:t>
            </w:r>
            <w:r>
              <w:rPr>
                <w:rFonts w:hint="eastAsia" w:ascii="Times New Roman" w:hAnsi="Times New Roman" w:cs="Times New Roman"/>
                <w:lang w:val="en-US" w:eastAsia="zh-CN"/>
              </w:rPr>
              <w:t>污泥</w:t>
            </w:r>
            <w:r>
              <w:rPr>
                <w:rFonts w:hint="default" w:ascii="Times New Roman" w:hAnsi="Times New Roman" w:cs="Times New Roman"/>
                <w:lang w:val="en-US" w:eastAsia="zh-CN"/>
              </w:rPr>
              <w:t>参考照《排污许可证申请与核发技术规范 水处理(试行)》(HJ978-2018)中9.4推荐公式进行核算</w:t>
            </w:r>
          </w:p>
          <w:p>
            <w:pPr>
              <w:rPr>
                <w:rFonts w:hint="default" w:ascii="Times New Roman" w:hAnsi="Times New Roman" w:cs="Times New Roman"/>
                <w:lang w:val="en-US" w:eastAsia="zh-CN"/>
              </w:rPr>
            </w:pPr>
            <w:r>
              <w:rPr>
                <w:rFonts w:hint="default" w:ascii="Times New Roman" w:hAnsi="Times New Roman" w:cs="Times New Roman"/>
                <w:lang w:val="en-US" w:eastAsia="zh-CN"/>
              </w:rPr>
              <w:t>E产生量=1.7×Q×W深×10</w:t>
            </w:r>
            <w:r>
              <w:rPr>
                <w:rFonts w:hint="default" w:ascii="Times New Roman" w:hAnsi="Times New Roman" w:cs="Times New Roman"/>
                <w:vertAlign w:val="superscript"/>
                <w:lang w:val="en-US" w:eastAsia="zh-CN"/>
              </w:rPr>
              <w:t>-4</w:t>
            </w:r>
          </w:p>
          <w:p>
            <w:pPr>
              <w:rPr>
                <w:rFonts w:hint="default" w:ascii="Times New Roman" w:hAnsi="Times New Roman" w:cs="Times New Roman"/>
                <w:lang w:val="en-US" w:eastAsia="zh-CN"/>
              </w:rPr>
            </w:pPr>
            <w:r>
              <w:rPr>
                <w:rFonts w:hint="default" w:ascii="Times New Roman" w:hAnsi="Times New Roman" w:cs="Times New Roman"/>
                <w:lang w:val="en-US" w:eastAsia="zh-CN"/>
              </w:rPr>
              <w:t>E-产生量—污水处理过程中产生的污泥量，以干泥计，t;</w:t>
            </w:r>
          </w:p>
          <w:p>
            <w:pPr>
              <w:rPr>
                <w:rFonts w:hint="default" w:ascii="Times New Roman" w:hAnsi="Times New Roman" w:cs="Times New Roman"/>
                <w:lang w:val="en-US" w:eastAsia="zh-CN"/>
              </w:rPr>
            </w:pPr>
            <w:r>
              <w:rPr>
                <w:rFonts w:hint="default" w:ascii="Times New Roman" w:hAnsi="Times New Roman" w:cs="Times New Roman"/>
                <w:lang w:val="en-US" w:eastAsia="zh-CN"/>
              </w:rPr>
              <w:t>Q-核算时段内排污单位废水排放量，m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，具有有效出水口实测值按实测值计无有效出水口实测值按进水口实测值计，无有效进水口实测值按协议进水水量计，项目综合污水处理站废水量为</w:t>
            </w:r>
            <w:r>
              <w:rPr>
                <w:rFonts w:hint="eastAsia" w:cs="Times New Roman"/>
                <w:lang w:val="en-US" w:eastAsia="zh-CN"/>
              </w:rPr>
              <w:t>3564</w:t>
            </w:r>
            <w:r>
              <w:rPr>
                <w:rFonts w:hint="default" w:ascii="Times New Roman" w:hAnsi="Times New Roman" w:cs="Times New Roman"/>
                <w:lang w:val="en-US" w:eastAsia="zh-CN"/>
              </w:rPr>
              <w:t>t/a;</w:t>
            </w:r>
          </w:p>
          <w:p>
            <w:pPr>
              <w:rPr>
                <w:rFonts w:hint="default" w:ascii="Times New Roman" w:hAnsi="Times New Roman" w:cs="Times New Roman"/>
                <w:lang w:val="en-US" w:eastAsia="zh-CN"/>
              </w:rPr>
            </w:pPr>
            <w:r>
              <w:rPr>
                <w:rFonts w:hint="default" w:ascii="Times New Roman" w:hAnsi="Times New Roman" w:cs="Times New Roman"/>
                <w:lang w:val="en-US" w:eastAsia="zh-CN"/>
              </w:rPr>
              <w:t>W深—有深度处理工艺(添加化学药剂)时按</w:t>
            </w:r>
            <w:r>
              <w:rPr>
                <w:rFonts w:hint="eastAsia" w:ascii="Times New Roman" w:hAnsi="Times New Roman" w:cs="Times New Roman"/>
                <w:lang w:val="en-US" w:eastAsia="zh-CN"/>
              </w:rPr>
              <w:t>2</w:t>
            </w:r>
            <w:r>
              <w:rPr>
                <w:rFonts w:hint="default" w:ascii="Times New Roman" w:hAnsi="Times New Roman" w:cs="Times New Roman"/>
                <w:lang w:val="en-US" w:eastAsia="zh-CN"/>
              </w:rPr>
              <w:t>计，无深度处理工艺时按1计算计。</w:t>
            </w:r>
          </w:p>
          <w:p>
            <w:pPr>
              <w:rPr>
                <w:rFonts w:hint="default" w:ascii="Times New Roman" w:hAnsi="Times New Roman" w:cs="Times New Roman"/>
                <w:lang w:val="en-US" w:eastAsia="zh-CN"/>
              </w:rPr>
            </w:pPr>
            <w:r>
              <w:rPr>
                <w:rFonts w:hint="default" w:ascii="Times New Roman" w:hAnsi="Times New Roman" w:cs="Times New Roman"/>
                <w:lang w:val="en-US" w:eastAsia="zh-CN"/>
              </w:rPr>
              <w:t>则E产生=1.7×</w:t>
            </w:r>
            <w:r>
              <w:rPr>
                <w:rFonts w:hint="eastAsia" w:cs="Times New Roman"/>
                <w:lang w:val="en-US" w:eastAsia="zh-CN"/>
              </w:rPr>
              <w:t>3564</w:t>
            </w:r>
            <w:r>
              <w:rPr>
                <w:rFonts w:hint="default" w:ascii="Times New Roman" w:hAnsi="Times New Roman" w:cs="Times New Roman"/>
                <w:lang w:val="en-US" w:eastAsia="zh-CN"/>
              </w:rPr>
              <w:t>t/a×1×10</w:t>
            </w:r>
            <w:r>
              <w:rPr>
                <w:rFonts w:hint="default" w:ascii="Times New Roman" w:hAnsi="Times New Roman" w:cs="Times New Roman"/>
                <w:vertAlign w:val="superscript"/>
                <w:lang w:val="en-US" w:eastAsia="zh-CN"/>
              </w:rPr>
              <w:t>-4</w:t>
            </w:r>
            <w:r>
              <w:rPr>
                <w:rFonts w:hint="default" w:ascii="Times New Roman" w:hAnsi="Times New Roman" w:cs="Times New Roman"/>
                <w:lang w:val="en-US" w:eastAsia="zh-CN"/>
              </w:rPr>
              <w:t>=</w:t>
            </w:r>
            <w:r>
              <w:rPr>
                <w:rFonts w:hint="eastAsia" w:cs="Times New Roman"/>
                <w:lang w:val="en-US" w:eastAsia="zh-CN"/>
              </w:rPr>
              <w:t>0.61</w:t>
            </w:r>
            <w:r>
              <w:rPr>
                <w:rFonts w:hint="default" w:ascii="Times New Roman" w:hAnsi="Times New Roman" w:cs="Times New Roman"/>
                <w:lang w:val="en-US" w:eastAsia="zh-CN"/>
              </w:rPr>
              <w:t>t/a</w:t>
            </w:r>
            <w:r>
              <w:rPr>
                <w:rFonts w:hint="eastAsia" w:ascii="Times New Roman" w:hAnsi="Times New Roman" w:cs="Times New Roman"/>
                <w:lang w:val="en-US" w:eastAsia="zh-CN"/>
              </w:rPr>
              <w:t>；</w:t>
            </w:r>
            <w:r>
              <w:rPr>
                <w:rFonts w:hint="default" w:ascii="Times New Roman" w:hAnsi="Times New Roman" w:cs="Times New Roman"/>
                <w:lang w:val="en-US" w:eastAsia="zh-CN"/>
              </w:rPr>
              <w:t>本项目</w:t>
            </w:r>
            <w:r>
              <w:rPr>
                <w:rFonts w:hint="eastAsia" w:ascii="Times New Roman" w:hAnsi="Times New Roman" w:cs="Times New Roman"/>
                <w:lang w:val="en-US" w:eastAsia="zh-CN"/>
              </w:rPr>
              <w:t>污泥</w:t>
            </w:r>
            <w:r>
              <w:rPr>
                <w:rFonts w:hint="default" w:ascii="Times New Roman" w:hAnsi="Times New Roman" w:cs="Times New Roman"/>
                <w:lang w:val="en-US" w:eastAsia="zh-CN"/>
              </w:rPr>
              <w:t>产生量为</w:t>
            </w:r>
            <w:r>
              <w:rPr>
                <w:rFonts w:hint="eastAsia" w:cs="Times New Roman"/>
                <w:lang w:val="en-US" w:eastAsia="zh-CN"/>
              </w:rPr>
              <w:t>0.61</w:t>
            </w:r>
            <w:r>
              <w:rPr>
                <w:rFonts w:hint="default" w:ascii="Times New Roman" w:hAnsi="Times New Roman" w:cs="Times New Roman"/>
                <w:lang w:val="en-US" w:eastAsia="zh-CN"/>
              </w:rPr>
              <w:t>t/a。</w:t>
            </w:r>
            <w:r>
              <w:rPr>
                <w:rFonts w:hint="eastAsia" w:ascii="Times New Roman" w:hAnsi="Times New Roman" w:cs="Times New Roman"/>
                <w:lang w:val="en-US" w:eastAsia="zh-CN"/>
              </w:rPr>
              <w:t>污泥定期清掏，后交由环卫部门统一处置</w:t>
            </w:r>
            <w:r>
              <w:rPr>
                <w:rFonts w:hint="default" w:ascii="Times New Roman" w:hAnsi="Times New Roman" w:cs="Times New Roman"/>
                <w:lang w:val="en-US" w:eastAsia="zh-CN"/>
              </w:rPr>
              <w:t>。</w:t>
            </w:r>
          </w:p>
          <w:p>
            <w:pPr>
              <w:rPr>
                <w:rFonts w:hint="default" w:ascii="Times New Roman" w:hAnsi="Times New Roman" w:cs="Times New Roman"/>
                <w:lang w:val="en-US" w:eastAsia="zh-CN"/>
              </w:rPr>
            </w:pPr>
            <w:r>
              <w:rPr>
                <w:rFonts w:hint="default" w:ascii="Times New Roman" w:hAnsi="Times New Roman" w:cs="Times New Roman"/>
                <w:lang w:val="en-US" w:eastAsia="zh-CN"/>
              </w:rPr>
              <w:t>(5)生活垃圾</w:t>
            </w:r>
          </w:p>
          <w:p>
            <w:pPr>
              <w:rPr>
                <w:rFonts w:hint="default" w:ascii="Times New Roman" w:hAnsi="Times New Roman" w:cs="Times New Roman"/>
                <w:lang w:val="en-US" w:eastAsia="zh-CN"/>
              </w:rPr>
            </w:pPr>
            <w:r>
              <w:rPr>
                <w:rFonts w:hint="default" w:ascii="Times New Roman" w:hAnsi="Times New Roman" w:cs="Times New Roman"/>
                <w:lang w:val="en-US" w:eastAsia="zh-CN"/>
              </w:rPr>
              <w:t>项目生活垃圾主要为员工日常生活、工作中产生的废纸、瓜果皮核等。本项目</w:t>
            </w:r>
            <w:r>
              <w:rPr>
                <w:rFonts w:hint="eastAsia" w:ascii="Times New Roman" w:hAnsi="Times New Roman" w:cs="Times New Roman"/>
                <w:lang w:val="en-US" w:eastAsia="zh-CN"/>
              </w:rPr>
              <w:t>停车场</w:t>
            </w:r>
            <w:r>
              <w:rPr>
                <w:rFonts w:hint="default" w:ascii="Times New Roman" w:hAnsi="Times New Roman" w:cs="Times New Roman"/>
                <w:lang w:val="en-US" w:eastAsia="zh-CN"/>
              </w:rPr>
              <w:t>劳动定员40人，</w:t>
            </w:r>
            <w:r>
              <w:rPr>
                <w:rFonts w:hint="eastAsia" w:ascii="Times New Roman" w:hAnsi="Times New Roman" w:cs="Times New Roman"/>
                <w:lang w:val="en-US" w:eastAsia="zh-CN"/>
              </w:rPr>
              <w:t>消防站总人数57人</w:t>
            </w:r>
            <w:r>
              <w:rPr>
                <w:rFonts w:hint="default" w:ascii="Times New Roman" w:hAnsi="Times New Roman" w:cs="Times New Roman"/>
                <w:lang w:val="en-US" w:eastAsia="zh-CN"/>
              </w:rPr>
              <w:t>。生活垃圾产生量按人均产生 0.5kg/d计，</w:t>
            </w:r>
            <w:r>
              <w:rPr>
                <w:rFonts w:hint="eastAsia" w:ascii="Times New Roman" w:hAnsi="Times New Roman" w:cs="Times New Roman"/>
                <w:lang w:val="en-US" w:eastAsia="zh-CN"/>
              </w:rPr>
              <w:t>则停车场</w:t>
            </w:r>
            <w:r>
              <w:rPr>
                <w:rFonts w:hint="default" w:ascii="Times New Roman" w:hAnsi="Times New Roman" w:cs="Times New Roman"/>
                <w:lang w:val="en-US" w:eastAsia="zh-CN"/>
              </w:rPr>
              <w:t>生活垃圾产生量为 20kg/d(6.0t/a)，</w:t>
            </w:r>
            <w:r>
              <w:rPr>
                <w:rFonts w:hint="eastAsia" w:ascii="Times New Roman" w:hAnsi="Times New Roman" w:cs="Times New Roman"/>
                <w:lang w:val="en-US" w:eastAsia="zh-CN"/>
              </w:rPr>
              <w:t>消防站生活垃圾产生量为28.5kg/d（10.4t/a）；</w:t>
            </w:r>
            <w:r>
              <w:rPr>
                <w:rFonts w:hint="default" w:ascii="Times New Roman" w:hAnsi="Times New Roman" w:cs="Times New Roman"/>
                <w:lang w:val="en-US" w:eastAsia="zh-CN"/>
              </w:rPr>
              <w:t>生活垃圾暂存在专用垃圾桶内，交由环卫部门清运处理</w:t>
            </w:r>
            <w:r>
              <w:rPr>
                <w:rFonts w:hint="eastAsia" w:cs="Times New Roman"/>
                <w:lang w:val="en-US" w:eastAsia="zh-CN"/>
              </w:rPr>
              <w:t>。</w:t>
            </w:r>
          </w:p>
          <w:p>
            <w:pPr>
              <w:rPr>
                <w:rFonts w:hint="eastAsia" w:cs="Times New Roman"/>
                <w:lang w:val="en-US" w:eastAsia="zh-CN"/>
              </w:rPr>
            </w:pPr>
            <w:r>
              <w:rPr>
                <w:rFonts w:hint="eastAsia" w:cs="Times New Roman"/>
                <w:lang w:val="en-US" w:eastAsia="zh-CN"/>
              </w:rPr>
              <w:t>(6)废机油、含油抹布和手套</w:t>
            </w:r>
          </w:p>
          <w:p>
            <w:pPr>
              <w:rPr>
                <w:rFonts w:hint="default" w:cs="Times New Roman"/>
                <w:lang w:val="en-US" w:eastAsia="zh-CN"/>
              </w:rPr>
            </w:pPr>
            <w:r>
              <w:rPr>
                <w:rFonts w:hint="eastAsia" w:cs="Times New Roman"/>
                <w:lang w:val="en-US" w:eastAsia="zh-CN"/>
              </w:rPr>
              <w:t>本项目设置有维修车间，仅进行车辆简单维修，维修过程中将产生废机油、含油抹布和手套，废机油产生量约为0.1t/a，含油抹布及手套产生量约为0.01t/a。产生废机油、含油抹布和手套经分类收集后暂存于危废暂存间，后交由有资质的单位处置。</w:t>
            </w:r>
          </w:p>
          <w:p>
            <w:pPr>
              <w:rPr>
                <w:rFonts w:hint="eastAsia" w:cs="Times New Roman"/>
                <w:lang w:val="en-US" w:eastAsia="zh-CN"/>
              </w:rPr>
            </w:pPr>
            <w:r>
              <w:rPr>
                <w:rFonts w:hint="eastAsia" w:cs="Times New Roman"/>
                <w:lang w:val="en-US" w:eastAsia="zh-CN"/>
              </w:rPr>
              <w:t>(7)隔油池废油</w:t>
            </w:r>
          </w:p>
          <w:p>
            <w:pPr>
              <w:rPr>
                <w:rFonts w:hint="default" w:cs="Times New Roman"/>
                <w:lang w:val="en-US" w:eastAsia="zh-CN"/>
              </w:rPr>
            </w:pPr>
            <w:r>
              <w:rPr>
                <w:rFonts w:hint="eastAsia" w:cs="Times New Roman"/>
                <w:lang w:val="en-US" w:eastAsia="zh-CN"/>
              </w:rPr>
              <w:t>本项目消防站、停车场均设置有食堂，食堂废水经隔油池处理时，将产生废油脂。消防站废油脂产生量约为1t/a，停车场废油脂产生量约为0.75t/a。产生的废油脂经收集后交由有资质的单位处置。</w:t>
            </w:r>
          </w:p>
          <w:p>
            <w:pPr>
              <w:rPr>
                <w:rFonts w:hint="default" w:ascii="Times New Roman" w:hAnsi="Times New Roman" w:cs="Times New Roman"/>
                <w:lang w:val="en-US" w:eastAsia="zh-CN"/>
              </w:rPr>
            </w:pPr>
            <w:r>
              <w:rPr>
                <w:rFonts w:hint="default" w:ascii="Times New Roman" w:hAnsi="Times New Roman" w:cs="Times New Roman"/>
                <w:lang w:val="en-US" w:eastAsia="zh-CN"/>
              </w:rPr>
              <w:t>本项目危险废物经分类收集，暂存于危废暂存间(20m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)，定期交由有资质单位处理，运输采用专门危险废物运输车运输。项目固体废弃物产生及排放情况见下表。</w:t>
            </w:r>
          </w:p>
          <w:p>
            <w:pPr>
              <w:pStyle w:val="26"/>
              <w:bidi w:val="0"/>
              <w:rPr>
                <w:rFonts w:hint="default" w:ascii="Times New Roman" w:hAnsi="Times New Roman" w:cs="Times New Roman"/>
                <w:lang w:val="en-US" w:eastAsia="zh-CN"/>
              </w:rPr>
            </w:pPr>
            <w:r>
              <w:rPr>
                <w:rFonts w:hint="default"/>
                <w:lang w:val="en-US" w:eastAsia="zh-CN"/>
              </w:rPr>
              <w:t>表 4.5-2 运营期固体废弃物产生及排放情况</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658"/>
              <w:gridCol w:w="1181"/>
              <w:gridCol w:w="1674"/>
              <w:gridCol w:w="1330"/>
              <w:gridCol w:w="1114"/>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7" w:type="pct"/>
                  <w:vAlign w:val="center"/>
                </w:tcPr>
                <w:p>
                  <w:pPr>
                    <w:pStyle w:val="22"/>
                    <w:bidi w:val="0"/>
                    <w:jc w:val="center"/>
                    <w:rPr>
                      <w:rFonts w:hint="default"/>
                      <w:lang w:val="en-US" w:eastAsia="zh-CN"/>
                    </w:rPr>
                  </w:pPr>
                  <w:r>
                    <w:rPr>
                      <w:rFonts w:hint="eastAsia"/>
                      <w:lang w:val="en-US" w:eastAsia="zh-CN"/>
                    </w:rPr>
                    <w:t>序号</w:t>
                  </w:r>
                </w:p>
              </w:tc>
              <w:tc>
                <w:tcPr>
                  <w:tcW w:w="929" w:type="pct"/>
                  <w:vAlign w:val="center"/>
                </w:tcPr>
                <w:p>
                  <w:pPr>
                    <w:pStyle w:val="22"/>
                    <w:bidi w:val="0"/>
                    <w:jc w:val="center"/>
                    <w:rPr>
                      <w:rFonts w:hint="default"/>
                      <w:lang w:val="en-US" w:eastAsia="zh-CN"/>
                    </w:rPr>
                  </w:pPr>
                  <w:r>
                    <w:rPr>
                      <w:rFonts w:hint="eastAsia"/>
                      <w:lang w:val="en-US" w:eastAsia="zh-CN"/>
                    </w:rPr>
                    <w:t>固废名称</w:t>
                  </w:r>
                </w:p>
              </w:tc>
              <w:tc>
                <w:tcPr>
                  <w:tcW w:w="662" w:type="pct"/>
                  <w:vAlign w:val="center"/>
                </w:tcPr>
                <w:p>
                  <w:pPr>
                    <w:pStyle w:val="22"/>
                    <w:bidi w:val="0"/>
                    <w:jc w:val="center"/>
                    <w:rPr>
                      <w:rFonts w:hint="default"/>
                      <w:lang w:val="en-US" w:eastAsia="zh-CN"/>
                    </w:rPr>
                  </w:pPr>
                  <w:r>
                    <w:rPr>
                      <w:rFonts w:hint="eastAsia"/>
                      <w:lang w:val="en-US" w:eastAsia="zh-CN"/>
                    </w:rPr>
                    <w:t>废物类别属性</w:t>
                  </w:r>
                </w:p>
              </w:tc>
              <w:tc>
                <w:tcPr>
                  <w:tcW w:w="938" w:type="pct"/>
                  <w:vAlign w:val="center"/>
                </w:tcPr>
                <w:p>
                  <w:pPr>
                    <w:pStyle w:val="22"/>
                    <w:bidi w:val="0"/>
                    <w:jc w:val="center"/>
                    <w:rPr>
                      <w:rFonts w:hint="default"/>
                      <w:lang w:val="en-US" w:eastAsia="zh-CN"/>
                    </w:rPr>
                  </w:pPr>
                  <w:r>
                    <w:rPr>
                      <w:rFonts w:hint="eastAsia"/>
                      <w:lang w:val="en-US" w:eastAsia="zh-CN"/>
                    </w:rPr>
                    <w:t>类别名称及代码</w:t>
                  </w:r>
                </w:p>
              </w:tc>
              <w:tc>
                <w:tcPr>
                  <w:tcW w:w="745" w:type="pct"/>
                  <w:vAlign w:val="center"/>
                </w:tcPr>
                <w:p>
                  <w:pPr>
                    <w:pStyle w:val="22"/>
                    <w:bidi w:val="0"/>
                    <w:jc w:val="center"/>
                    <w:rPr>
                      <w:rFonts w:hint="default"/>
                      <w:lang w:val="en-US" w:eastAsia="zh-CN"/>
                    </w:rPr>
                  </w:pPr>
                  <w:r>
                    <w:rPr>
                      <w:rFonts w:hint="eastAsia"/>
                      <w:lang w:val="en-US" w:eastAsia="zh-CN"/>
                    </w:rPr>
                    <w:t>利用/处置措施和去向</w:t>
                  </w:r>
                </w:p>
              </w:tc>
              <w:tc>
                <w:tcPr>
                  <w:tcW w:w="624" w:type="pct"/>
                  <w:vAlign w:val="center"/>
                </w:tcPr>
                <w:p>
                  <w:pPr>
                    <w:pStyle w:val="22"/>
                    <w:bidi w:val="0"/>
                    <w:jc w:val="center"/>
                    <w:rPr>
                      <w:rFonts w:hint="default"/>
                      <w:lang w:val="en-US" w:eastAsia="zh-CN"/>
                    </w:rPr>
                  </w:pPr>
                  <w:r>
                    <w:rPr>
                      <w:rFonts w:hint="eastAsia"/>
                      <w:lang w:val="en-US" w:eastAsia="zh-CN"/>
                    </w:rPr>
                    <w:t>产生量（t/a）</w:t>
                  </w:r>
                </w:p>
              </w:tc>
              <w:tc>
                <w:tcPr>
                  <w:tcW w:w="691" w:type="pct"/>
                  <w:vAlign w:val="center"/>
                </w:tcPr>
                <w:p>
                  <w:pPr>
                    <w:pStyle w:val="22"/>
                    <w:bidi w:val="0"/>
                    <w:jc w:val="center"/>
                    <w:rPr>
                      <w:rFonts w:hint="default"/>
                      <w:lang w:val="en-US" w:eastAsia="zh-CN"/>
                    </w:rPr>
                  </w:pPr>
                  <w:r>
                    <w:rPr>
                      <w:rFonts w:hint="eastAsia"/>
                      <w:lang w:val="en-US" w:eastAsia="zh-CN"/>
                    </w:rPr>
                    <w:t>利用/处置量（t/a）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default"/>
                      <w:lang w:val="en-US" w:eastAsia="zh-CN"/>
                    </w:rPr>
                    <w:t>1</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甲醇</w:t>
                  </w:r>
                </w:p>
              </w:tc>
              <w:tc>
                <w:tcPr>
                  <w:tcW w:w="662" w:type="pct"/>
                  <w:vMerge w:val="restart"/>
                  <w:vAlign w:val="center"/>
                </w:tcPr>
                <w:p>
                  <w:pPr>
                    <w:pStyle w:val="22"/>
                    <w:bidi w:val="0"/>
                    <w:jc w:val="center"/>
                    <w:rPr>
                      <w:rFonts w:hint="default"/>
                      <w:lang w:val="en-US" w:eastAsia="zh-CN"/>
                    </w:rPr>
                  </w:pPr>
                  <w:r>
                    <w:rPr>
                      <w:rFonts w:hint="eastAsia"/>
                      <w:lang w:val="en-US" w:eastAsia="zh-CN"/>
                    </w:rPr>
                    <w:t>危险废物</w:t>
                  </w:r>
                </w:p>
              </w:tc>
              <w:tc>
                <w:tcPr>
                  <w:tcW w:w="938" w:type="pct"/>
                  <w:vMerge w:val="restart"/>
                  <w:vAlign w:val="center"/>
                </w:tcPr>
                <w:p>
                  <w:pPr>
                    <w:pStyle w:val="22"/>
                    <w:bidi w:val="0"/>
                    <w:jc w:val="center"/>
                    <w:rPr>
                      <w:rFonts w:hint="default"/>
                      <w:lang w:val="en-US" w:eastAsia="zh-CN"/>
                    </w:rPr>
                  </w:pPr>
                  <w:r>
                    <w:rPr>
                      <w:rFonts w:hint="default"/>
                      <w:lang w:val="en-US" w:eastAsia="zh-CN"/>
                    </w:rPr>
                    <w:t>HW49（危废代码：900-999-49）</w:t>
                  </w:r>
                </w:p>
              </w:tc>
              <w:tc>
                <w:tcPr>
                  <w:tcW w:w="745" w:type="pct"/>
                  <w:vMerge w:val="restart"/>
                  <w:vAlign w:val="center"/>
                </w:tcPr>
                <w:p>
                  <w:pPr>
                    <w:pStyle w:val="22"/>
                    <w:bidi w:val="0"/>
                    <w:jc w:val="center"/>
                    <w:rPr>
                      <w:rFonts w:hint="default"/>
                      <w:lang w:val="en-US" w:eastAsia="zh-CN"/>
                    </w:rPr>
                  </w:pPr>
                  <w:r>
                    <w:rPr>
                      <w:rFonts w:hint="default"/>
                      <w:lang w:val="en-US" w:eastAsia="zh-CN"/>
                    </w:rPr>
                    <w:t>分类收集，暂存于危废暂存间内</w:t>
                  </w: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0.08</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2</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苯酚</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0.06</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3</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三乙胺</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0.04</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4</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优级品碳酸二甲酯</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5</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轻质二元醇</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6</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混合一元醇</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7</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重质二元醇</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8</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乙二醇</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9</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碳酸甲乙酯</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10</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碳酸二乙酯</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0.04</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11</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电子级碳酸二甲酯</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12</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二硫化碳</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0.04</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13</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98%硫酸</w:t>
                  </w:r>
                </w:p>
              </w:tc>
              <w:tc>
                <w:tcPr>
                  <w:tcW w:w="662" w:type="pct"/>
                  <w:vMerge w:val="continue"/>
                  <w:vAlign w:val="center"/>
                </w:tcPr>
                <w:p>
                  <w:pPr>
                    <w:pStyle w:val="22"/>
                    <w:bidi w:val="0"/>
                    <w:jc w:val="center"/>
                    <w:rPr>
                      <w:rFonts w:hint="default"/>
                      <w:lang w:val="en-US" w:eastAsia="zh-CN"/>
                    </w:rPr>
                  </w:pPr>
                </w:p>
              </w:tc>
              <w:tc>
                <w:tcPr>
                  <w:tcW w:w="938" w:type="pct"/>
                  <w:vMerge w:val="restart"/>
                  <w:vAlign w:val="center"/>
                </w:tcPr>
                <w:p>
                  <w:pPr>
                    <w:pStyle w:val="22"/>
                    <w:bidi w:val="0"/>
                    <w:jc w:val="center"/>
                    <w:rPr>
                      <w:rFonts w:hint="default"/>
                      <w:lang w:val="en-US" w:eastAsia="zh-CN"/>
                    </w:rPr>
                  </w:pPr>
                  <w:r>
                    <w:rPr>
                      <w:rFonts w:hint="default"/>
                      <w:lang w:val="en-US" w:eastAsia="zh-CN"/>
                    </w:rPr>
                    <w:t>HW34（废物代码：900-349-34）</w:t>
                  </w: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0.08</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14</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试剂硫酸</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0.06</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15</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31%盐酸</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0.04</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16</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85%磷酸</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17</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40%氢氟酸</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0.04</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18</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草酸</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19</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硝酸</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0.06</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20</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42%氢氧化钠</w:t>
                  </w:r>
                </w:p>
              </w:tc>
              <w:tc>
                <w:tcPr>
                  <w:tcW w:w="662" w:type="pct"/>
                  <w:vMerge w:val="continue"/>
                  <w:vAlign w:val="center"/>
                </w:tcPr>
                <w:p>
                  <w:pPr>
                    <w:pStyle w:val="22"/>
                    <w:bidi w:val="0"/>
                    <w:jc w:val="center"/>
                    <w:rPr>
                      <w:rFonts w:hint="default"/>
                      <w:lang w:val="en-US" w:eastAsia="zh-CN"/>
                    </w:rPr>
                  </w:pPr>
                </w:p>
              </w:tc>
              <w:tc>
                <w:tcPr>
                  <w:tcW w:w="938" w:type="pct"/>
                  <w:vMerge w:val="restart"/>
                  <w:vAlign w:val="center"/>
                </w:tcPr>
                <w:p>
                  <w:pPr>
                    <w:pStyle w:val="22"/>
                    <w:bidi w:val="0"/>
                    <w:jc w:val="center"/>
                    <w:rPr>
                      <w:rFonts w:hint="default"/>
                      <w:lang w:val="en-US" w:eastAsia="zh-CN"/>
                    </w:rPr>
                  </w:pPr>
                  <w:r>
                    <w:rPr>
                      <w:rFonts w:hint="default"/>
                      <w:lang w:val="en-US" w:eastAsia="zh-CN"/>
                    </w:rPr>
                    <w:t>HW35(废物代码:900-399-35)</w:t>
                  </w: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0.06</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21</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液碱</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0.04</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22</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氨水</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0.04</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23</w:t>
                  </w:r>
                </w:p>
              </w:tc>
              <w:tc>
                <w:tcPr>
                  <w:tcW w:w="929" w:type="pct"/>
                  <w:shd w:val="clear" w:color="auto" w:fill="auto"/>
                  <w:vAlign w:val="center"/>
                </w:tcPr>
                <w:p>
                  <w:pPr>
                    <w:pStyle w:val="22"/>
                    <w:bidi w:val="0"/>
                    <w:jc w:val="center"/>
                    <w:rPr>
                      <w:rFonts w:hint="default"/>
                      <w:lang w:val="en-US" w:eastAsia="zh-CN"/>
                    </w:rPr>
                  </w:pPr>
                  <w:r>
                    <w:rPr>
                      <w:rFonts w:hint="default"/>
                      <w:lang w:val="en-US" w:eastAsia="zh-CN"/>
                    </w:rPr>
                    <w:t>油品</w:t>
                  </w:r>
                </w:p>
              </w:tc>
              <w:tc>
                <w:tcPr>
                  <w:tcW w:w="662" w:type="pct"/>
                  <w:vMerge w:val="continue"/>
                  <w:vAlign w:val="center"/>
                </w:tcPr>
                <w:p>
                  <w:pPr>
                    <w:pStyle w:val="22"/>
                    <w:bidi w:val="0"/>
                    <w:jc w:val="center"/>
                    <w:rPr>
                      <w:rFonts w:hint="default"/>
                      <w:lang w:val="en-US" w:eastAsia="zh-CN"/>
                    </w:rPr>
                  </w:pPr>
                </w:p>
              </w:tc>
              <w:tc>
                <w:tcPr>
                  <w:tcW w:w="938" w:type="pct"/>
                  <w:vAlign w:val="center"/>
                </w:tcPr>
                <w:p>
                  <w:pPr>
                    <w:pStyle w:val="22"/>
                    <w:bidi w:val="0"/>
                    <w:jc w:val="center"/>
                    <w:rPr>
                      <w:rFonts w:hint="default"/>
                      <w:lang w:val="en-US" w:eastAsia="zh-CN"/>
                    </w:rPr>
                  </w:pPr>
                  <w:r>
                    <w:rPr>
                      <w:rFonts w:hint="default"/>
                      <w:lang w:val="en-US" w:eastAsia="zh-CN"/>
                    </w:rPr>
                    <w:t>HW08(废物代码:</w:t>
                  </w:r>
                  <w:r>
                    <w:rPr>
                      <w:rFonts w:hint="eastAsia"/>
                      <w:lang w:val="en-US" w:eastAsia="zh-CN"/>
                    </w:rPr>
                    <w:t>900-249-08</w:t>
                  </w:r>
                  <w:r>
                    <w:rPr>
                      <w:rFonts w:hint="default"/>
                      <w:lang w:val="en-US" w:eastAsia="zh-CN"/>
                    </w:rPr>
                    <w:t>)</w:t>
                  </w:r>
                </w:p>
              </w:tc>
              <w:tc>
                <w:tcPr>
                  <w:tcW w:w="745" w:type="pct"/>
                  <w:vMerge w:val="continue"/>
                  <w:vAlign w:val="center"/>
                </w:tcPr>
                <w:p>
                  <w:pPr>
                    <w:pStyle w:val="22"/>
                    <w:bidi w:val="0"/>
                    <w:jc w:val="center"/>
                    <w:rPr>
                      <w:rFonts w:hint="default"/>
                      <w:lang w:val="en-US" w:eastAsia="zh-CN"/>
                    </w:rPr>
                  </w:pPr>
                </w:p>
              </w:tc>
              <w:tc>
                <w:tcPr>
                  <w:tcW w:w="624" w:type="pct"/>
                  <w:shd w:val="clear" w:color="auto" w:fill="auto"/>
                  <w:vAlign w:val="center"/>
                </w:tcPr>
                <w:p>
                  <w:pPr>
                    <w:pStyle w:val="22"/>
                    <w:bidi w:val="0"/>
                    <w:jc w:val="center"/>
                    <w:rPr>
                      <w:rFonts w:hint="default"/>
                      <w:lang w:val="en-US" w:eastAsia="zh-CN"/>
                    </w:rPr>
                  </w:pPr>
                  <w:r>
                    <w:rPr>
                      <w:rFonts w:hint="eastAsia"/>
                      <w:lang w:val="en-US" w:eastAsia="zh-CN"/>
                    </w:rPr>
                    <w:t>0.08</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pStyle w:val="22"/>
                    <w:bidi w:val="0"/>
                    <w:jc w:val="center"/>
                    <w:rPr>
                      <w:rFonts w:hint="default"/>
                      <w:lang w:val="en-US" w:eastAsia="zh-CN"/>
                    </w:rPr>
                  </w:pPr>
                  <w:r>
                    <w:rPr>
                      <w:rFonts w:hint="eastAsia"/>
                      <w:lang w:val="en-US" w:eastAsia="zh-CN"/>
                    </w:rPr>
                    <w:t>24</w:t>
                  </w:r>
                </w:p>
              </w:tc>
              <w:tc>
                <w:tcPr>
                  <w:tcW w:w="929" w:type="pct"/>
                  <w:vAlign w:val="center"/>
                </w:tcPr>
                <w:p>
                  <w:pPr>
                    <w:pStyle w:val="22"/>
                    <w:bidi w:val="0"/>
                    <w:jc w:val="center"/>
                    <w:rPr>
                      <w:rFonts w:hint="default"/>
                      <w:lang w:val="en-US" w:eastAsia="zh-CN"/>
                    </w:rPr>
                  </w:pPr>
                  <w:r>
                    <w:rPr>
                      <w:rFonts w:hint="eastAsia"/>
                      <w:lang w:val="en-US" w:eastAsia="zh-CN"/>
                    </w:rPr>
                    <w:t>废活性炭</w:t>
                  </w:r>
                </w:p>
              </w:tc>
              <w:tc>
                <w:tcPr>
                  <w:tcW w:w="662" w:type="pct"/>
                  <w:vMerge w:val="continue"/>
                  <w:vAlign w:val="center"/>
                </w:tcPr>
                <w:p>
                  <w:pPr>
                    <w:pStyle w:val="22"/>
                    <w:bidi w:val="0"/>
                    <w:jc w:val="center"/>
                    <w:rPr>
                      <w:rFonts w:hint="default"/>
                      <w:lang w:val="en-US" w:eastAsia="zh-CN"/>
                    </w:rPr>
                  </w:pPr>
                </w:p>
              </w:tc>
              <w:tc>
                <w:tcPr>
                  <w:tcW w:w="938" w:type="pct"/>
                  <w:vAlign w:val="center"/>
                </w:tcPr>
                <w:p>
                  <w:pPr>
                    <w:pStyle w:val="22"/>
                    <w:bidi w:val="0"/>
                    <w:jc w:val="center"/>
                    <w:rPr>
                      <w:rFonts w:hint="default"/>
                      <w:lang w:val="en-US" w:eastAsia="zh-CN"/>
                    </w:rPr>
                  </w:pPr>
                  <w:r>
                    <w:rPr>
                      <w:rFonts w:hint="default"/>
                      <w:lang w:val="en-US" w:eastAsia="zh-CN"/>
                    </w:rPr>
                    <w:t>HW49</w:t>
                  </w:r>
                  <w:r>
                    <w:rPr>
                      <w:rFonts w:hint="eastAsia"/>
                      <w:lang w:val="en-US" w:eastAsia="zh-CN"/>
                    </w:rPr>
                    <w:t>（</w:t>
                  </w:r>
                  <w:r>
                    <w:rPr>
                      <w:rFonts w:hint="default"/>
                      <w:lang w:val="en-US" w:eastAsia="zh-CN"/>
                    </w:rPr>
                    <w:t>代码</w:t>
                  </w:r>
                  <w:r>
                    <w:rPr>
                      <w:rFonts w:hint="eastAsia"/>
                      <w:lang w:val="en-US" w:eastAsia="zh-CN"/>
                    </w:rPr>
                    <w:t>：</w:t>
                  </w:r>
                  <w:r>
                    <w:rPr>
                      <w:rFonts w:hint="default"/>
                      <w:lang w:val="en-US" w:eastAsia="zh-CN"/>
                    </w:rPr>
                    <w:t>900-039-49</w:t>
                  </w:r>
                  <w:r>
                    <w:rPr>
                      <w:rFonts w:hint="eastAsia"/>
                      <w:lang w:val="en-US" w:eastAsia="zh-CN"/>
                    </w:rPr>
                    <w:t>）</w:t>
                  </w:r>
                </w:p>
              </w:tc>
              <w:tc>
                <w:tcPr>
                  <w:tcW w:w="745" w:type="pct"/>
                  <w:vMerge w:val="continue"/>
                  <w:vAlign w:val="center"/>
                </w:tcPr>
                <w:p>
                  <w:pPr>
                    <w:pStyle w:val="22"/>
                    <w:bidi w:val="0"/>
                    <w:jc w:val="center"/>
                    <w:rPr>
                      <w:rFonts w:hint="default"/>
                      <w:lang w:val="en-US" w:eastAsia="zh-CN"/>
                    </w:rPr>
                  </w:pPr>
                </w:p>
              </w:tc>
              <w:tc>
                <w:tcPr>
                  <w:tcW w:w="624" w:type="pct"/>
                  <w:vAlign w:val="center"/>
                </w:tcPr>
                <w:p>
                  <w:pPr>
                    <w:pStyle w:val="22"/>
                    <w:bidi w:val="0"/>
                    <w:jc w:val="center"/>
                    <w:rPr>
                      <w:rFonts w:hint="default"/>
                      <w:lang w:val="en-US" w:eastAsia="zh-CN"/>
                    </w:rPr>
                  </w:pPr>
                  <w:r>
                    <w:rPr>
                      <w:rFonts w:hint="eastAsia"/>
                      <w:lang w:val="en-US" w:eastAsia="zh-CN"/>
                    </w:rPr>
                    <w:t>1.12</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ind w:firstLine="0" w:firstLineChars="0"/>
                    <w:jc w:val="center"/>
                    <w:rPr>
                      <w:rFonts w:hint="eastAsia" w:ascii="Times New Roman" w:hAnsi="Times New Roman" w:eastAsia="宋体" w:cs="宋体"/>
                      <w:kern w:val="0"/>
                      <w:sz w:val="21"/>
                      <w:szCs w:val="21"/>
                      <w:lang w:val="en-US" w:eastAsia="zh-CN" w:bidi="ar-SA"/>
                    </w:rPr>
                  </w:pPr>
                  <w:r>
                    <w:rPr>
                      <w:rFonts w:hint="eastAsia"/>
                      <w:lang w:val="en-US" w:eastAsia="zh-CN"/>
                    </w:rPr>
                    <w:t>25</w:t>
                  </w:r>
                </w:p>
              </w:tc>
              <w:tc>
                <w:tcPr>
                  <w:tcW w:w="929" w:type="pct"/>
                  <w:vAlign w:val="center"/>
                </w:tcPr>
                <w:p>
                  <w:pPr>
                    <w:pStyle w:val="22"/>
                    <w:bidi w:val="0"/>
                    <w:jc w:val="center"/>
                    <w:rPr>
                      <w:rFonts w:hint="default"/>
                      <w:lang w:val="en-US" w:eastAsia="zh-CN"/>
                    </w:rPr>
                  </w:pPr>
                  <w:r>
                    <w:rPr>
                      <w:rFonts w:hint="eastAsia"/>
                      <w:lang w:val="en-US" w:eastAsia="zh-CN"/>
                    </w:rPr>
                    <w:t>废机油</w:t>
                  </w:r>
                </w:p>
              </w:tc>
              <w:tc>
                <w:tcPr>
                  <w:tcW w:w="662" w:type="pct"/>
                  <w:vMerge w:val="continue"/>
                  <w:vAlign w:val="center"/>
                </w:tcPr>
                <w:p>
                  <w:pPr>
                    <w:pStyle w:val="22"/>
                    <w:bidi w:val="0"/>
                    <w:jc w:val="center"/>
                    <w:rPr>
                      <w:rFonts w:hint="default"/>
                      <w:lang w:val="en-US" w:eastAsia="zh-CN"/>
                    </w:rPr>
                  </w:pPr>
                </w:p>
              </w:tc>
              <w:tc>
                <w:tcPr>
                  <w:tcW w:w="938" w:type="pct"/>
                  <w:vMerge w:val="restart"/>
                  <w:vAlign w:val="center"/>
                </w:tcPr>
                <w:p>
                  <w:pPr>
                    <w:pStyle w:val="22"/>
                    <w:bidi w:val="0"/>
                    <w:jc w:val="center"/>
                    <w:rPr>
                      <w:rFonts w:hint="default"/>
                      <w:lang w:val="en-US" w:eastAsia="zh-CN"/>
                    </w:rPr>
                  </w:pPr>
                  <w:r>
                    <w:rPr>
                      <w:rFonts w:hint="default"/>
                      <w:lang w:val="en-US" w:eastAsia="zh-CN"/>
                    </w:rPr>
                    <w:t>HW08(废物代码:</w:t>
                  </w:r>
                  <w:r>
                    <w:rPr>
                      <w:rFonts w:hint="eastAsia"/>
                      <w:lang w:val="en-US" w:eastAsia="zh-CN"/>
                    </w:rPr>
                    <w:t>900-249-08</w:t>
                  </w:r>
                  <w:r>
                    <w:rPr>
                      <w:rFonts w:hint="default"/>
                      <w:lang w:val="en-US" w:eastAsia="zh-CN"/>
                    </w:rPr>
                    <w:t>)</w:t>
                  </w:r>
                </w:p>
              </w:tc>
              <w:tc>
                <w:tcPr>
                  <w:tcW w:w="745" w:type="pct"/>
                  <w:vMerge w:val="continue"/>
                  <w:vAlign w:val="center"/>
                </w:tcPr>
                <w:p>
                  <w:pPr>
                    <w:pStyle w:val="22"/>
                    <w:bidi w:val="0"/>
                    <w:jc w:val="center"/>
                    <w:rPr>
                      <w:rFonts w:hint="default"/>
                      <w:lang w:val="en-US" w:eastAsia="zh-CN"/>
                    </w:rPr>
                  </w:pPr>
                </w:p>
              </w:tc>
              <w:tc>
                <w:tcPr>
                  <w:tcW w:w="624" w:type="pct"/>
                  <w:vAlign w:val="center"/>
                </w:tcPr>
                <w:p>
                  <w:pPr>
                    <w:pStyle w:val="22"/>
                    <w:bidi w:val="0"/>
                    <w:jc w:val="center"/>
                    <w:rPr>
                      <w:rFonts w:hint="default"/>
                      <w:lang w:val="en-US" w:eastAsia="zh-CN"/>
                    </w:rPr>
                  </w:pPr>
                  <w:r>
                    <w:rPr>
                      <w:rFonts w:hint="eastAsia"/>
                      <w:lang w:val="en-US" w:eastAsia="zh-CN"/>
                    </w:rPr>
                    <w:t>0.1</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ind w:firstLine="0" w:firstLineChars="0"/>
                    <w:jc w:val="center"/>
                    <w:rPr>
                      <w:rFonts w:hint="eastAsia" w:ascii="Times New Roman" w:hAnsi="Times New Roman" w:eastAsia="宋体" w:cs="宋体"/>
                      <w:kern w:val="0"/>
                      <w:sz w:val="21"/>
                      <w:szCs w:val="21"/>
                      <w:lang w:val="en-US" w:eastAsia="zh-CN" w:bidi="ar-SA"/>
                    </w:rPr>
                  </w:pPr>
                  <w:r>
                    <w:rPr>
                      <w:rFonts w:hint="eastAsia"/>
                      <w:lang w:val="en-US" w:eastAsia="zh-CN"/>
                    </w:rPr>
                    <w:t>26</w:t>
                  </w:r>
                </w:p>
              </w:tc>
              <w:tc>
                <w:tcPr>
                  <w:tcW w:w="929" w:type="pct"/>
                  <w:vAlign w:val="center"/>
                </w:tcPr>
                <w:p>
                  <w:pPr>
                    <w:pStyle w:val="22"/>
                    <w:bidi w:val="0"/>
                    <w:jc w:val="center"/>
                    <w:rPr>
                      <w:rFonts w:hint="default"/>
                      <w:lang w:val="en-US" w:eastAsia="zh-CN"/>
                    </w:rPr>
                  </w:pPr>
                  <w:r>
                    <w:rPr>
                      <w:rFonts w:hint="eastAsia"/>
                      <w:lang w:val="en-US" w:eastAsia="zh-CN"/>
                    </w:rPr>
                    <w:t>含油抹布和手套</w:t>
                  </w:r>
                </w:p>
              </w:tc>
              <w:tc>
                <w:tcPr>
                  <w:tcW w:w="662" w:type="pct"/>
                  <w:vMerge w:val="continue"/>
                  <w:vAlign w:val="center"/>
                </w:tcPr>
                <w:p>
                  <w:pPr>
                    <w:pStyle w:val="22"/>
                    <w:bidi w:val="0"/>
                    <w:jc w:val="center"/>
                    <w:rPr>
                      <w:rFonts w:hint="default"/>
                      <w:lang w:val="en-US" w:eastAsia="zh-CN"/>
                    </w:rPr>
                  </w:pPr>
                </w:p>
              </w:tc>
              <w:tc>
                <w:tcPr>
                  <w:tcW w:w="938" w:type="pct"/>
                  <w:vMerge w:val="continue"/>
                  <w:vAlign w:val="center"/>
                </w:tcPr>
                <w:p>
                  <w:pPr>
                    <w:pStyle w:val="22"/>
                    <w:bidi w:val="0"/>
                    <w:jc w:val="center"/>
                    <w:rPr>
                      <w:rFonts w:hint="default"/>
                      <w:lang w:val="en-US" w:eastAsia="zh-CN"/>
                    </w:rPr>
                  </w:pPr>
                </w:p>
              </w:tc>
              <w:tc>
                <w:tcPr>
                  <w:tcW w:w="745" w:type="pct"/>
                  <w:vMerge w:val="continue"/>
                  <w:vAlign w:val="center"/>
                </w:tcPr>
                <w:p>
                  <w:pPr>
                    <w:pStyle w:val="22"/>
                    <w:bidi w:val="0"/>
                    <w:jc w:val="center"/>
                    <w:rPr>
                      <w:rFonts w:hint="default"/>
                      <w:lang w:val="en-US" w:eastAsia="zh-CN"/>
                    </w:rPr>
                  </w:pPr>
                </w:p>
              </w:tc>
              <w:tc>
                <w:tcPr>
                  <w:tcW w:w="624" w:type="pct"/>
                  <w:vAlign w:val="center"/>
                </w:tcPr>
                <w:p>
                  <w:pPr>
                    <w:pStyle w:val="22"/>
                    <w:bidi w:val="0"/>
                    <w:jc w:val="center"/>
                    <w:rPr>
                      <w:rFonts w:hint="default"/>
                      <w:lang w:val="en-US" w:eastAsia="zh-CN"/>
                    </w:rPr>
                  </w:pPr>
                  <w:r>
                    <w:rPr>
                      <w:rFonts w:hint="eastAsia"/>
                      <w:lang w:val="en-US" w:eastAsia="zh-CN"/>
                    </w:rPr>
                    <w:t>0.01</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ind w:firstLine="0" w:firstLineChars="0"/>
                    <w:jc w:val="center"/>
                    <w:rPr>
                      <w:rFonts w:hint="default" w:ascii="Times New Roman" w:hAnsi="Times New Roman" w:eastAsia="宋体" w:cs="宋体"/>
                      <w:kern w:val="0"/>
                      <w:sz w:val="21"/>
                      <w:szCs w:val="21"/>
                      <w:lang w:val="en-US" w:eastAsia="zh-CN" w:bidi="ar-SA"/>
                    </w:rPr>
                  </w:pPr>
                  <w:r>
                    <w:rPr>
                      <w:rFonts w:hint="eastAsia"/>
                      <w:lang w:val="en-US" w:eastAsia="zh-CN"/>
                    </w:rPr>
                    <w:t>27</w:t>
                  </w:r>
                </w:p>
              </w:tc>
              <w:tc>
                <w:tcPr>
                  <w:tcW w:w="929" w:type="pct"/>
                  <w:vAlign w:val="center"/>
                </w:tcPr>
                <w:p>
                  <w:pPr>
                    <w:pStyle w:val="22"/>
                    <w:bidi w:val="0"/>
                    <w:jc w:val="center"/>
                    <w:rPr>
                      <w:rFonts w:hint="default"/>
                      <w:lang w:val="en-US" w:eastAsia="zh-CN"/>
                    </w:rPr>
                  </w:pPr>
                  <w:r>
                    <w:rPr>
                      <w:rFonts w:hint="eastAsia"/>
                      <w:lang w:val="en-US" w:eastAsia="zh-CN"/>
                    </w:rPr>
                    <w:t>污泥</w:t>
                  </w:r>
                </w:p>
              </w:tc>
              <w:tc>
                <w:tcPr>
                  <w:tcW w:w="662" w:type="pct"/>
                  <w:vMerge w:val="restart"/>
                  <w:vAlign w:val="center"/>
                </w:tcPr>
                <w:p>
                  <w:pPr>
                    <w:pStyle w:val="22"/>
                    <w:bidi w:val="0"/>
                    <w:jc w:val="center"/>
                    <w:rPr>
                      <w:rFonts w:hint="default"/>
                      <w:lang w:val="en-US" w:eastAsia="zh-CN"/>
                    </w:rPr>
                  </w:pPr>
                  <w:r>
                    <w:rPr>
                      <w:rFonts w:hint="eastAsia"/>
                      <w:lang w:val="en-US" w:eastAsia="zh-CN"/>
                    </w:rPr>
                    <w:t>一般固废</w:t>
                  </w:r>
                </w:p>
              </w:tc>
              <w:tc>
                <w:tcPr>
                  <w:tcW w:w="938" w:type="pct"/>
                  <w:vAlign w:val="center"/>
                </w:tcPr>
                <w:p>
                  <w:pPr>
                    <w:pStyle w:val="22"/>
                    <w:bidi w:val="0"/>
                    <w:jc w:val="center"/>
                    <w:rPr>
                      <w:rFonts w:hint="default"/>
                      <w:lang w:val="en-US" w:eastAsia="zh-CN"/>
                    </w:rPr>
                  </w:pPr>
                  <w:r>
                    <w:rPr>
                      <w:rFonts w:hint="eastAsia"/>
                      <w:lang w:val="en-US" w:eastAsia="zh-CN"/>
                    </w:rPr>
                    <w:t>/</w:t>
                  </w:r>
                </w:p>
              </w:tc>
              <w:tc>
                <w:tcPr>
                  <w:tcW w:w="745" w:type="pct"/>
                  <w:vMerge w:val="restart"/>
                  <w:vAlign w:val="center"/>
                </w:tcPr>
                <w:p>
                  <w:pPr>
                    <w:pStyle w:val="22"/>
                    <w:bidi w:val="0"/>
                    <w:jc w:val="center"/>
                    <w:rPr>
                      <w:rFonts w:hint="default"/>
                      <w:lang w:val="en-US" w:eastAsia="zh-CN"/>
                    </w:rPr>
                  </w:pPr>
                  <w:r>
                    <w:rPr>
                      <w:rFonts w:hint="eastAsia"/>
                      <w:lang w:val="en-US" w:eastAsia="zh-CN"/>
                    </w:rPr>
                    <w:t>收集后交由环卫部门统一清运处置</w:t>
                  </w:r>
                </w:p>
              </w:tc>
              <w:tc>
                <w:tcPr>
                  <w:tcW w:w="624" w:type="pct"/>
                  <w:vAlign w:val="center"/>
                </w:tcPr>
                <w:p>
                  <w:pPr>
                    <w:pStyle w:val="22"/>
                    <w:bidi w:val="0"/>
                    <w:jc w:val="center"/>
                    <w:rPr>
                      <w:rFonts w:hint="default"/>
                      <w:lang w:val="en-US" w:eastAsia="zh-CN"/>
                    </w:rPr>
                  </w:pPr>
                  <w:r>
                    <w:rPr>
                      <w:rFonts w:hint="eastAsia"/>
                      <w:lang w:val="en-US" w:eastAsia="zh-CN"/>
                    </w:rPr>
                    <w:t>0.61</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shd w:val="clear" w:color="auto" w:fill="auto"/>
                  <w:vAlign w:val="center"/>
                </w:tcPr>
                <w:p>
                  <w:pPr>
                    <w:pStyle w:val="22"/>
                    <w:bidi w:val="0"/>
                    <w:jc w:val="center"/>
                    <w:rPr>
                      <w:rFonts w:hint="default"/>
                      <w:lang w:val="en-US" w:eastAsia="zh-CN"/>
                    </w:rPr>
                  </w:pPr>
                  <w:r>
                    <w:rPr>
                      <w:rFonts w:hint="eastAsia"/>
                      <w:lang w:val="en-US" w:eastAsia="zh-CN"/>
                    </w:rPr>
                    <w:t>28</w:t>
                  </w:r>
                </w:p>
              </w:tc>
              <w:tc>
                <w:tcPr>
                  <w:tcW w:w="929" w:type="pct"/>
                  <w:shd w:val="clear" w:color="auto" w:fill="auto"/>
                  <w:vAlign w:val="center"/>
                </w:tcPr>
                <w:p>
                  <w:pPr>
                    <w:pStyle w:val="22"/>
                    <w:bidi w:val="0"/>
                    <w:jc w:val="center"/>
                    <w:rPr>
                      <w:rFonts w:hint="eastAsia"/>
                      <w:lang w:val="en-US" w:eastAsia="zh-CN"/>
                    </w:rPr>
                  </w:pPr>
                  <w:r>
                    <w:rPr>
                      <w:rFonts w:hint="default"/>
                      <w:lang w:val="en-US" w:eastAsia="zh-CN"/>
                    </w:rPr>
                    <w:t>表面活性剂废包装</w:t>
                  </w:r>
                </w:p>
              </w:tc>
              <w:tc>
                <w:tcPr>
                  <w:tcW w:w="662" w:type="pct"/>
                  <w:vMerge w:val="continue"/>
                  <w:shd w:val="clear" w:color="auto" w:fill="auto"/>
                  <w:vAlign w:val="center"/>
                </w:tcPr>
                <w:p>
                  <w:pPr>
                    <w:pStyle w:val="22"/>
                    <w:bidi w:val="0"/>
                    <w:jc w:val="center"/>
                    <w:rPr>
                      <w:rFonts w:hint="eastAsia"/>
                      <w:lang w:val="en-US" w:eastAsia="zh-CN"/>
                    </w:rPr>
                  </w:pPr>
                </w:p>
              </w:tc>
              <w:tc>
                <w:tcPr>
                  <w:tcW w:w="938" w:type="pct"/>
                  <w:shd w:val="clear" w:color="auto" w:fill="auto"/>
                  <w:vAlign w:val="center"/>
                </w:tcPr>
                <w:p>
                  <w:pPr>
                    <w:pStyle w:val="22"/>
                    <w:bidi w:val="0"/>
                    <w:jc w:val="center"/>
                    <w:rPr>
                      <w:rFonts w:hint="eastAsia"/>
                      <w:lang w:val="en-US" w:eastAsia="zh-CN"/>
                    </w:rPr>
                  </w:pPr>
                  <w:r>
                    <w:rPr>
                      <w:rFonts w:hint="eastAsia"/>
                      <w:lang w:val="en-US" w:eastAsia="zh-CN"/>
                    </w:rPr>
                    <w:t>/</w:t>
                  </w:r>
                </w:p>
              </w:tc>
              <w:tc>
                <w:tcPr>
                  <w:tcW w:w="745" w:type="pct"/>
                  <w:vMerge w:val="continue"/>
                  <w:shd w:val="clear" w:color="auto" w:fill="auto"/>
                  <w:vAlign w:val="center"/>
                </w:tcPr>
                <w:p>
                  <w:pPr>
                    <w:pStyle w:val="22"/>
                    <w:bidi w:val="0"/>
                    <w:jc w:val="center"/>
                    <w:rPr>
                      <w:rFonts w:hint="eastAsia"/>
                      <w:lang w:val="en-US" w:eastAsia="zh-CN"/>
                    </w:rPr>
                  </w:pPr>
                </w:p>
              </w:tc>
              <w:tc>
                <w:tcPr>
                  <w:tcW w:w="624" w:type="pct"/>
                  <w:shd w:val="clear" w:color="auto" w:fill="auto"/>
                  <w:vAlign w:val="center"/>
                </w:tcPr>
                <w:p>
                  <w:pPr>
                    <w:pStyle w:val="22"/>
                    <w:bidi w:val="0"/>
                    <w:jc w:val="center"/>
                    <w:rPr>
                      <w:rFonts w:hint="eastAsia"/>
                      <w:lang w:val="en-US" w:eastAsia="zh-CN"/>
                    </w:rPr>
                  </w:pPr>
                  <w:r>
                    <w:rPr>
                      <w:rFonts w:hint="eastAsia"/>
                      <w:lang w:val="en-US" w:eastAsia="zh-CN"/>
                    </w:rPr>
                    <w:t>0.6</w:t>
                  </w:r>
                </w:p>
              </w:tc>
              <w:tc>
                <w:tcPr>
                  <w:tcW w:w="691" w:type="pct"/>
                  <w:shd w:val="clear" w:color="auto" w:fill="auto"/>
                  <w:vAlign w:val="center"/>
                </w:tcPr>
                <w:p>
                  <w:pPr>
                    <w:pStyle w:val="22"/>
                    <w:bidi w:val="0"/>
                    <w:jc w:val="center"/>
                    <w:rPr>
                      <w:rFonts w:hint="eastAsia"/>
                      <w:lang w:val="en-US" w:eastAsia="zh-CN"/>
                    </w:rPr>
                  </w:pPr>
                  <w:r>
                    <w:rPr>
                      <w:rFonts w:hint="eastAsia"/>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pStyle w:val="22"/>
                    <w:bidi w:val="0"/>
                    <w:jc w:val="center"/>
                    <w:rPr>
                      <w:rFonts w:hint="default"/>
                      <w:lang w:val="en-US" w:eastAsia="zh-CN"/>
                    </w:rPr>
                  </w:pPr>
                  <w:r>
                    <w:rPr>
                      <w:rFonts w:hint="eastAsia"/>
                      <w:lang w:val="en-US" w:eastAsia="zh-CN"/>
                    </w:rPr>
                    <w:t>29</w:t>
                  </w:r>
                </w:p>
              </w:tc>
              <w:tc>
                <w:tcPr>
                  <w:tcW w:w="929" w:type="pct"/>
                  <w:vAlign w:val="center"/>
                </w:tcPr>
                <w:p>
                  <w:pPr>
                    <w:pStyle w:val="22"/>
                    <w:bidi w:val="0"/>
                    <w:jc w:val="center"/>
                    <w:rPr>
                      <w:rFonts w:hint="default"/>
                      <w:lang w:val="en-US" w:eastAsia="zh-CN"/>
                    </w:rPr>
                  </w:pPr>
                  <w:r>
                    <w:rPr>
                      <w:rFonts w:hint="eastAsia"/>
                      <w:lang w:val="en-US" w:eastAsia="zh-CN"/>
                    </w:rPr>
                    <w:t>生活垃圾</w:t>
                  </w:r>
                </w:p>
              </w:tc>
              <w:tc>
                <w:tcPr>
                  <w:tcW w:w="662" w:type="pct"/>
                  <w:vMerge w:val="continue"/>
                  <w:vAlign w:val="center"/>
                </w:tcPr>
                <w:p>
                  <w:pPr>
                    <w:pStyle w:val="22"/>
                    <w:bidi w:val="0"/>
                    <w:jc w:val="center"/>
                    <w:rPr>
                      <w:rFonts w:hint="default"/>
                      <w:lang w:val="en-US" w:eastAsia="zh-CN"/>
                    </w:rPr>
                  </w:pPr>
                </w:p>
              </w:tc>
              <w:tc>
                <w:tcPr>
                  <w:tcW w:w="938" w:type="pct"/>
                  <w:vAlign w:val="center"/>
                </w:tcPr>
                <w:p>
                  <w:pPr>
                    <w:pStyle w:val="22"/>
                    <w:bidi w:val="0"/>
                    <w:jc w:val="center"/>
                    <w:rPr>
                      <w:rFonts w:hint="default"/>
                      <w:lang w:val="en-US" w:eastAsia="zh-CN"/>
                    </w:rPr>
                  </w:pPr>
                  <w:r>
                    <w:rPr>
                      <w:rFonts w:hint="eastAsia"/>
                      <w:lang w:val="en-US" w:eastAsia="zh-CN"/>
                    </w:rPr>
                    <w:t>/</w:t>
                  </w:r>
                </w:p>
              </w:tc>
              <w:tc>
                <w:tcPr>
                  <w:tcW w:w="745" w:type="pct"/>
                  <w:vMerge w:val="continue"/>
                  <w:vAlign w:val="center"/>
                </w:tcPr>
                <w:p>
                  <w:pPr>
                    <w:pStyle w:val="22"/>
                    <w:bidi w:val="0"/>
                    <w:jc w:val="center"/>
                    <w:rPr>
                      <w:rFonts w:hint="default"/>
                      <w:lang w:val="en-US" w:eastAsia="zh-CN"/>
                    </w:rPr>
                  </w:pPr>
                </w:p>
              </w:tc>
              <w:tc>
                <w:tcPr>
                  <w:tcW w:w="624" w:type="pct"/>
                  <w:vAlign w:val="center"/>
                </w:tcPr>
                <w:p>
                  <w:pPr>
                    <w:pStyle w:val="22"/>
                    <w:bidi w:val="0"/>
                    <w:jc w:val="center"/>
                    <w:rPr>
                      <w:rFonts w:hint="default"/>
                      <w:lang w:val="en-US" w:eastAsia="zh-CN"/>
                    </w:rPr>
                  </w:pPr>
                  <w:r>
                    <w:rPr>
                      <w:rFonts w:hint="eastAsia"/>
                      <w:lang w:val="en-US" w:eastAsia="zh-CN"/>
                    </w:rPr>
                    <w:t>16.4</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pct"/>
                  <w:vAlign w:val="center"/>
                </w:tcPr>
                <w:p>
                  <w:pPr>
                    <w:pStyle w:val="22"/>
                    <w:bidi w:val="0"/>
                    <w:jc w:val="center"/>
                    <w:rPr>
                      <w:rFonts w:hint="default"/>
                      <w:lang w:val="en-US" w:eastAsia="zh-CN"/>
                    </w:rPr>
                  </w:pPr>
                  <w:r>
                    <w:rPr>
                      <w:rFonts w:hint="eastAsia"/>
                      <w:lang w:val="en-US" w:eastAsia="zh-CN"/>
                    </w:rPr>
                    <w:t>30</w:t>
                  </w:r>
                </w:p>
              </w:tc>
              <w:tc>
                <w:tcPr>
                  <w:tcW w:w="929" w:type="pct"/>
                  <w:vAlign w:val="center"/>
                </w:tcPr>
                <w:p>
                  <w:pPr>
                    <w:pStyle w:val="22"/>
                    <w:bidi w:val="0"/>
                    <w:jc w:val="center"/>
                    <w:rPr>
                      <w:rFonts w:hint="default"/>
                      <w:lang w:val="en-US" w:eastAsia="zh-CN"/>
                    </w:rPr>
                  </w:pPr>
                  <w:r>
                    <w:rPr>
                      <w:rFonts w:hint="eastAsia"/>
                      <w:lang w:val="en-US" w:eastAsia="zh-CN"/>
                    </w:rPr>
                    <w:t>食堂隔油池废油</w:t>
                  </w:r>
                </w:p>
              </w:tc>
              <w:tc>
                <w:tcPr>
                  <w:tcW w:w="662" w:type="pct"/>
                  <w:vMerge w:val="continue"/>
                  <w:vAlign w:val="center"/>
                </w:tcPr>
                <w:p>
                  <w:pPr>
                    <w:pStyle w:val="22"/>
                    <w:bidi w:val="0"/>
                    <w:jc w:val="center"/>
                    <w:rPr>
                      <w:rFonts w:hint="default"/>
                      <w:lang w:val="en-US" w:eastAsia="zh-CN"/>
                    </w:rPr>
                  </w:pPr>
                </w:p>
              </w:tc>
              <w:tc>
                <w:tcPr>
                  <w:tcW w:w="938" w:type="pct"/>
                  <w:vAlign w:val="center"/>
                </w:tcPr>
                <w:p>
                  <w:pPr>
                    <w:pStyle w:val="22"/>
                    <w:bidi w:val="0"/>
                    <w:jc w:val="center"/>
                    <w:rPr>
                      <w:rFonts w:hint="default"/>
                      <w:lang w:val="en-US" w:eastAsia="zh-CN"/>
                    </w:rPr>
                  </w:pPr>
                  <w:r>
                    <w:rPr>
                      <w:rFonts w:hint="eastAsia"/>
                      <w:lang w:val="en-US" w:eastAsia="zh-CN"/>
                    </w:rPr>
                    <w:t>/</w:t>
                  </w:r>
                </w:p>
              </w:tc>
              <w:tc>
                <w:tcPr>
                  <w:tcW w:w="745" w:type="pct"/>
                  <w:vAlign w:val="center"/>
                </w:tcPr>
                <w:p>
                  <w:pPr>
                    <w:pStyle w:val="22"/>
                    <w:bidi w:val="0"/>
                    <w:jc w:val="center"/>
                    <w:rPr>
                      <w:rFonts w:hint="default"/>
                      <w:lang w:val="en-US" w:eastAsia="zh-CN"/>
                    </w:rPr>
                  </w:pPr>
                  <w:r>
                    <w:rPr>
                      <w:rFonts w:hint="eastAsia"/>
                      <w:lang w:val="en-US" w:eastAsia="zh-CN"/>
                    </w:rPr>
                    <w:t>经收集后交由有资质的单位处置</w:t>
                  </w:r>
                </w:p>
              </w:tc>
              <w:tc>
                <w:tcPr>
                  <w:tcW w:w="624" w:type="pct"/>
                  <w:vAlign w:val="center"/>
                </w:tcPr>
                <w:p>
                  <w:pPr>
                    <w:pStyle w:val="22"/>
                    <w:bidi w:val="0"/>
                    <w:jc w:val="center"/>
                    <w:rPr>
                      <w:rFonts w:hint="default"/>
                      <w:lang w:val="en-US" w:eastAsia="zh-CN"/>
                    </w:rPr>
                  </w:pPr>
                  <w:r>
                    <w:rPr>
                      <w:rFonts w:hint="eastAsia"/>
                      <w:lang w:val="en-US" w:eastAsia="zh-CN"/>
                    </w:rPr>
                    <w:t>1.75</w:t>
                  </w:r>
                </w:p>
              </w:tc>
              <w:tc>
                <w:tcPr>
                  <w:tcW w:w="691" w:type="pct"/>
                  <w:shd w:val="clear" w:color="auto" w:fill="auto"/>
                  <w:vAlign w:val="center"/>
                </w:tcPr>
                <w:p>
                  <w:pPr>
                    <w:pStyle w:val="22"/>
                    <w:bidi w:val="0"/>
                    <w:jc w:val="center"/>
                    <w:rPr>
                      <w:rFonts w:hint="default"/>
                      <w:lang w:val="en-US" w:eastAsia="zh-CN"/>
                    </w:rPr>
                  </w:pPr>
                  <w:r>
                    <w:rPr>
                      <w:rFonts w:hint="eastAsia"/>
                      <w:lang w:val="en-US" w:eastAsia="zh-CN"/>
                    </w:rPr>
                    <w:t>1.75</w:t>
                  </w:r>
                </w:p>
              </w:tc>
            </w:tr>
          </w:tbl>
          <w:p>
            <w:pPr>
              <w:rPr>
                <w:rFonts w:hint="default" w:ascii="Times New Roman" w:hAnsi="Times New Roman" w:cs="Times New Roman"/>
                <w:lang w:val="en-US" w:eastAsia="zh-CN"/>
              </w:rPr>
            </w:pPr>
            <w:r>
              <w:rPr>
                <w:rFonts w:hint="default" w:ascii="Times New Roman" w:hAnsi="Times New Roman" w:cs="Times New Roman"/>
                <w:lang w:val="en-US" w:eastAsia="zh-CN"/>
              </w:rPr>
              <w:t>根据《国家危险废物名录(2021年版)》(部令第15号)、《建设项目危险废物环境影响评价指南</w:t>
            </w:r>
            <w:r>
              <w:rPr>
                <w:rFonts w:hint="eastAsia" w:cs="Times New Roman"/>
                <w:lang w:val="en-US" w:eastAsia="zh-CN"/>
              </w:rPr>
              <w:t>》《</w:t>
            </w:r>
            <w:r>
              <w:rPr>
                <w:rFonts w:hint="default" w:ascii="Times New Roman" w:hAnsi="Times New Roman" w:cs="Times New Roman"/>
                <w:lang w:val="en-US" w:eastAsia="zh-CN"/>
              </w:rPr>
              <w:t>危险废物鉴别技术规范》(HJ/T298-2019)以及《危险废物鉴别标准 通则》(GB5085.7-2019)中相关规定，其危险属性见下表</w:t>
            </w:r>
          </w:p>
          <w:p>
            <w:pPr>
              <w:pStyle w:val="26"/>
              <w:bidi w:val="0"/>
              <w:rPr>
                <w:rFonts w:hint="default"/>
                <w:lang w:val="en-US" w:eastAsia="zh-CN"/>
              </w:rPr>
            </w:pPr>
            <w:r>
              <w:rPr>
                <w:rFonts w:hint="default"/>
                <w:lang w:val="en-US" w:eastAsia="zh-CN"/>
              </w:rPr>
              <w:t>表 4.5-3 危险废物属性一览表</w:t>
            </w:r>
          </w:p>
          <w:tbl>
            <w:tblPr>
              <w:tblStyle w:val="17"/>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2114"/>
              <w:gridCol w:w="820"/>
              <w:gridCol w:w="763"/>
              <w:gridCol w:w="496"/>
              <w:gridCol w:w="1809"/>
              <w:gridCol w:w="701"/>
              <w:gridCol w:w="949"/>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 w:type="pct"/>
                  <w:vAlign w:val="center"/>
                </w:tcPr>
                <w:p>
                  <w:pPr>
                    <w:pStyle w:val="22"/>
                    <w:bidi w:val="0"/>
                    <w:rPr>
                      <w:rFonts w:hint="default"/>
                      <w:lang w:val="en-US" w:eastAsia="zh-CN"/>
                    </w:rPr>
                  </w:pPr>
                  <w:r>
                    <w:rPr>
                      <w:rFonts w:hint="eastAsia"/>
                      <w:lang w:val="en-US" w:eastAsia="zh-CN"/>
                    </w:rPr>
                    <w:t>序号</w:t>
                  </w:r>
                </w:p>
              </w:tc>
              <w:tc>
                <w:tcPr>
                  <w:tcW w:w="1185" w:type="pct"/>
                  <w:vAlign w:val="center"/>
                </w:tcPr>
                <w:p>
                  <w:pPr>
                    <w:pStyle w:val="22"/>
                    <w:bidi w:val="0"/>
                    <w:rPr>
                      <w:rFonts w:hint="default"/>
                      <w:lang w:val="en-US" w:eastAsia="zh-CN"/>
                    </w:rPr>
                  </w:pPr>
                  <w:r>
                    <w:rPr>
                      <w:rFonts w:hint="eastAsia"/>
                      <w:lang w:val="en-US" w:eastAsia="zh-CN"/>
                    </w:rPr>
                    <w:t>名称</w:t>
                  </w:r>
                </w:p>
              </w:tc>
              <w:tc>
                <w:tcPr>
                  <w:tcW w:w="460" w:type="pct"/>
                  <w:vAlign w:val="center"/>
                </w:tcPr>
                <w:p>
                  <w:pPr>
                    <w:pStyle w:val="22"/>
                    <w:bidi w:val="0"/>
                    <w:rPr>
                      <w:rFonts w:hint="default"/>
                      <w:lang w:val="en-US" w:eastAsia="zh-CN"/>
                    </w:rPr>
                  </w:pPr>
                  <w:r>
                    <w:rPr>
                      <w:rFonts w:hint="eastAsia"/>
                      <w:lang w:val="en-US" w:eastAsia="zh-CN"/>
                    </w:rPr>
                    <w:t>产生量t/a</w:t>
                  </w:r>
                </w:p>
              </w:tc>
              <w:tc>
                <w:tcPr>
                  <w:tcW w:w="428" w:type="pct"/>
                  <w:vAlign w:val="center"/>
                </w:tcPr>
                <w:p>
                  <w:pPr>
                    <w:pStyle w:val="22"/>
                    <w:bidi w:val="0"/>
                    <w:rPr>
                      <w:rFonts w:hint="default"/>
                      <w:lang w:val="en-US" w:eastAsia="zh-CN"/>
                    </w:rPr>
                  </w:pPr>
                  <w:r>
                    <w:rPr>
                      <w:rFonts w:hint="eastAsia"/>
                      <w:lang w:val="en-US" w:eastAsia="zh-CN"/>
                    </w:rPr>
                    <w:t>产生工序</w:t>
                  </w:r>
                </w:p>
              </w:tc>
              <w:tc>
                <w:tcPr>
                  <w:tcW w:w="278" w:type="pct"/>
                  <w:vAlign w:val="center"/>
                </w:tcPr>
                <w:p>
                  <w:pPr>
                    <w:pStyle w:val="22"/>
                    <w:bidi w:val="0"/>
                    <w:rPr>
                      <w:rFonts w:hint="default"/>
                      <w:lang w:val="en-US" w:eastAsia="zh-CN"/>
                    </w:rPr>
                  </w:pPr>
                  <w:r>
                    <w:rPr>
                      <w:rFonts w:hint="eastAsia"/>
                      <w:lang w:val="en-US" w:eastAsia="zh-CN"/>
                    </w:rPr>
                    <w:t>形态</w:t>
                  </w:r>
                </w:p>
              </w:tc>
              <w:tc>
                <w:tcPr>
                  <w:tcW w:w="1014" w:type="pct"/>
                  <w:vAlign w:val="center"/>
                </w:tcPr>
                <w:p>
                  <w:pPr>
                    <w:pStyle w:val="22"/>
                    <w:bidi w:val="0"/>
                    <w:rPr>
                      <w:rFonts w:hint="default"/>
                      <w:lang w:val="en-US" w:eastAsia="zh-CN"/>
                    </w:rPr>
                  </w:pPr>
                  <w:r>
                    <w:rPr>
                      <w:rFonts w:hint="eastAsia"/>
                      <w:lang w:val="en-US" w:eastAsia="zh-CN"/>
                    </w:rPr>
                    <w:t>有害成分</w:t>
                  </w:r>
                </w:p>
              </w:tc>
              <w:tc>
                <w:tcPr>
                  <w:tcW w:w="393" w:type="pct"/>
                  <w:vAlign w:val="center"/>
                </w:tcPr>
                <w:p>
                  <w:pPr>
                    <w:pStyle w:val="22"/>
                    <w:bidi w:val="0"/>
                    <w:rPr>
                      <w:rFonts w:hint="default"/>
                      <w:lang w:val="en-US" w:eastAsia="zh-CN"/>
                    </w:rPr>
                  </w:pPr>
                  <w:r>
                    <w:rPr>
                      <w:rFonts w:hint="eastAsia"/>
                      <w:lang w:val="en-US" w:eastAsia="zh-CN"/>
                    </w:rPr>
                    <w:t>产废周期</w:t>
                  </w:r>
                </w:p>
              </w:tc>
              <w:tc>
                <w:tcPr>
                  <w:tcW w:w="532" w:type="pct"/>
                  <w:vAlign w:val="center"/>
                </w:tcPr>
                <w:p>
                  <w:pPr>
                    <w:pStyle w:val="22"/>
                    <w:bidi w:val="0"/>
                    <w:rPr>
                      <w:rFonts w:hint="default"/>
                      <w:lang w:val="en-US" w:eastAsia="zh-CN"/>
                    </w:rPr>
                  </w:pPr>
                  <w:r>
                    <w:rPr>
                      <w:rFonts w:hint="eastAsia"/>
                      <w:lang w:val="en-US" w:eastAsia="zh-CN"/>
                    </w:rPr>
                    <w:t>危险特性</w:t>
                  </w:r>
                </w:p>
              </w:tc>
              <w:tc>
                <w:tcPr>
                  <w:tcW w:w="402" w:type="pct"/>
                  <w:vAlign w:val="center"/>
                </w:tcPr>
                <w:p>
                  <w:pPr>
                    <w:pStyle w:val="22"/>
                    <w:bidi w:val="0"/>
                    <w:rPr>
                      <w:rFonts w:hint="default"/>
                      <w:lang w:val="en-US" w:eastAsia="zh-CN"/>
                    </w:rPr>
                  </w:pPr>
                  <w:r>
                    <w:rPr>
                      <w:rFonts w:hint="eastAsia"/>
                      <w:lang w:val="en-US" w:eastAsia="zh-CN"/>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default"/>
                      <w:lang w:val="en-US" w:eastAsia="zh-CN"/>
                    </w:rPr>
                    <w:t>1</w:t>
                  </w:r>
                </w:p>
              </w:tc>
              <w:tc>
                <w:tcPr>
                  <w:tcW w:w="1185" w:type="pct"/>
                  <w:shd w:val="clear" w:color="auto" w:fill="auto"/>
                  <w:vAlign w:val="center"/>
                </w:tcPr>
                <w:p>
                  <w:pPr>
                    <w:pStyle w:val="22"/>
                    <w:bidi w:val="0"/>
                    <w:rPr>
                      <w:rFonts w:hint="default"/>
                      <w:lang w:val="en-US" w:eastAsia="zh-CN"/>
                    </w:rPr>
                  </w:pPr>
                  <w:r>
                    <w:rPr>
                      <w:rFonts w:hint="default"/>
                      <w:lang w:val="en-US" w:eastAsia="zh-CN"/>
                    </w:rPr>
                    <w:t>甲醇</w:t>
                  </w:r>
                </w:p>
              </w:tc>
              <w:tc>
                <w:tcPr>
                  <w:tcW w:w="460" w:type="pct"/>
                  <w:shd w:val="clear" w:color="auto" w:fill="auto"/>
                  <w:vAlign w:val="center"/>
                </w:tcPr>
                <w:p>
                  <w:pPr>
                    <w:pStyle w:val="22"/>
                    <w:bidi w:val="0"/>
                    <w:rPr>
                      <w:rFonts w:hint="default"/>
                      <w:lang w:val="en-US" w:eastAsia="zh-CN"/>
                    </w:rPr>
                  </w:pPr>
                  <w:r>
                    <w:rPr>
                      <w:rFonts w:hint="eastAsia"/>
                      <w:lang w:val="en-US" w:eastAsia="zh-CN"/>
                    </w:rPr>
                    <w:t>0.08</w:t>
                  </w:r>
                </w:p>
              </w:tc>
              <w:tc>
                <w:tcPr>
                  <w:tcW w:w="428" w:type="pct"/>
                  <w:vMerge w:val="restart"/>
                  <w:vAlign w:val="center"/>
                </w:tcPr>
                <w:p>
                  <w:pPr>
                    <w:pStyle w:val="22"/>
                    <w:bidi w:val="0"/>
                    <w:rPr>
                      <w:rFonts w:hint="default"/>
                      <w:lang w:val="en-US" w:eastAsia="zh-CN"/>
                    </w:rPr>
                  </w:pPr>
                  <w:r>
                    <w:rPr>
                      <w:rFonts w:hint="eastAsia"/>
                      <w:lang w:val="en-US" w:eastAsia="zh-CN"/>
                    </w:rPr>
                    <w:t>残留液收集</w:t>
                  </w:r>
                </w:p>
              </w:tc>
              <w:tc>
                <w:tcPr>
                  <w:tcW w:w="278" w:type="pct"/>
                  <w:vMerge w:val="restart"/>
                  <w:vAlign w:val="center"/>
                </w:tcPr>
                <w:p>
                  <w:pPr>
                    <w:pStyle w:val="22"/>
                    <w:bidi w:val="0"/>
                    <w:rPr>
                      <w:rFonts w:hint="default"/>
                      <w:lang w:val="en-US" w:eastAsia="zh-CN"/>
                    </w:rPr>
                  </w:pPr>
                  <w:r>
                    <w:rPr>
                      <w:rFonts w:hint="eastAsia"/>
                      <w:lang w:val="en-US" w:eastAsia="zh-CN"/>
                    </w:rPr>
                    <w:t>液态</w:t>
                  </w:r>
                </w:p>
              </w:tc>
              <w:tc>
                <w:tcPr>
                  <w:tcW w:w="1014" w:type="pct"/>
                  <w:shd w:val="clear" w:color="auto" w:fill="auto"/>
                  <w:vAlign w:val="center"/>
                </w:tcPr>
                <w:p>
                  <w:pPr>
                    <w:pStyle w:val="22"/>
                    <w:bidi w:val="0"/>
                    <w:rPr>
                      <w:rFonts w:hint="default"/>
                      <w:lang w:val="en-US" w:eastAsia="zh-CN"/>
                    </w:rPr>
                  </w:pPr>
                  <w:r>
                    <w:rPr>
                      <w:rFonts w:hint="default"/>
                      <w:lang w:val="en-US" w:eastAsia="zh-CN"/>
                    </w:rPr>
                    <w:t>甲醇</w:t>
                  </w:r>
                </w:p>
              </w:tc>
              <w:tc>
                <w:tcPr>
                  <w:tcW w:w="393" w:type="pct"/>
                  <w:vMerge w:val="restart"/>
                  <w:vAlign w:val="center"/>
                </w:tcPr>
                <w:p>
                  <w:pPr>
                    <w:pStyle w:val="22"/>
                    <w:bidi w:val="0"/>
                    <w:rPr>
                      <w:rFonts w:hint="default"/>
                      <w:lang w:val="en-US" w:eastAsia="zh-CN"/>
                    </w:rPr>
                  </w:pPr>
                  <w:r>
                    <w:rPr>
                      <w:rFonts w:hint="eastAsia"/>
                      <w:lang w:val="en-US" w:eastAsia="zh-CN"/>
                    </w:rPr>
                    <w:t>年</w:t>
                  </w:r>
                </w:p>
              </w:tc>
              <w:tc>
                <w:tcPr>
                  <w:tcW w:w="532" w:type="pct"/>
                  <w:vMerge w:val="restart"/>
                  <w:vAlign w:val="center"/>
                </w:tcPr>
                <w:p>
                  <w:pPr>
                    <w:pStyle w:val="22"/>
                    <w:bidi w:val="0"/>
                    <w:rPr>
                      <w:rFonts w:hint="default"/>
                      <w:lang w:val="en-US" w:eastAsia="zh-CN"/>
                    </w:rPr>
                  </w:pPr>
                  <w:r>
                    <w:rPr>
                      <w:rFonts w:hint="eastAsia"/>
                      <w:lang w:val="en-US" w:eastAsia="zh-CN"/>
                    </w:rPr>
                    <w:t>T/C/I/R</w:t>
                  </w:r>
                </w:p>
              </w:tc>
              <w:tc>
                <w:tcPr>
                  <w:tcW w:w="402" w:type="pct"/>
                  <w:vMerge w:val="restart"/>
                  <w:vAlign w:val="center"/>
                </w:tcPr>
                <w:p>
                  <w:pPr>
                    <w:pStyle w:val="22"/>
                    <w:bidi w:val="0"/>
                    <w:rPr>
                      <w:rFonts w:hint="default"/>
                      <w:lang w:val="en-US" w:eastAsia="zh-CN"/>
                    </w:rPr>
                  </w:pPr>
                  <w:r>
                    <w:rPr>
                      <w:rFonts w:hint="eastAsia"/>
                      <w:lang w:val="en-US" w:eastAsia="zh-CN"/>
                    </w:rPr>
                    <w:t>分类收集后暂存于危废暂存间，后交由有资质的单位处置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2</w:t>
                  </w:r>
                </w:p>
              </w:tc>
              <w:tc>
                <w:tcPr>
                  <w:tcW w:w="1185" w:type="pct"/>
                  <w:shd w:val="clear" w:color="auto" w:fill="auto"/>
                  <w:vAlign w:val="center"/>
                </w:tcPr>
                <w:p>
                  <w:pPr>
                    <w:pStyle w:val="22"/>
                    <w:bidi w:val="0"/>
                    <w:rPr>
                      <w:rFonts w:hint="default"/>
                      <w:lang w:val="en-US" w:eastAsia="zh-CN"/>
                    </w:rPr>
                  </w:pPr>
                  <w:r>
                    <w:rPr>
                      <w:rFonts w:hint="default"/>
                      <w:lang w:val="en-US" w:eastAsia="zh-CN"/>
                    </w:rPr>
                    <w:t>苯酚</w:t>
                  </w:r>
                </w:p>
              </w:tc>
              <w:tc>
                <w:tcPr>
                  <w:tcW w:w="460" w:type="pct"/>
                  <w:shd w:val="clear" w:color="auto" w:fill="auto"/>
                  <w:vAlign w:val="center"/>
                </w:tcPr>
                <w:p>
                  <w:pPr>
                    <w:pStyle w:val="22"/>
                    <w:bidi w:val="0"/>
                    <w:rPr>
                      <w:rFonts w:hint="default"/>
                      <w:lang w:val="en-US" w:eastAsia="zh-CN"/>
                    </w:rPr>
                  </w:pPr>
                  <w:r>
                    <w:rPr>
                      <w:rFonts w:hint="eastAsia"/>
                      <w:lang w:val="en-US" w:eastAsia="zh-CN"/>
                    </w:rPr>
                    <w:t>0.06</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苯酚</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3</w:t>
                  </w:r>
                </w:p>
              </w:tc>
              <w:tc>
                <w:tcPr>
                  <w:tcW w:w="1185" w:type="pct"/>
                  <w:shd w:val="clear" w:color="auto" w:fill="auto"/>
                  <w:vAlign w:val="center"/>
                </w:tcPr>
                <w:p>
                  <w:pPr>
                    <w:pStyle w:val="22"/>
                    <w:bidi w:val="0"/>
                    <w:rPr>
                      <w:rFonts w:hint="default"/>
                      <w:lang w:val="en-US" w:eastAsia="zh-CN"/>
                    </w:rPr>
                  </w:pPr>
                  <w:r>
                    <w:rPr>
                      <w:rFonts w:hint="default"/>
                      <w:lang w:val="en-US" w:eastAsia="zh-CN"/>
                    </w:rPr>
                    <w:t>三乙胺</w:t>
                  </w:r>
                </w:p>
              </w:tc>
              <w:tc>
                <w:tcPr>
                  <w:tcW w:w="460" w:type="pct"/>
                  <w:shd w:val="clear" w:color="auto" w:fill="auto"/>
                  <w:vAlign w:val="center"/>
                </w:tcPr>
                <w:p>
                  <w:pPr>
                    <w:pStyle w:val="22"/>
                    <w:bidi w:val="0"/>
                    <w:rPr>
                      <w:rFonts w:hint="default"/>
                      <w:lang w:val="en-US" w:eastAsia="zh-CN"/>
                    </w:rPr>
                  </w:pPr>
                  <w:r>
                    <w:rPr>
                      <w:rFonts w:hint="eastAsia"/>
                      <w:lang w:val="en-US" w:eastAsia="zh-CN"/>
                    </w:rPr>
                    <w:t>0.04</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三乙胺</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4</w:t>
                  </w:r>
                </w:p>
              </w:tc>
              <w:tc>
                <w:tcPr>
                  <w:tcW w:w="1185" w:type="pct"/>
                  <w:shd w:val="clear" w:color="auto" w:fill="auto"/>
                  <w:vAlign w:val="center"/>
                </w:tcPr>
                <w:p>
                  <w:pPr>
                    <w:pStyle w:val="22"/>
                    <w:bidi w:val="0"/>
                    <w:rPr>
                      <w:rFonts w:hint="default"/>
                      <w:lang w:val="en-US" w:eastAsia="zh-CN"/>
                    </w:rPr>
                  </w:pPr>
                  <w:r>
                    <w:rPr>
                      <w:rFonts w:hint="default"/>
                      <w:lang w:val="en-US" w:eastAsia="zh-CN"/>
                    </w:rPr>
                    <w:t>优级品碳酸二甲酯</w:t>
                  </w:r>
                </w:p>
              </w:tc>
              <w:tc>
                <w:tcPr>
                  <w:tcW w:w="460" w:type="pct"/>
                  <w:shd w:val="clear" w:color="auto" w:fill="auto"/>
                  <w:vAlign w:val="center"/>
                </w:tcPr>
                <w:p>
                  <w:pPr>
                    <w:pStyle w:val="22"/>
                    <w:bidi w:val="0"/>
                    <w:rPr>
                      <w:rFonts w:hint="default"/>
                      <w:lang w:val="en-US" w:eastAsia="zh-CN"/>
                    </w:rPr>
                  </w:pPr>
                  <w:r>
                    <w:rPr>
                      <w:rFonts w:hint="eastAsia"/>
                      <w:lang w:val="en-US" w:eastAsia="zh-CN"/>
                    </w:rPr>
                    <w:t>0.02</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优级品碳酸二甲酯</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5</w:t>
                  </w:r>
                </w:p>
              </w:tc>
              <w:tc>
                <w:tcPr>
                  <w:tcW w:w="1185" w:type="pct"/>
                  <w:shd w:val="clear" w:color="auto" w:fill="auto"/>
                  <w:vAlign w:val="center"/>
                </w:tcPr>
                <w:p>
                  <w:pPr>
                    <w:pStyle w:val="22"/>
                    <w:bidi w:val="0"/>
                    <w:rPr>
                      <w:rFonts w:hint="default"/>
                      <w:lang w:val="en-US" w:eastAsia="zh-CN"/>
                    </w:rPr>
                  </w:pPr>
                  <w:r>
                    <w:rPr>
                      <w:rFonts w:hint="default"/>
                      <w:lang w:val="en-US" w:eastAsia="zh-CN"/>
                    </w:rPr>
                    <w:t>轻质二元醇</w:t>
                  </w:r>
                </w:p>
              </w:tc>
              <w:tc>
                <w:tcPr>
                  <w:tcW w:w="460" w:type="pct"/>
                  <w:shd w:val="clear" w:color="auto" w:fill="auto"/>
                  <w:vAlign w:val="center"/>
                </w:tcPr>
                <w:p>
                  <w:pPr>
                    <w:pStyle w:val="22"/>
                    <w:bidi w:val="0"/>
                    <w:rPr>
                      <w:rFonts w:hint="default"/>
                      <w:lang w:val="en-US" w:eastAsia="zh-CN"/>
                    </w:rPr>
                  </w:pPr>
                  <w:r>
                    <w:rPr>
                      <w:rFonts w:hint="eastAsia"/>
                      <w:lang w:val="en-US" w:eastAsia="zh-CN"/>
                    </w:rPr>
                    <w:t>0.02</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轻质二元醇</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6</w:t>
                  </w:r>
                </w:p>
              </w:tc>
              <w:tc>
                <w:tcPr>
                  <w:tcW w:w="1185" w:type="pct"/>
                  <w:shd w:val="clear" w:color="auto" w:fill="auto"/>
                  <w:vAlign w:val="center"/>
                </w:tcPr>
                <w:p>
                  <w:pPr>
                    <w:pStyle w:val="22"/>
                    <w:bidi w:val="0"/>
                    <w:rPr>
                      <w:rFonts w:hint="default"/>
                      <w:lang w:val="en-US" w:eastAsia="zh-CN"/>
                    </w:rPr>
                  </w:pPr>
                  <w:r>
                    <w:rPr>
                      <w:rFonts w:hint="default"/>
                      <w:lang w:val="en-US" w:eastAsia="zh-CN"/>
                    </w:rPr>
                    <w:t>混合一元醇</w:t>
                  </w:r>
                </w:p>
              </w:tc>
              <w:tc>
                <w:tcPr>
                  <w:tcW w:w="460" w:type="pct"/>
                  <w:shd w:val="clear" w:color="auto" w:fill="auto"/>
                  <w:vAlign w:val="center"/>
                </w:tcPr>
                <w:p>
                  <w:pPr>
                    <w:pStyle w:val="22"/>
                    <w:bidi w:val="0"/>
                    <w:rPr>
                      <w:rFonts w:hint="default"/>
                      <w:lang w:val="en-US" w:eastAsia="zh-CN"/>
                    </w:rPr>
                  </w:pPr>
                  <w:r>
                    <w:rPr>
                      <w:rFonts w:hint="eastAsia"/>
                      <w:lang w:val="en-US" w:eastAsia="zh-CN"/>
                    </w:rPr>
                    <w:t>0.02</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混合一元醇</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7</w:t>
                  </w:r>
                </w:p>
              </w:tc>
              <w:tc>
                <w:tcPr>
                  <w:tcW w:w="1185" w:type="pct"/>
                  <w:shd w:val="clear" w:color="auto" w:fill="auto"/>
                  <w:vAlign w:val="center"/>
                </w:tcPr>
                <w:p>
                  <w:pPr>
                    <w:pStyle w:val="22"/>
                    <w:bidi w:val="0"/>
                    <w:rPr>
                      <w:rFonts w:hint="default"/>
                      <w:lang w:val="en-US" w:eastAsia="zh-CN"/>
                    </w:rPr>
                  </w:pPr>
                  <w:r>
                    <w:rPr>
                      <w:rFonts w:hint="default"/>
                      <w:lang w:val="en-US" w:eastAsia="zh-CN"/>
                    </w:rPr>
                    <w:t>重质二元醇</w:t>
                  </w:r>
                </w:p>
              </w:tc>
              <w:tc>
                <w:tcPr>
                  <w:tcW w:w="460" w:type="pct"/>
                  <w:shd w:val="clear" w:color="auto" w:fill="auto"/>
                  <w:vAlign w:val="center"/>
                </w:tcPr>
                <w:p>
                  <w:pPr>
                    <w:pStyle w:val="22"/>
                    <w:bidi w:val="0"/>
                    <w:rPr>
                      <w:rFonts w:hint="default"/>
                      <w:lang w:val="en-US" w:eastAsia="zh-CN"/>
                    </w:rPr>
                  </w:pPr>
                  <w:r>
                    <w:rPr>
                      <w:rFonts w:hint="eastAsia"/>
                      <w:lang w:val="en-US" w:eastAsia="zh-CN"/>
                    </w:rPr>
                    <w:t>0.02</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重质二元醇</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8</w:t>
                  </w:r>
                </w:p>
              </w:tc>
              <w:tc>
                <w:tcPr>
                  <w:tcW w:w="1185" w:type="pct"/>
                  <w:shd w:val="clear" w:color="auto" w:fill="auto"/>
                  <w:vAlign w:val="center"/>
                </w:tcPr>
                <w:p>
                  <w:pPr>
                    <w:pStyle w:val="22"/>
                    <w:bidi w:val="0"/>
                    <w:rPr>
                      <w:rFonts w:hint="default"/>
                      <w:lang w:val="en-US" w:eastAsia="zh-CN"/>
                    </w:rPr>
                  </w:pPr>
                  <w:r>
                    <w:rPr>
                      <w:rFonts w:hint="default"/>
                      <w:lang w:val="en-US" w:eastAsia="zh-CN"/>
                    </w:rPr>
                    <w:t>乙二醇</w:t>
                  </w:r>
                </w:p>
              </w:tc>
              <w:tc>
                <w:tcPr>
                  <w:tcW w:w="460" w:type="pct"/>
                  <w:shd w:val="clear" w:color="auto" w:fill="auto"/>
                  <w:vAlign w:val="center"/>
                </w:tcPr>
                <w:p>
                  <w:pPr>
                    <w:pStyle w:val="22"/>
                    <w:bidi w:val="0"/>
                    <w:rPr>
                      <w:rFonts w:hint="default"/>
                      <w:lang w:val="en-US" w:eastAsia="zh-CN"/>
                    </w:rPr>
                  </w:pPr>
                  <w:r>
                    <w:rPr>
                      <w:rFonts w:hint="eastAsia"/>
                      <w:lang w:val="en-US" w:eastAsia="zh-CN"/>
                    </w:rPr>
                    <w:t>0.02</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乙二醇</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9</w:t>
                  </w:r>
                </w:p>
              </w:tc>
              <w:tc>
                <w:tcPr>
                  <w:tcW w:w="1185" w:type="pct"/>
                  <w:shd w:val="clear" w:color="auto" w:fill="auto"/>
                  <w:vAlign w:val="center"/>
                </w:tcPr>
                <w:p>
                  <w:pPr>
                    <w:pStyle w:val="22"/>
                    <w:bidi w:val="0"/>
                    <w:rPr>
                      <w:rFonts w:hint="default"/>
                      <w:lang w:val="en-US" w:eastAsia="zh-CN"/>
                    </w:rPr>
                  </w:pPr>
                  <w:r>
                    <w:rPr>
                      <w:rFonts w:hint="default"/>
                      <w:lang w:val="en-US" w:eastAsia="zh-CN"/>
                    </w:rPr>
                    <w:t>碳酸甲乙酯</w:t>
                  </w:r>
                </w:p>
              </w:tc>
              <w:tc>
                <w:tcPr>
                  <w:tcW w:w="460" w:type="pct"/>
                  <w:shd w:val="clear" w:color="auto" w:fill="auto"/>
                  <w:vAlign w:val="center"/>
                </w:tcPr>
                <w:p>
                  <w:pPr>
                    <w:pStyle w:val="22"/>
                    <w:bidi w:val="0"/>
                    <w:rPr>
                      <w:rFonts w:hint="default"/>
                      <w:lang w:val="en-US" w:eastAsia="zh-CN"/>
                    </w:rPr>
                  </w:pPr>
                  <w:r>
                    <w:rPr>
                      <w:rFonts w:hint="eastAsia"/>
                      <w:lang w:val="en-US" w:eastAsia="zh-CN"/>
                    </w:rPr>
                    <w:t>0.02</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碳酸甲乙酯</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10</w:t>
                  </w:r>
                </w:p>
              </w:tc>
              <w:tc>
                <w:tcPr>
                  <w:tcW w:w="1185" w:type="pct"/>
                  <w:shd w:val="clear" w:color="auto" w:fill="auto"/>
                  <w:vAlign w:val="center"/>
                </w:tcPr>
                <w:p>
                  <w:pPr>
                    <w:pStyle w:val="22"/>
                    <w:bidi w:val="0"/>
                    <w:rPr>
                      <w:rFonts w:hint="default"/>
                      <w:lang w:val="en-US" w:eastAsia="zh-CN"/>
                    </w:rPr>
                  </w:pPr>
                  <w:r>
                    <w:rPr>
                      <w:rFonts w:hint="default"/>
                      <w:lang w:val="en-US" w:eastAsia="zh-CN"/>
                    </w:rPr>
                    <w:t>碳酸二乙酯</w:t>
                  </w:r>
                </w:p>
              </w:tc>
              <w:tc>
                <w:tcPr>
                  <w:tcW w:w="460" w:type="pct"/>
                  <w:shd w:val="clear" w:color="auto" w:fill="auto"/>
                  <w:vAlign w:val="center"/>
                </w:tcPr>
                <w:p>
                  <w:pPr>
                    <w:pStyle w:val="22"/>
                    <w:bidi w:val="0"/>
                    <w:rPr>
                      <w:rFonts w:hint="default"/>
                      <w:lang w:val="en-US" w:eastAsia="zh-CN"/>
                    </w:rPr>
                  </w:pPr>
                  <w:r>
                    <w:rPr>
                      <w:rFonts w:hint="eastAsia"/>
                      <w:lang w:val="en-US" w:eastAsia="zh-CN"/>
                    </w:rPr>
                    <w:t>0.04</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碳酸二乙酯</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11</w:t>
                  </w:r>
                </w:p>
              </w:tc>
              <w:tc>
                <w:tcPr>
                  <w:tcW w:w="1185" w:type="pct"/>
                  <w:shd w:val="clear" w:color="auto" w:fill="auto"/>
                  <w:vAlign w:val="center"/>
                </w:tcPr>
                <w:p>
                  <w:pPr>
                    <w:pStyle w:val="22"/>
                    <w:bidi w:val="0"/>
                    <w:rPr>
                      <w:rFonts w:hint="default"/>
                      <w:lang w:val="en-US" w:eastAsia="zh-CN"/>
                    </w:rPr>
                  </w:pPr>
                  <w:r>
                    <w:rPr>
                      <w:rFonts w:hint="default"/>
                      <w:lang w:val="en-US" w:eastAsia="zh-CN"/>
                    </w:rPr>
                    <w:t>电子级碳酸二甲酯</w:t>
                  </w:r>
                </w:p>
              </w:tc>
              <w:tc>
                <w:tcPr>
                  <w:tcW w:w="460" w:type="pct"/>
                  <w:shd w:val="clear" w:color="auto" w:fill="auto"/>
                  <w:vAlign w:val="center"/>
                </w:tcPr>
                <w:p>
                  <w:pPr>
                    <w:pStyle w:val="22"/>
                    <w:bidi w:val="0"/>
                    <w:rPr>
                      <w:rFonts w:hint="default"/>
                      <w:lang w:val="en-US" w:eastAsia="zh-CN"/>
                    </w:rPr>
                  </w:pPr>
                  <w:r>
                    <w:rPr>
                      <w:rFonts w:hint="eastAsia"/>
                      <w:lang w:val="en-US" w:eastAsia="zh-CN"/>
                    </w:rPr>
                    <w:t>0.02</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电子级碳酸二甲酯</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12</w:t>
                  </w:r>
                </w:p>
              </w:tc>
              <w:tc>
                <w:tcPr>
                  <w:tcW w:w="1185" w:type="pct"/>
                  <w:shd w:val="clear" w:color="auto" w:fill="auto"/>
                  <w:vAlign w:val="center"/>
                </w:tcPr>
                <w:p>
                  <w:pPr>
                    <w:pStyle w:val="22"/>
                    <w:bidi w:val="0"/>
                    <w:rPr>
                      <w:rFonts w:hint="default"/>
                      <w:lang w:val="en-US" w:eastAsia="zh-CN"/>
                    </w:rPr>
                  </w:pPr>
                  <w:r>
                    <w:rPr>
                      <w:rFonts w:hint="default"/>
                      <w:lang w:val="en-US" w:eastAsia="zh-CN"/>
                    </w:rPr>
                    <w:t>二硫化碳</w:t>
                  </w:r>
                </w:p>
              </w:tc>
              <w:tc>
                <w:tcPr>
                  <w:tcW w:w="460" w:type="pct"/>
                  <w:shd w:val="clear" w:color="auto" w:fill="auto"/>
                  <w:vAlign w:val="center"/>
                </w:tcPr>
                <w:p>
                  <w:pPr>
                    <w:pStyle w:val="22"/>
                    <w:bidi w:val="0"/>
                    <w:rPr>
                      <w:rFonts w:hint="default"/>
                      <w:lang w:val="en-US" w:eastAsia="zh-CN"/>
                    </w:rPr>
                  </w:pPr>
                  <w:r>
                    <w:rPr>
                      <w:rFonts w:hint="eastAsia"/>
                      <w:lang w:val="en-US" w:eastAsia="zh-CN"/>
                    </w:rPr>
                    <w:t>0.04</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二硫化碳</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13</w:t>
                  </w:r>
                </w:p>
              </w:tc>
              <w:tc>
                <w:tcPr>
                  <w:tcW w:w="1185" w:type="pct"/>
                  <w:shd w:val="clear" w:color="auto" w:fill="auto"/>
                  <w:vAlign w:val="center"/>
                </w:tcPr>
                <w:p>
                  <w:pPr>
                    <w:pStyle w:val="22"/>
                    <w:bidi w:val="0"/>
                    <w:rPr>
                      <w:rFonts w:hint="default"/>
                      <w:lang w:val="en-US" w:eastAsia="zh-CN"/>
                    </w:rPr>
                  </w:pPr>
                  <w:r>
                    <w:rPr>
                      <w:rFonts w:hint="default"/>
                      <w:lang w:val="en-US" w:eastAsia="zh-CN"/>
                    </w:rPr>
                    <w:t>98%硫酸</w:t>
                  </w:r>
                </w:p>
              </w:tc>
              <w:tc>
                <w:tcPr>
                  <w:tcW w:w="460" w:type="pct"/>
                  <w:shd w:val="clear" w:color="auto" w:fill="auto"/>
                  <w:vAlign w:val="center"/>
                </w:tcPr>
                <w:p>
                  <w:pPr>
                    <w:pStyle w:val="22"/>
                    <w:bidi w:val="0"/>
                    <w:rPr>
                      <w:rFonts w:hint="default"/>
                      <w:lang w:val="en-US" w:eastAsia="zh-CN"/>
                    </w:rPr>
                  </w:pPr>
                  <w:r>
                    <w:rPr>
                      <w:rFonts w:hint="eastAsia"/>
                      <w:lang w:val="en-US" w:eastAsia="zh-CN"/>
                    </w:rPr>
                    <w:t>0.08</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98%硫酸</w:t>
                  </w:r>
                </w:p>
              </w:tc>
              <w:tc>
                <w:tcPr>
                  <w:tcW w:w="393" w:type="pct"/>
                  <w:vMerge w:val="continue"/>
                  <w:vAlign w:val="center"/>
                </w:tcPr>
                <w:p>
                  <w:pPr>
                    <w:pStyle w:val="22"/>
                    <w:bidi w:val="0"/>
                    <w:rPr>
                      <w:rFonts w:hint="default"/>
                      <w:lang w:val="en-US" w:eastAsia="zh-CN"/>
                    </w:rPr>
                  </w:pPr>
                </w:p>
              </w:tc>
              <w:tc>
                <w:tcPr>
                  <w:tcW w:w="532" w:type="pct"/>
                  <w:vMerge w:val="restart"/>
                  <w:vAlign w:val="center"/>
                </w:tcPr>
                <w:p>
                  <w:pPr>
                    <w:pStyle w:val="22"/>
                    <w:bidi w:val="0"/>
                    <w:rPr>
                      <w:rFonts w:hint="default"/>
                      <w:lang w:val="en-US" w:eastAsia="zh-CN"/>
                    </w:rPr>
                  </w:pPr>
                  <w:r>
                    <w:rPr>
                      <w:rFonts w:hint="eastAsia"/>
                      <w:lang w:val="en-US" w:eastAsia="zh-CN"/>
                    </w:rPr>
                    <w:t>C/T</w:t>
                  </w: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14</w:t>
                  </w:r>
                </w:p>
              </w:tc>
              <w:tc>
                <w:tcPr>
                  <w:tcW w:w="1185" w:type="pct"/>
                  <w:shd w:val="clear" w:color="auto" w:fill="auto"/>
                  <w:vAlign w:val="center"/>
                </w:tcPr>
                <w:p>
                  <w:pPr>
                    <w:pStyle w:val="22"/>
                    <w:bidi w:val="0"/>
                    <w:rPr>
                      <w:rFonts w:hint="default"/>
                      <w:lang w:val="en-US" w:eastAsia="zh-CN"/>
                    </w:rPr>
                  </w:pPr>
                  <w:r>
                    <w:rPr>
                      <w:rFonts w:hint="default"/>
                      <w:lang w:val="en-US" w:eastAsia="zh-CN"/>
                    </w:rPr>
                    <w:t>试剂硫酸</w:t>
                  </w:r>
                </w:p>
              </w:tc>
              <w:tc>
                <w:tcPr>
                  <w:tcW w:w="460" w:type="pct"/>
                  <w:shd w:val="clear" w:color="auto" w:fill="auto"/>
                  <w:vAlign w:val="center"/>
                </w:tcPr>
                <w:p>
                  <w:pPr>
                    <w:pStyle w:val="22"/>
                    <w:bidi w:val="0"/>
                    <w:rPr>
                      <w:rFonts w:hint="default"/>
                      <w:lang w:val="en-US" w:eastAsia="zh-CN"/>
                    </w:rPr>
                  </w:pPr>
                  <w:r>
                    <w:rPr>
                      <w:rFonts w:hint="eastAsia"/>
                      <w:lang w:val="en-US" w:eastAsia="zh-CN"/>
                    </w:rPr>
                    <w:t>0.06</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试剂硫酸</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15</w:t>
                  </w:r>
                </w:p>
              </w:tc>
              <w:tc>
                <w:tcPr>
                  <w:tcW w:w="1185" w:type="pct"/>
                  <w:shd w:val="clear" w:color="auto" w:fill="auto"/>
                  <w:vAlign w:val="center"/>
                </w:tcPr>
                <w:p>
                  <w:pPr>
                    <w:pStyle w:val="22"/>
                    <w:bidi w:val="0"/>
                    <w:rPr>
                      <w:rFonts w:hint="default"/>
                      <w:lang w:val="en-US" w:eastAsia="zh-CN"/>
                    </w:rPr>
                  </w:pPr>
                  <w:r>
                    <w:rPr>
                      <w:rFonts w:hint="default"/>
                      <w:lang w:val="en-US" w:eastAsia="zh-CN"/>
                    </w:rPr>
                    <w:t>31%盐酸</w:t>
                  </w:r>
                </w:p>
              </w:tc>
              <w:tc>
                <w:tcPr>
                  <w:tcW w:w="460" w:type="pct"/>
                  <w:shd w:val="clear" w:color="auto" w:fill="auto"/>
                  <w:vAlign w:val="center"/>
                </w:tcPr>
                <w:p>
                  <w:pPr>
                    <w:pStyle w:val="22"/>
                    <w:bidi w:val="0"/>
                    <w:rPr>
                      <w:rFonts w:hint="default"/>
                      <w:lang w:val="en-US" w:eastAsia="zh-CN"/>
                    </w:rPr>
                  </w:pPr>
                  <w:r>
                    <w:rPr>
                      <w:rFonts w:hint="eastAsia"/>
                      <w:lang w:val="en-US" w:eastAsia="zh-CN"/>
                    </w:rPr>
                    <w:t>0.04</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31%盐酸</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16</w:t>
                  </w:r>
                </w:p>
              </w:tc>
              <w:tc>
                <w:tcPr>
                  <w:tcW w:w="1185" w:type="pct"/>
                  <w:shd w:val="clear" w:color="auto" w:fill="auto"/>
                  <w:vAlign w:val="center"/>
                </w:tcPr>
                <w:p>
                  <w:pPr>
                    <w:pStyle w:val="22"/>
                    <w:bidi w:val="0"/>
                    <w:rPr>
                      <w:rFonts w:hint="default"/>
                      <w:lang w:val="en-US" w:eastAsia="zh-CN"/>
                    </w:rPr>
                  </w:pPr>
                  <w:r>
                    <w:rPr>
                      <w:rFonts w:hint="default"/>
                      <w:lang w:val="en-US" w:eastAsia="zh-CN"/>
                    </w:rPr>
                    <w:t>85%磷酸</w:t>
                  </w:r>
                </w:p>
              </w:tc>
              <w:tc>
                <w:tcPr>
                  <w:tcW w:w="460" w:type="pct"/>
                  <w:shd w:val="clear" w:color="auto" w:fill="auto"/>
                  <w:vAlign w:val="center"/>
                </w:tcPr>
                <w:p>
                  <w:pPr>
                    <w:pStyle w:val="22"/>
                    <w:bidi w:val="0"/>
                    <w:rPr>
                      <w:rFonts w:hint="default"/>
                      <w:lang w:val="en-US" w:eastAsia="zh-CN"/>
                    </w:rPr>
                  </w:pPr>
                  <w:r>
                    <w:rPr>
                      <w:rFonts w:hint="eastAsia"/>
                      <w:lang w:val="en-US" w:eastAsia="zh-CN"/>
                    </w:rPr>
                    <w:t>0.02</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85%磷酸</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17</w:t>
                  </w:r>
                </w:p>
              </w:tc>
              <w:tc>
                <w:tcPr>
                  <w:tcW w:w="1185" w:type="pct"/>
                  <w:shd w:val="clear" w:color="auto" w:fill="auto"/>
                  <w:vAlign w:val="center"/>
                </w:tcPr>
                <w:p>
                  <w:pPr>
                    <w:pStyle w:val="22"/>
                    <w:bidi w:val="0"/>
                    <w:rPr>
                      <w:rFonts w:hint="default"/>
                      <w:lang w:val="en-US" w:eastAsia="zh-CN"/>
                    </w:rPr>
                  </w:pPr>
                  <w:r>
                    <w:rPr>
                      <w:rFonts w:hint="default"/>
                      <w:lang w:val="en-US" w:eastAsia="zh-CN"/>
                    </w:rPr>
                    <w:t>40%氢氟酸</w:t>
                  </w:r>
                </w:p>
              </w:tc>
              <w:tc>
                <w:tcPr>
                  <w:tcW w:w="460" w:type="pct"/>
                  <w:shd w:val="clear" w:color="auto" w:fill="auto"/>
                  <w:vAlign w:val="center"/>
                </w:tcPr>
                <w:p>
                  <w:pPr>
                    <w:pStyle w:val="22"/>
                    <w:bidi w:val="0"/>
                    <w:rPr>
                      <w:rFonts w:hint="default"/>
                      <w:lang w:val="en-US" w:eastAsia="zh-CN"/>
                    </w:rPr>
                  </w:pPr>
                  <w:r>
                    <w:rPr>
                      <w:rFonts w:hint="eastAsia"/>
                      <w:lang w:val="en-US" w:eastAsia="zh-CN"/>
                    </w:rPr>
                    <w:t>0.04</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40%氢氟酸</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18</w:t>
                  </w:r>
                </w:p>
              </w:tc>
              <w:tc>
                <w:tcPr>
                  <w:tcW w:w="1185" w:type="pct"/>
                  <w:shd w:val="clear" w:color="auto" w:fill="auto"/>
                  <w:vAlign w:val="center"/>
                </w:tcPr>
                <w:p>
                  <w:pPr>
                    <w:pStyle w:val="22"/>
                    <w:bidi w:val="0"/>
                    <w:rPr>
                      <w:rFonts w:hint="default"/>
                      <w:lang w:val="en-US" w:eastAsia="zh-CN"/>
                    </w:rPr>
                  </w:pPr>
                  <w:r>
                    <w:rPr>
                      <w:rFonts w:hint="default"/>
                      <w:lang w:val="en-US" w:eastAsia="zh-CN"/>
                    </w:rPr>
                    <w:t>草酸</w:t>
                  </w:r>
                </w:p>
              </w:tc>
              <w:tc>
                <w:tcPr>
                  <w:tcW w:w="460" w:type="pct"/>
                  <w:shd w:val="clear" w:color="auto" w:fill="auto"/>
                  <w:vAlign w:val="center"/>
                </w:tcPr>
                <w:p>
                  <w:pPr>
                    <w:pStyle w:val="22"/>
                    <w:bidi w:val="0"/>
                    <w:rPr>
                      <w:rFonts w:hint="default"/>
                      <w:lang w:val="en-US" w:eastAsia="zh-CN"/>
                    </w:rPr>
                  </w:pPr>
                  <w:r>
                    <w:rPr>
                      <w:rFonts w:hint="eastAsia"/>
                      <w:lang w:val="en-US" w:eastAsia="zh-CN"/>
                    </w:rPr>
                    <w:t>0.02</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草酸</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19</w:t>
                  </w:r>
                </w:p>
              </w:tc>
              <w:tc>
                <w:tcPr>
                  <w:tcW w:w="1185" w:type="pct"/>
                  <w:shd w:val="clear" w:color="auto" w:fill="auto"/>
                  <w:vAlign w:val="center"/>
                </w:tcPr>
                <w:p>
                  <w:pPr>
                    <w:pStyle w:val="22"/>
                    <w:bidi w:val="0"/>
                    <w:rPr>
                      <w:rFonts w:hint="default"/>
                      <w:lang w:val="en-US" w:eastAsia="zh-CN"/>
                    </w:rPr>
                  </w:pPr>
                  <w:r>
                    <w:rPr>
                      <w:rFonts w:hint="default"/>
                      <w:lang w:val="en-US" w:eastAsia="zh-CN"/>
                    </w:rPr>
                    <w:t>硝酸</w:t>
                  </w:r>
                </w:p>
              </w:tc>
              <w:tc>
                <w:tcPr>
                  <w:tcW w:w="460" w:type="pct"/>
                  <w:shd w:val="clear" w:color="auto" w:fill="auto"/>
                  <w:vAlign w:val="center"/>
                </w:tcPr>
                <w:p>
                  <w:pPr>
                    <w:pStyle w:val="22"/>
                    <w:bidi w:val="0"/>
                    <w:rPr>
                      <w:rFonts w:hint="default"/>
                      <w:lang w:val="en-US" w:eastAsia="zh-CN"/>
                    </w:rPr>
                  </w:pPr>
                  <w:r>
                    <w:rPr>
                      <w:rFonts w:hint="eastAsia"/>
                      <w:lang w:val="en-US" w:eastAsia="zh-CN"/>
                    </w:rPr>
                    <w:t>0.06</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硝酸</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 w:type="pct"/>
                  <w:shd w:val="clear" w:color="auto" w:fill="auto"/>
                  <w:vAlign w:val="center"/>
                </w:tcPr>
                <w:p>
                  <w:pPr>
                    <w:pStyle w:val="22"/>
                    <w:bidi w:val="0"/>
                    <w:rPr>
                      <w:rFonts w:hint="default"/>
                      <w:lang w:val="en-US" w:eastAsia="zh-CN"/>
                    </w:rPr>
                  </w:pPr>
                  <w:r>
                    <w:rPr>
                      <w:rFonts w:hint="eastAsia"/>
                      <w:lang w:val="en-US" w:eastAsia="zh-CN"/>
                    </w:rPr>
                    <w:t>20</w:t>
                  </w:r>
                </w:p>
              </w:tc>
              <w:tc>
                <w:tcPr>
                  <w:tcW w:w="1185" w:type="pct"/>
                  <w:shd w:val="clear" w:color="auto" w:fill="auto"/>
                  <w:vAlign w:val="center"/>
                </w:tcPr>
                <w:p>
                  <w:pPr>
                    <w:pStyle w:val="22"/>
                    <w:bidi w:val="0"/>
                    <w:rPr>
                      <w:rFonts w:hint="default"/>
                      <w:lang w:val="en-US" w:eastAsia="zh-CN"/>
                    </w:rPr>
                  </w:pPr>
                  <w:r>
                    <w:rPr>
                      <w:rFonts w:hint="default"/>
                      <w:lang w:val="en-US" w:eastAsia="zh-CN"/>
                    </w:rPr>
                    <w:t>42%氢氧化钠</w:t>
                  </w:r>
                </w:p>
              </w:tc>
              <w:tc>
                <w:tcPr>
                  <w:tcW w:w="460" w:type="pct"/>
                  <w:shd w:val="clear" w:color="auto" w:fill="auto"/>
                  <w:vAlign w:val="center"/>
                </w:tcPr>
                <w:p>
                  <w:pPr>
                    <w:pStyle w:val="22"/>
                    <w:bidi w:val="0"/>
                    <w:rPr>
                      <w:rFonts w:hint="default"/>
                      <w:lang w:val="en-US" w:eastAsia="zh-CN"/>
                    </w:rPr>
                  </w:pPr>
                  <w:r>
                    <w:rPr>
                      <w:rFonts w:hint="eastAsia"/>
                      <w:lang w:val="en-US" w:eastAsia="zh-CN"/>
                    </w:rPr>
                    <w:t>0.06</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42%氢氧化钠</w:t>
                  </w:r>
                </w:p>
              </w:tc>
              <w:tc>
                <w:tcPr>
                  <w:tcW w:w="393" w:type="pct"/>
                  <w:vMerge w:val="continue"/>
                  <w:vAlign w:val="center"/>
                </w:tcPr>
                <w:p>
                  <w:pPr>
                    <w:pStyle w:val="22"/>
                    <w:bidi w:val="0"/>
                    <w:rPr>
                      <w:rFonts w:hint="default"/>
                      <w:lang w:val="en-US" w:eastAsia="zh-CN"/>
                    </w:rPr>
                  </w:pPr>
                </w:p>
              </w:tc>
              <w:tc>
                <w:tcPr>
                  <w:tcW w:w="532" w:type="pct"/>
                  <w:vMerge w:val="restart"/>
                  <w:vAlign w:val="center"/>
                </w:tcPr>
                <w:p>
                  <w:pPr>
                    <w:pStyle w:val="22"/>
                    <w:bidi w:val="0"/>
                    <w:rPr>
                      <w:rFonts w:hint="default"/>
                      <w:lang w:val="en-US" w:eastAsia="zh-CN"/>
                    </w:rPr>
                  </w:pPr>
                  <w:r>
                    <w:rPr>
                      <w:rFonts w:hint="eastAsia"/>
                      <w:lang w:val="en-US" w:eastAsia="zh-CN"/>
                    </w:rPr>
                    <w:t>T/C</w:t>
                  </w: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21</w:t>
                  </w:r>
                </w:p>
              </w:tc>
              <w:tc>
                <w:tcPr>
                  <w:tcW w:w="1185" w:type="pct"/>
                  <w:shd w:val="clear" w:color="auto" w:fill="auto"/>
                  <w:vAlign w:val="center"/>
                </w:tcPr>
                <w:p>
                  <w:pPr>
                    <w:pStyle w:val="22"/>
                    <w:bidi w:val="0"/>
                    <w:rPr>
                      <w:rFonts w:hint="default"/>
                      <w:lang w:val="en-US" w:eastAsia="zh-CN"/>
                    </w:rPr>
                  </w:pPr>
                  <w:r>
                    <w:rPr>
                      <w:rFonts w:hint="default"/>
                      <w:lang w:val="en-US" w:eastAsia="zh-CN"/>
                    </w:rPr>
                    <w:t>液碱</w:t>
                  </w:r>
                </w:p>
              </w:tc>
              <w:tc>
                <w:tcPr>
                  <w:tcW w:w="460" w:type="pct"/>
                  <w:shd w:val="clear" w:color="auto" w:fill="auto"/>
                  <w:vAlign w:val="center"/>
                </w:tcPr>
                <w:p>
                  <w:pPr>
                    <w:pStyle w:val="22"/>
                    <w:bidi w:val="0"/>
                    <w:rPr>
                      <w:rFonts w:hint="default"/>
                      <w:lang w:val="en-US" w:eastAsia="zh-CN"/>
                    </w:rPr>
                  </w:pPr>
                  <w:r>
                    <w:rPr>
                      <w:rFonts w:hint="eastAsia"/>
                      <w:lang w:val="en-US" w:eastAsia="zh-CN"/>
                    </w:rPr>
                    <w:t>0.04</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液碱</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22</w:t>
                  </w:r>
                </w:p>
              </w:tc>
              <w:tc>
                <w:tcPr>
                  <w:tcW w:w="1185" w:type="pct"/>
                  <w:shd w:val="clear" w:color="auto" w:fill="auto"/>
                  <w:vAlign w:val="center"/>
                </w:tcPr>
                <w:p>
                  <w:pPr>
                    <w:pStyle w:val="22"/>
                    <w:bidi w:val="0"/>
                    <w:rPr>
                      <w:rFonts w:hint="default"/>
                      <w:lang w:val="en-US" w:eastAsia="zh-CN"/>
                    </w:rPr>
                  </w:pPr>
                  <w:r>
                    <w:rPr>
                      <w:rFonts w:hint="default"/>
                      <w:lang w:val="en-US" w:eastAsia="zh-CN"/>
                    </w:rPr>
                    <w:t>氨水</w:t>
                  </w:r>
                </w:p>
              </w:tc>
              <w:tc>
                <w:tcPr>
                  <w:tcW w:w="460" w:type="pct"/>
                  <w:shd w:val="clear" w:color="auto" w:fill="auto"/>
                  <w:vAlign w:val="center"/>
                </w:tcPr>
                <w:p>
                  <w:pPr>
                    <w:pStyle w:val="22"/>
                    <w:bidi w:val="0"/>
                    <w:rPr>
                      <w:rFonts w:hint="default"/>
                      <w:lang w:val="en-US" w:eastAsia="zh-CN"/>
                    </w:rPr>
                  </w:pPr>
                  <w:r>
                    <w:rPr>
                      <w:rFonts w:hint="eastAsia"/>
                      <w:lang w:val="en-US" w:eastAsia="zh-CN"/>
                    </w:rPr>
                    <w:t>0.04</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default"/>
                      <w:lang w:val="en-US" w:eastAsia="zh-CN"/>
                    </w:rPr>
                    <w:t>氨水</w:t>
                  </w:r>
                </w:p>
              </w:tc>
              <w:tc>
                <w:tcPr>
                  <w:tcW w:w="393" w:type="pct"/>
                  <w:vMerge w:val="continue"/>
                  <w:vAlign w:val="center"/>
                </w:tcPr>
                <w:p>
                  <w:pPr>
                    <w:pStyle w:val="22"/>
                    <w:bidi w:val="0"/>
                    <w:rPr>
                      <w:rFonts w:hint="default"/>
                      <w:lang w:val="en-US" w:eastAsia="zh-CN"/>
                    </w:rPr>
                  </w:pPr>
                </w:p>
              </w:tc>
              <w:tc>
                <w:tcPr>
                  <w:tcW w:w="532" w:type="pct"/>
                  <w:vMerge w:val="continue"/>
                  <w:vAlign w:val="center"/>
                </w:tcPr>
                <w:p>
                  <w:pPr>
                    <w:pStyle w:val="22"/>
                    <w:bidi w:val="0"/>
                    <w:rPr>
                      <w:rFonts w:hint="default"/>
                      <w:lang w:val="en-US" w:eastAsia="zh-CN"/>
                    </w:rPr>
                  </w:pP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 w:type="pct"/>
                  <w:shd w:val="clear" w:color="auto" w:fill="auto"/>
                  <w:vAlign w:val="center"/>
                </w:tcPr>
                <w:p>
                  <w:pPr>
                    <w:pStyle w:val="22"/>
                    <w:bidi w:val="0"/>
                    <w:rPr>
                      <w:rFonts w:hint="default"/>
                      <w:lang w:val="en-US" w:eastAsia="zh-CN"/>
                    </w:rPr>
                  </w:pPr>
                  <w:r>
                    <w:rPr>
                      <w:rFonts w:hint="eastAsia"/>
                      <w:lang w:val="en-US" w:eastAsia="zh-CN"/>
                    </w:rPr>
                    <w:t>23</w:t>
                  </w:r>
                </w:p>
              </w:tc>
              <w:tc>
                <w:tcPr>
                  <w:tcW w:w="1185" w:type="pct"/>
                  <w:shd w:val="clear" w:color="auto" w:fill="auto"/>
                  <w:vAlign w:val="center"/>
                </w:tcPr>
                <w:p>
                  <w:pPr>
                    <w:pStyle w:val="22"/>
                    <w:bidi w:val="0"/>
                    <w:rPr>
                      <w:rFonts w:hint="default"/>
                      <w:lang w:val="en-US" w:eastAsia="zh-CN"/>
                    </w:rPr>
                  </w:pPr>
                  <w:r>
                    <w:rPr>
                      <w:rFonts w:hint="eastAsia"/>
                      <w:lang w:val="en-US" w:eastAsia="zh-CN"/>
                    </w:rPr>
                    <w:t>废矿物油</w:t>
                  </w:r>
                </w:p>
              </w:tc>
              <w:tc>
                <w:tcPr>
                  <w:tcW w:w="460" w:type="pct"/>
                  <w:shd w:val="clear" w:color="auto" w:fill="auto"/>
                  <w:vAlign w:val="center"/>
                </w:tcPr>
                <w:p>
                  <w:pPr>
                    <w:pStyle w:val="22"/>
                    <w:bidi w:val="0"/>
                    <w:rPr>
                      <w:rFonts w:hint="default"/>
                      <w:lang w:val="en-US" w:eastAsia="zh-CN"/>
                    </w:rPr>
                  </w:pPr>
                  <w:r>
                    <w:rPr>
                      <w:rFonts w:hint="eastAsia"/>
                      <w:lang w:val="en-US" w:eastAsia="zh-CN"/>
                    </w:rPr>
                    <w:t>0.08</w:t>
                  </w:r>
                </w:p>
              </w:tc>
              <w:tc>
                <w:tcPr>
                  <w:tcW w:w="428" w:type="pct"/>
                  <w:vMerge w:val="continue"/>
                  <w:vAlign w:val="center"/>
                </w:tcPr>
                <w:p>
                  <w:pPr>
                    <w:pStyle w:val="22"/>
                    <w:bidi w:val="0"/>
                    <w:rPr>
                      <w:rFonts w:hint="default"/>
                      <w:lang w:val="en-US" w:eastAsia="zh-CN"/>
                    </w:rPr>
                  </w:pPr>
                </w:p>
              </w:tc>
              <w:tc>
                <w:tcPr>
                  <w:tcW w:w="278" w:type="pct"/>
                  <w:vMerge w:val="continue"/>
                  <w:vAlign w:val="center"/>
                </w:tcPr>
                <w:p>
                  <w:pPr>
                    <w:pStyle w:val="22"/>
                    <w:bidi w:val="0"/>
                    <w:rPr>
                      <w:rFonts w:hint="default"/>
                      <w:lang w:val="en-US" w:eastAsia="zh-CN"/>
                    </w:rPr>
                  </w:pPr>
                </w:p>
              </w:tc>
              <w:tc>
                <w:tcPr>
                  <w:tcW w:w="1014" w:type="pct"/>
                  <w:shd w:val="clear" w:color="auto" w:fill="auto"/>
                  <w:vAlign w:val="center"/>
                </w:tcPr>
                <w:p>
                  <w:pPr>
                    <w:pStyle w:val="22"/>
                    <w:bidi w:val="0"/>
                    <w:rPr>
                      <w:rFonts w:hint="default"/>
                      <w:lang w:val="en-US" w:eastAsia="zh-CN"/>
                    </w:rPr>
                  </w:pPr>
                  <w:r>
                    <w:rPr>
                      <w:rFonts w:hint="eastAsia"/>
                      <w:lang w:val="en-US" w:eastAsia="zh-CN"/>
                    </w:rPr>
                    <w:t>矿物油</w:t>
                  </w:r>
                </w:p>
              </w:tc>
              <w:tc>
                <w:tcPr>
                  <w:tcW w:w="393" w:type="pct"/>
                  <w:vMerge w:val="continue"/>
                  <w:vAlign w:val="center"/>
                </w:tcPr>
                <w:p>
                  <w:pPr>
                    <w:pStyle w:val="22"/>
                    <w:bidi w:val="0"/>
                    <w:rPr>
                      <w:rFonts w:hint="default"/>
                      <w:lang w:val="en-US" w:eastAsia="zh-CN"/>
                    </w:rPr>
                  </w:pPr>
                </w:p>
              </w:tc>
              <w:tc>
                <w:tcPr>
                  <w:tcW w:w="532" w:type="pct"/>
                  <w:vAlign w:val="center"/>
                </w:tcPr>
                <w:p>
                  <w:pPr>
                    <w:pStyle w:val="22"/>
                    <w:bidi w:val="0"/>
                    <w:rPr>
                      <w:rFonts w:hint="default"/>
                      <w:lang w:val="en-US" w:eastAsia="zh-CN"/>
                    </w:rPr>
                  </w:pPr>
                  <w:r>
                    <w:rPr>
                      <w:rFonts w:hint="eastAsia"/>
                      <w:lang w:val="en-US" w:eastAsia="zh-CN"/>
                    </w:rPr>
                    <w:t>T</w:t>
                  </w: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3" w:type="pct"/>
                  <w:shd w:val="clear" w:color="auto" w:fill="auto"/>
                  <w:vAlign w:val="center"/>
                </w:tcPr>
                <w:p>
                  <w:pPr>
                    <w:pStyle w:val="22"/>
                    <w:bidi w:val="0"/>
                    <w:rPr>
                      <w:rFonts w:hint="default"/>
                      <w:lang w:val="en-US" w:eastAsia="zh-CN"/>
                    </w:rPr>
                  </w:pPr>
                  <w:r>
                    <w:rPr>
                      <w:rFonts w:hint="eastAsia"/>
                      <w:lang w:val="en-US" w:eastAsia="zh-CN"/>
                    </w:rPr>
                    <w:t>24</w:t>
                  </w:r>
                </w:p>
              </w:tc>
              <w:tc>
                <w:tcPr>
                  <w:tcW w:w="1185" w:type="pct"/>
                  <w:shd w:val="clear" w:color="auto" w:fill="auto"/>
                  <w:vAlign w:val="center"/>
                </w:tcPr>
                <w:p>
                  <w:pPr>
                    <w:pStyle w:val="22"/>
                    <w:bidi w:val="0"/>
                    <w:rPr>
                      <w:rFonts w:hint="default"/>
                      <w:lang w:val="en-US" w:eastAsia="zh-CN"/>
                    </w:rPr>
                  </w:pPr>
                  <w:r>
                    <w:rPr>
                      <w:rFonts w:hint="eastAsia"/>
                      <w:lang w:val="en-US" w:eastAsia="zh-CN"/>
                    </w:rPr>
                    <w:t>废活性炭</w:t>
                  </w:r>
                </w:p>
              </w:tc>
              <w:tc>
                <w:tcPr>
                  <w:tcW w:w="460" w:type="pct"/>
                  <w:shd w:val="clear" w:color="auto" w:fill="auto"/>
                  <w:vAlign w:val="center"/>
                </w:tcPr>
                <w:p>
                  <w:pPr>
                    <w:pStyle w:val="22"/>
                    <w:bidi w:val="0"/>
                    <w:rPr>
                      <w:rFonts w:hint="default"/>
                      <w:lang w:val="en-US" w:eastAsia="zh-CN"/>
                    </w:rPr>
                  </w:pPr>
                  <w:r>
                    <w:rPr>
                      <w:rFonts w:hint="eastAsia"/>
                      <w:lang w:val="en-US" w:eastAsia="zh-CN"/>
                    </w:rPr>
                    <w:t>1.12</w:t>
                  </w:r>
                </w:p>
              </w:tc>
              <w:tc>
                <w:tcPr>
                  <w:tcW w:w="428" w:type="pct"/>
                  <w:vAlign w:val="center"/>
                </w:tcPr>
                <w:p>
                  <w:pPr>
                    <w:pStyle w:val="22"/>
                    <w:bidi w:val="0"/>
                    <w:rPr>
                      <w:rFonts w:hint="default"/>
                      <w:lang w:val="en-US" w:eastAsia="zh-CN"/>
                    </w:rPr>
                  </w:pPr>
                  <w:r>
                    <w:rPr>
                      <w:rFonts w:hint="eastAsia"/>
                      <w:lang w:val="en-US" w:eastAsia="zh-CN"/>
                    </w:rPr>
                    <w:t>废气处理</w:t>
                  </w:r>
                </w:p>
              </w:tc>
              <w:tc>
                <w:tcPr>
                  <w:tcW w:w="278" w:type="pct"/>
                  <w:vAlign w:val="center"/>
                </w:tcPr>
                <w:p>
                  <w:pPr>
                    <w:pStyle w:val="22"/>
                    <w:bidi w:val="0"/>
                    <w:rPr>
                      <w:rFonts w:hint="default"/>
                      <w:lang w:val="en-US" w:eastAsia="zh-CN"/>
                    </w:rPr>
                  </w:pPr>
                  <w:r>
                    <w:rPr>
                      <w:rFonts w:hint="eastAsia"/>
                      <w:lang w:val="en-US" w:eastAsia="zh-CN"/>
                    </w:rPr>
                    <w:t>固态</w:t>
                  </w:r>
                </w:p>
              </w:tc>
              <w:tc>
                <w:tcPr>
                  <w:tcW w:w="1014" w:type="pct"/>
                  <w:vAlign w:val="center"/>
                </w:tcPr>
                <w:p>
                  <w:pPr>
                    <w:pStyle w:val="22"/>
                    <w:bidi w:val="0"/>
                    <w:rPr>
                      <w:rFonts w:hint="default"/>
                      <w:lang w:val="en-US" w:eastAsia="zh-CN"/>
                    </w:rPr>
                  </w:pPr>
                  <w:r>
                    <w:rPr>
                      <w:rFonts w:hint="eastAsia"/>
                      <w:lang w:val="en-US" w:eastAsia="zh-CN"/>
                    </w:rPr>
                    <w:t>有机物、酸、碱</w:t>
                  </w:r>
                </w:p>
              </w:tc>
              <w:tc>
                <w:tcPr>
                  <w:tcW w:w="393" w:type="pct"/>
                  <w:vAlign w:val="center"/>
                </w:tcPr>
                <w:p>
                  <w:pPr>
                    <w:pStyle w:val="22"/>
                    <w:bidi w:val="0"/>
                    <w:rPr>
                      <w:rFonts w:hint="default"/>
                      <w:lang w:val="en-US" w:eastAsia="zh-CN"/>
                    </w:rPr>
                  </w:pPr>
                  <w:r>
                    <w:rPr>
                      <w:rFonts w:hint="eastAsia"/>
                      <w:lang w:val="en-US" w:eastAsia="zh-CN"/>
                    </w:rPr>
                    <w:t>180d</w:t>
                  </w:r>
                </w:p>
              </w:tc>
              <w:tc>
                <w:tcPr>
                  <w:tcW w:w="532" w:type="pct"/>
                  <w:vAlign w:val="center"/>
                </w:tcPr>
                <w:p>
                  <w:pPr>
                    <w:pStyle w:val="22"/>
                    <w:bidi w:val="0"/>
                    <w:rPr>
                      <w:rFonts w:hint="default"/>
                      <w:lang w:val="en-US" w:eastAsia="zh-CN"/>
                    </w:rPr>
                  </w:pPr>
                  <w:r>
                    <w:rPr>
                      <w:rFonts w:hint="eastAsia"/>
                      <w:lang w:val="en-US" w:eastAsia="zh-CN"/>
                    </w:rPr>
                    <w:t>T</w:t>
                  </w: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25</w:t>
                  </w:r>
                </w:p>
              </w:tc>
              <w:tc>
                <w:tcPr>
                  <w:tcW w:w="1185" w:type="pct"/>
                  <w:shd w:val="clear" w:color="auto" w:fill="auto"/>
                  <w:vAlign w:val="center"/>
                </w:tcPr>
                <w:p>
                  <w:pPr>
                    <w:pStyle w:val="22"/>
                    <w:bidi w:val="0"/>
                    <w:rPr>
                      <w:rFonts w:hint="default"/>
                      <w:lang w:val="en-US" w:eastAsia="zh-CN"/>
                    </w:rPr>
                  </w:pPr>
                  <w:r>
                    <w:rPr>
                      <w:rFonts w:hint="eastAsia"/>
                      <w:lang w:val="en-US" w:eastAsia="zh-CN"/>
                    </w:rPr>
                    <w:t>废机油</w:t>
                  </w:r>
                </w:p>
              </w:tc>
              <w:tc>
                <w:tcPr>
                  <w:tcW w:w="460" w:type="pct"/>
                  <w:shd w:val="clear" w:color="auto" w:fill="auto"/>
                  <w:vAlign w:val="center"/>
                </w:tcPr>
                <w:p>
                  <w:pPr>
                    <w:pStyle w:val="22"/>
                    <w:bidi w:val="0"/>
                    <w:rPr>
                      <w:rFonts w:hint="default"/>
                      <w:lang w:val="en-US" w:eastAsia="zh-CN"/>
                    </w:rPr>
                  </w:pPr>
                  <w:r>
                    <w:rPr>
                      <w:rFonts w:hint="eastAsia"/>
                      <w:lang w:val="en-US" w:eastAsia="zh-CN"/>
                    </w:rPr>
                    <w:t>0.1</w:t>
                  </w:r>
                </w:p>
              </w:tc>
              <w:tc>
                <w:tcPr>
                  <w:tcW w:w="428" w:type="pct"/>
                  <w:vMerge w:val="restart"/>
                  <w:vAlign w:val="center"/>
                </w:tcPr>
                <w:p>
                  <w:pPr>
                    <w:pStyle w:val="22"/>
                    <w:bidi w:val="0"/>
                    <w:rPr>
                      <w:rFonts w:hint="default"/>
                      <w:lang w:val="en-US" w:eastAsia="zh-CN"/>
                    </w:rPr>
                  </w:pPr>
                  <w:r>
                    <w:rPr>
                      <w:rFonts w:hint="eastAsia"/>
                      <w:lang w:val="en-US" w:eastAsia="zh-CN"/>
                    </w:rPr>
                    <w:t>检修</w:t>
                  </w:r>
                </w:p>
              </w:tc>
              <w:tc>
                <w:tcPr>
                  <w:tcW w:w="278" w:type="pct"/>
                  <w:vAlign w:val="center"/>
                </w:tcPr>
                <w:p>
                  <w:pPr>
                    <w:pStyle w:val="22"/>
                    <w:bidi w:val="0"/>
                    <w:rPr>
                      <w:rFonts w:hint="default"/>
                      <w:lang w:val="en-US" w:eastAsia="zh-CN"/>
                    </w:rPr>
                  </w:pPr>
                  <w:r>
                    <w:rPr>
                      <w:rFonts w:hint="eastAsia"/>
                      <w:lang w:val="en-US" w:eastAsia="zh-CN"/>
                    </w:rPr>
                    <w:t>液态</w:t>
                  </w:r>
                </w:p>
              </w:tc>
              <w:tc>
                <w:tcPr>
                  <w:tcW w:w="1014" w:type="pct"/>
                  <w:vAlign w:val="center"/>
                </w:tcPr>
                <w:p>
                  <w:pPr>
                    <w:pStyle w:val="22"/>
                    <w:bidi w:val="0"/>
                    <w:rPr>
                      <w:rFonts w:hint="default"/>
                      <w:lang w:val="en-US" w:eastAsia="zh-CN"/>
                    </w:rPr>
                  </w:pPr>
                  <w:r>
                    <w:rPr>
                      <w:rFonts w:hint="eastAsia"/>
                      <w:lang w:val="en-US" w:eastAsia="zh-CN"/>
                    </w:rPr>
                    <w:t>矿物油</w:t>
                  </w:r>
                </w:p>
              </w:tc>
              <w:tc>
                <w:tcPr>
                  <w:tcW w:w="393" w:type="pct"/>
                  <w:vMerge w:val="restart"/>
                  <w:vAlign w:val="center"/>
                </w:tcPr>
                <w:p>
                  <w:pPr>
                    <w:pStyle w:val="22"/>
                    <w:bidi w:val="0"/>
                    <w:rPr>
                      <w:rFonts w:hint="default"/>
                      <w:lang w:val="en-US" w:eastAsia="zh-CN"/>
                    </w:rPr>
                  </w:pPr>
                  <w:r>
                    <w:rPr>
                      <w:rFonts w:hint="eastAsia"/>
                      <w:lang w:val="en-US" w:eastAsia="zh-CN"/>
                    </w:rPr>
                    <w:t>年</w:t>
                  </w:r>
                </w:p>
              </w:tc>
              <w:tc>
                <w:tcPr>
                  <w:tcW w:w="532" w:type="pct"/>
                  <w:vAlign w:val="center"/>
                </w:tcPr>
                <w:p>
                  <w:pPr>
                    <w:pStyle w:val="22"/>
                    <w:bidi w:val="0"/>
                    <w:rPr>
                      <w:rFonts w:hint="eastAsia"/>
                      <w:lang w:val="en-US" w:eastAsia="zh-CN"/>
                    </w:rPr>
                  </w:pPr>
                  <w:r>
                    <w:rPr>
                      <w:rFonts w:hint="eastAsia"/>
                      <w:lang w:val="en-US" w:eastAsia="zh-CN"/>
                    </w:rPr>
                    <w:t>T</w:t>
                  </w:r>
                </w:p>
              </w:tc>
              <w:tc>
                <w:tcPr>
                  <w:tcW w:w="402"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shd w:val="clear" w:color="auto" w:fill="auto"/>
                  <w:vAlign w:val="center"/>
                </w:tcPr>
                <w:p>
                  <w:pPr>
                    <w:pStyle w:val="22"/>
                    <w:bidi w:val="0"/>
                    <w:rPr>
                      <w:rFonts w:hint="default"/>
                      <w:lang w:val="en-US" w:eastAsia="zh-CN"/>
                    </w:rPr>
                  </w:pPr>
                  <w:r>
                    <w:rPr>
                      <w:rFonts w:hint="eastAsia"/>
                      <w:lang w:val="en-US" w:eastAsia="zh-CN"/>
                    </w:rPr>
                    <w:t>26</w:t>
                  </w:r>
                </w:p>
              </w:tc>
              <w:tc>
                <w:tcPr>
                  <w:tcW w:w="1185" w:type="pct"/>
                  <w:shd w:val="clear" w:color="auto" w:fill="auto"/>
                  <w:vAlign w:val="center"/>
                </w:tcPr>
                <w:p>
                  <w:pPr>
                    <w:pStyle w:val="22"/>
                    <w:bidi w:val="0"/>
                    <w:rPr>
                      <w:rFonts w:hint="default"/>
                      <w:lang w:val="en-US" w:eastAsia="zh-CN"/>
                    </w:rPr>
                  </w:pPr>
                  <w:r>
                    <w:rPr>
                      <w:rFonts w:hint="eastAsia"/>
                      <w:lang w:val="en-US" w:eastAsia="zh-CN"/>
                    </w:rPr>
                    <w:t>含油抹布和手套</w:t>
                  </w:r>
                </w:p>
              </w:tc>
              <w:tc>
                <w:tcPr>
                  <w:tcW w:w="460" w:type="pct"/>
                  <w:shd w:val="clear" w:color="auto" w:fill="auto"/>
                  <w:vAlign w:val="center"/>
                </w:tcPr>
                <w:p>
                  <w:pPr>
                    <w:pStyle w:val="22"/>
                    <w:bidi w:val="0"/>
                    <w:rPr>
                      <w:rFonts w:hint="default"/>
                      <w:lang w:val="en-US" w:eastAsia="zh-CN"/>
                    </w:rPr>
                  </w:pPr>
                  <w:r>
                    <w:rPr>
                      <w:rFonts w:hint="eastAsia"/>
                      <w:lang w:val="en-US" w:eastAsia="zh-CN"/>
                    </w:rPr>
                    <w:t>0.01</w:t>
                  </w:r>
                </w:p>
              </w:tc>
              <w:tc>
                <w:tcPr>
                  <w:tcW w:w="428" w:type="pct"/>
                  <w:vMerge w:val="continue"/>
                  <w:vAlign w:val="center"/>
                </w:tcPr>
                <w:p>
                  <w:pPr>
                    <w:pStyle w:val="22"/>
                    <w:bidi w:val="0"/>
                    <w:rPr>
                      <w:rFonts w:hint="eastAsia"/>
                      <w:lang w:val="en-US" w:eastAsia="zh-CN"/>
                    </w:rPr>
                  </w:pPr>
                </w:p>
              </w:tc>
              <w:tc>
                <w:tcPr>
                  <w:tcW w:w="278" w:type="pct"/>
                  <w:vAlign w:val="center"/>
                </w:tcPr>
                <w:p>
                  <w:pPr>
                    <w:pStyle w:val="22"/>
                    <w:bidi w:val="0"/>
                    <w:rPr>
                      <w:rFonts w:hint="default"/>
                      <w:lang w:val="en-US" w:eastAsia="zh-CN"/>
                    </w:rPr>
                  </w:pPr>
                  <w:r>
                    <w:rPr>
                      <w:rFonts w:hint="eastAsia"/>
                      <w:lang w:val="en-US" w:eastAsia="zh-CN"/>
                    </w:rPr>
                    <w:t>固态</w:t>
                  </w:r>
                </w:p>
              </w:tc>
              <w:tc>
                <w:tcPr>
                  <w:tcW w:w="1014" w:type="pct"/>
                  <w:vAlign w:val="center"/>
                </w:tcPr>
                <w:p>
                  <w:pPr>
                    <w:pStyle w:val="22"/>
                    <w:bidi w:val="0"/>
                    <w:rPr>
                      <w:rFonts w:hint="default"/>
                      <w:lang w:val="en-US" w:eastAsia="zh-CN"/>
                    </w:rPr>
                  </w:pPr>
                  <w:r>
                    <w:rPr>
                      <w:rFonts w:hint="eastAsia"/>
                      <w:lang w:val="en-US" w:eastAsia="zh-CN"/>
                    </w:rPr>
                    <w:t>矿物油</w:t>
                  </w:r>
                </w:p>
              </w:tc>
              <w:tc>
                <w:tcPr>
                  <w:tcW w:w="393" w:type="pct"/>
                  <w:vMerge w:val="continue"/>
                  <w:vAlign w:val="center"/>
                </w:tcPr>
                <w:p>
                  <w:pPr>
                    <w:pStyle w:val="22"/>
                    <w:bidi w:val="0"/>
                    <w:rPr>
                      <w:rFonts w:hint="default"/>
                      <w:lang w:val="en-US" w:eastAsia="zh-CN"/>
                    </w:rPr>
                  </w:pPr>
                </w:p>
              </w:tc>
              <w:tc>
                <w:tcPr>
                  <w:tcW w:w="532" w:type="pct"/>
                  <w:vAlign w:val="center"/>
                </w:tcPr>
                <w:p>
                  <w:pPr>
                    <w:pStyle w:val="22"/>
                    <w:bidi w:val="0"/>
                    <w:rPr>
                      <w:rFonts w:hint="eastAsia"/>
                      <w:lang w:val="en-US" w:eastAsia="zh-CN"/>
                    </w:rPr>
                  </w:pPr>
                  <w:r>
                    <w:rPr>
                      <w:rFonts w:hint="eastAsia"/>
                      <w:lang w:val="en-US" w:eastAsia="zh-CN"/>
                    </w:rPr>
                    <w:t>T</w:t>
                  </w:r>
                </w:p>
              </w:tc>
              <w:tc>
                <w:tcPr>
                  <w:tcW w:w="402" w:type="pct"/>
                  <w:vMerge w:val="continue"/>
                  <w:vAlign w:val="center"/>
                </w:tcPr>
                <w:p>
                  <w:pPr>
                    <w:pStyle w:val="22"/>
                    <w:bidi w:val="0"/>
                    <w:rPr>
                      <w:rFonts w:hint="default"/>
                      <w:lang w:val="en-US" w:eastAsia="zh-CN"/>
                    </w:rPr>
                  </w:pPr>
                </w:p>
              </w:tc>
            </w:tr>
          </w:tbl>
          <w:p>
            <w:pPr>
              <w:pStyle w:val="28"/>
              <w:bidi w:val="0"/>
              <w:rPr>
                <w:rFonts w:hint="default"/>
                <w:lang w:val="en-US" w:eastAsia="zh-CN"/>
              </w:rPr>
            </w:pPr>
          </w:p>
          <w:p>
            <w:pPr>
              <w:pStyle w:val="8"/>
              <w:rPr>
                <w:rFonts w:hint="default" w:ascii="Times New Roman" w:hAnsi="Times New Roman" w:cs="Times New Roman"/>
                <w:b/>
                <w:bCs/>
                <w:lang w:val="en-US" w:eastAsia="zh-CN"/>
              </w:rPr>
            </w:pPr>
            <w:r>
              <w:rPr>
                <w:rFonts w:hint="default" w:ascii="Times New Roman" w:hAnsi="Times New Roman" w:cs="Times New Roman"/>
                <w:b/>
                <w:bCs/>
                <w:lang w:val="en-US" w:eastAsia="zh-CN"/>
              </w:rPr>
              <w:t>4.5.2处置去向及环境管理要求</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(1)一般固体废物</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本项目生活垃圾暂存在垃圾桶内，交由环卫部门清运处理，</w:t>
            </w:r>
            <w:r>
              <w:rPr>
                <w:rFonts w:hint="eastAsia" w:ascii="Times New Roman" w:hAnsi="Times New Roman" w:cs="Times New Roman"/>
                <w:lang w:val="en-US" w:eastAsia="zh-CN"/>
              </w:rPr>
              <w:t>一</w:t>
            </w:r>
            <w:r>
              <w:rPr>
                <w:rFonts w:hint="default" w:ascii="Times New Roman" w:hAnsi="Times New Roman" w:cs="Times New Roman"/>
                <w:lang w:val="en-US" w:eastAsia="zh-CN"/>
              </w:rPr>
              <w:t>般固废暂存间位于室内，周边设置明显的警示标识，地面做好硬化防渗，一般工业固体废物储存和处置满足《一般工业固体废物贮存和填埋污染控制标准》(GB18599-2020)要求，项目产生固体废物均得到有效处置，对周围环境影响较小。项目设置一间占地10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的一般固废暂存间</w:t>
            </w:r>
            <w:r>
              <w:rPr>
                <w:rFonts w:hint="eastAsia" w:ascii="Times New Roman" w:hAnsi="Times New Roman" w:cs="Times New Roman"/>
                <w:lang w:val="en-US" w:eastAsia="zh-CN"/>
              </w:rPr>
              <w:t>，</w:t>
            </w:r>
            <w:r>
              <w:rPr>
                <w:rFonts w:hint="default" w:ascii="Times New Roman" w:hAnsi="Times New Roman" w:cs="Times New Roman"/>
                <w:lang w:val="en-US" w:eastAsia="zh-CN"/>
              </w:rPr>
              <w:t>满足项目一般固废暂存。</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(2)危险废物</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危险废物经分类收集，暂存于危废暂存间(</w:t>
            </w:r>
            <w:r>
              <w:rPr>
                <w:rFonts w:hint="eastAsia" w:ascii="Times New Roman" w:hAnsi="Times New Roman" w:cs="Times New Roman"/>
                <w:lang w:val="en-US" w:eastAsia="zh-CN"/>
              </w:rPr>
              <w:t>2</w:t>
            </w:r>
            <w:r>
              <w:rPr>
                <w:rFonts w:hint="default" w:ascii="Times New Roman" w:hAnsi="Times New Roman" w:cs="Times New Roman"/>
                <w:lang w:val="en-US" w:eastAsia="zh-CN"/>
              </w:rPr>
              <w:t>0m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定期交由有资质单位处理。危险废物暂存间按照《危险废物贮存污染控制标准》(GB18597-2023)及《建设项目危险废物环境影响评价指南》的规定设置:危废暂存间内不同贮存分区之间应采取隔离措施。隔离措施可根据危险废物特性采用过道、隔板或隔墙等方式。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本项目危险废物产生量合计</w:t>
            </w:r>
            <w:r>
              <w:rPr>
                <w:rFonts w:hint="eastAsia" w:ascii="Times New Roman" w:hAnsi="Times New Roman" w:cs="Times New Roman"/>
                <w:lang w:val="en-US" w:eastAsia="zh-CN"/>
              </w:rPr>
              <w:t>2.17</w:t>
            </w:r>
            <w:r>
              <w:rPr>
                <w:rFonts w:hint="default" w:ascii="Times New Roman" w:hAnsi="Times New Roman" w:cs="Times New Roman"/>
                <w:lang w:val="en-US" w:eastAsia="zh-CN"/>
              </w:rPr>
              <w:t>t</w:t>
            </w:r>
            <w:r>
              <w:rPr>
                <w:rFonts w:hint="eastAsia" w:ascii="Times New Roman" w:hAnsi="Times New Roman" w:cs="Times New Roman"/>
                <w:lang w:val="en-US" w:eastAsia="zh-CN"/>
              </w:rPr>
              <w:t>/</w:t>
            </w:r>
            <w:r>
              <w:rPr>
                <w:rFonts w:hint="default" w:ascii="Times New Roman" w:hAnsi="Times New Roman" w:cs="Times New Roman"/>
                <w:lang w:val="en-US" w:eastAsia="zh-CN"/>
              </w:rPr>
              <w:t>a，故收集设施容积应满足</w:t>
            </w:r>
            <w:r>
              <w:rPr>
                <w:rFonts w:hint="eastAsia" w:ascii="Times New Roman" w:hAnsi="Times New Roman" w:cs="Times New Roman"/>
                <w:lang w:val="en-US" w:eastAsia="zh-CN"/>
              </w:rPr>
              <w:t>2.17</w:t>
            </w:r>
            <w:r>
              <w:rPr>
                <w:rFonts w:hint="default" w:ascii="Times New Roman" w:hAnsi="Times New Roman" w:cs="Times New Roman"/>
                <w:lang w:val="en-US" w:eastAsia="zh-CN"/>
              </w:rPr>
              <w:t>t</w:t>
            </w:r>
            <w:r>
              <w:rPr>
                <w:rFonts w:hint="eastAsia" w:ascii="Times New Roman" w:hAnsi="Times New Roman" w:cs="Times New Roman"/>
                <w:lang w:val="en-US" w:eastAsia="zh-CN"/>
              </w:rPr>
              <w:t>/</w:t>
            </w:r>
            <w:r>
              <w:rPr>
                <w:rFonts w:hint="default" w:ascii="Times New Roman" w:hAnsi="Times New Roman" w:cs="Times New Roman"/>
                <w:lang w:val="en-US" w:eastAsia="zh-CN"/>
              </w:rPr>
              <w:t>a。</w:t>
            </w:r>
          </w:p>
          <w:p>
            <w:pPr>
              <w:rPr>
                <w:rFonts w:hint="default" w:ascii="Times New Roman" w:hAnsi="Times New Roman" w:cs="Times New Roman"/>
                <w:lang w:val="en-US" w:eastAsia="zh-CN"/>
              </w:rPr>
            </w:pPr>
            <w:r>
              <w:rPr>
                <w:rFonts w:hint="default" w:ascii="Times New Roman" w:hAnsi="Times New Roman" w:cs="Times New Roman"/>
                <w:lang w:val="en-US" w:eastAsia="zh-CN"/>
              </w:rPr>
              <w:t>做到防风、防雨、防晒、防渗、防漏</w:t>
            </w:r>
            <w:r>
              <w:rPr>
                <w:rFonts w:hint="eastAsia" w:cs="Times New Roman"/>
                <w:lang w:val="en-US" w:eastAsia="zh-CN"/>
              </w:rPr>
              <w:t>、防腐</w:t>
            </w:r>
            <w:r>
              <w:rPr>
                <w:rFonts w:hint="default" w:ascii="Times New Roman" w:hAnsi="Times New Roman" w:cs="Times New Roman"/>
                <w:lang w:val="en-US" w:eastAsia="zh-CN"/>
              </w:rPr>
              <w:t>。本项目危险废物暂存间门口拟设置堵截泄漏的裙脚、围堰等措施，设置不渗透间隔分开的区域分区放置液体状危险废物存放在容器内，容器放置在储漏盘，可收集渗漏废液防治措施:</w:t>
            </w:r>
            <w:r>
              <w:rPr>
                <w:rFonts w:hint="eastAsia" w:cs="Times New Roman"/>
                <w:lang w:val="en-US" w:eastAsia="zh-CN"/>
              </w:rPr>
              <w:t>项目</w:t>
            </w:r>
            <w:bookmarkStart w:id="14" w:name="_GoBack"/>
            <w:bookmarkEnd w:id="14"/>
            <w:r>
              <w:rPr>
                <w:rFonts w:hint="default" w:ascii="Times New Roman" w:hAnsi="Times New Roman" w:cs="Times New Roman"/>
                <w:lang w:val="en-US" w:eastAsia="zh-CN"/>
              </w:rPr>
              <w:t>危险废物主要有残留液(废矿物油、废碱液)、废活性炭</w:t>
            </w:r>
            <w:r>
              <w:rPr>
                <w:rFonts w:hint="eastAsia" w:cs="Times New Roman"/>
                <w:lang w:val="en-US" w:eastAsia="zh-CN"/>
              </w:rPr>
              <w:t>、废机油</w:t>
            </w:r>
            <w:r>
              <w:rPr>
                <w:rFonts w:hint="default" w:ascii="Times New Roman" w:hAnsi="Times New Roman" w:cs="Times New Roman"/>
                <w:lang w:val="en-US" w:eastAsia="zh-CN"/>
              </w:rPr>
              <w:t>等。建设单位将其收集后暂时存放在危废临时堆放点，定期交给有资质单位回收处理。危废暂存间中设置环境保护图形标志和警示标志对暂存的废物种类、数量、特性包装容器类别、存放库位、存入日期、运出期等详细记录在案并长期保存建立定期巡查、维护制度。</w:t>
            </w:r>
          </w:p>
          <w:p>
            <w:pPr>
              <w:rPr>
                <w:rFonts w:hint="default" w:ascii="Times New Roman" w:hAnsi="Times New Roman" w:cs="Times New Roman"/>
                <w:lang w:val="en-US" w:eastAsia="zh-CN"/>
              </w:rPr>
            </w:pPr>
            <w:r>
              <w:rPr>
                <w:rFonts w:hint="default" w:ascii="Times New Roman" w:hAnsi="Times New Roman" w:cs="Times New Roman"/>
                <w:lang w:val="en-US" w:eastAsia="zh-CN"/>
              </w:rPr>
              <w:t>项目运营期产生的危险废物委托具有危险废物经营资质的单位统一收集并妥善处置，同时，项目需设置专门的危险固废收集设施，与普通的城市生活垃圾区别开来。危险废物临时贮存设施符合《危险废物贮存污染控制标准》(GB18597-2023)的有关规定。且严格按环发《国家危险废物名录(2021版)》中的有关要求实施。加强对危险废物的管理，对危险废物的产生、利用、收集、运输、贮存、处置等环节建立追踪性的账目方便监督管理。对厂区固废的收集、贮存、处置情况进行登记，并对其产生、收集、贮存和处置情况进行台账记录，台账保存期限不得少于5年。</w:t>
            </w:r>
          </w:p>
          <w:p>
            <w:pPr>
              <w:rPr>
                <w:rFonts w:hint="default" w:ascii="Times New Roman" w:hAnsi="Times New Roman" w:cs="Times New Roman"/>
                <w:lang w:val="en-US" w:eastAsia="zh-CN"/>
              </w:rPr>
            </w:pPr>
            <w:r>
              <w:rPr>
                <w:rFonts w:hint="default" w:ascii="Times New Roman" w:hAnsi="Times New Roman" w:cs="Times New Roman"/>
                <w:lang w:val="en-US" w:eastAsia="zh-CN"/>
              </w:rPr>
              <w:t>本项目对固体废物的处置应本着减量化、资源化、无害化的原则，进行妥善处理，预计可以避免对环境造成二次污染不会对环境造成不利影响。</w:t>
            </w:r>
          </w:p>
          <w:p>
            <w:pPr>
              <w:rPr>
                <w:rFonts w:hint="default" w:ascii="Times New Roman" w:hAnsi="Times New Roman" w:cs="Times New Roman"/>
                <w:lang w:val="en-US" w:eastAsia="zh-CN"/>
              </w:rPr>
            </w:pPr>
            <w:r>
              <w:rPr>
                <w:rFonts w:hint="default" w:ascii="Times New Roman" w:hAnsi="Times New Roman" w:cs="Times New Roman"/>
                <w:lang w:val="en-US" w:eastAsia="zh-CN"/>
              </w:rPr>
              <w:t>因此，危险废物在厂内临时贮存不会对周边环境产生较大的影响</w:t>
            </w:r>
          </w:p>
          <w:p>
            <w:pPr>
              <w:rPr>
                <w:rFonts w:hint="default" w:ascii="Times New Roman" w:hAnsi="Times New Roman" w:cs="Times New Roman"/>
                <w:b/>
                <w:bCs/>
                <w:lang w:val="en-US" w:eastAsia="zh-CN"/>
              </w:rPr>
            </w:pPr>
            <w:r>
              <w:rPr>
                <w:rFonts w:hint="default" w:ascii="Times New Roman" w:hAnsi="Times New Roman" w:cs="Times New Roman"/>
                <w:b/>
                <w:bCs/>
                <w:lang w:val="en-US" w:eastAsia="zh-CN"/>
              </w:rPr>
              <w:t>4.6地下水、土壤环境影响分析</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污染防控措施:</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根据本项目厂区可能泄漏至地面区域污染物的性质和生产单元的构筑方将厂区划分为重点污染防治、一般污染防治区和非污染防治区。污染分区式，防渗原则如下:</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(1)重点污染防治区</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指污染地下水环境的物料泄漏后，不容易被及时发现和处理的区域。主要包括危废暂存间、废水处理设施</w:t>
            </w:r>
            <w:r>
              <w:rPr>
                <w:rFonts w:hint="eastAsia" w:ascii="Times New Roman" w:hAnsi="Times New Roman" w:cs="Times New Roman"/>
                <w:lang w:val="en-US" w:eastAsia="zh-CN"/>
              </w:rPr>
              <w:t>、洗罐车间、事故池</w:t>
            </w:r>
            <w:r>
              <w:rPr>
                <w:rFonts w:hint="default" w:ascii="Times New Roman" w:hAnsi="Times New Roman" w:cs="Times New Roman"/>
                <w:lang w:val="en-US" w:eastAsia="zh-CN"/>
              </w:rPr>
              <w:t>等。重点污染防治区防渗要求:按照《危险物贮存污染控制标准》(GB18597-2023)进行防渗设计，即防渗层为2mm厚高密度聚乙烯材料(防渗系数&lt;10</w:t>
            </w:r>
            <w:r>
              <w:rPr>
                <w:rFonts w:hint="default" w:ascii="Times New Roman" w:hAnsi="Times New Roman" w:cs="Times New Roman"/>
                <w:vertAlign w:val="superscript"/>
                <w:lang w:val="en-US" w:eastAsia="zh-CN"/>
              </w:rPr>
              <w:t>-10</w:t>
            </w:r>
            <w:r>
              <w:rPr>
                <w:rFonts w:hint="default" w:ascii="Times New Roman" w:hAnsi="Times New Roman" w:cs="Times New Roman"/>
                <w:lang w:val="en-US" w:eastAsia="zh-CN"/>
              </w:rPr>
              <w:t>cm/s)。</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（2）一般污染防治区</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指污染地下水环境的物料泄漏后，容易被及时发现和处理的区域，主要是清洗场所。</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般污染防治区防渗要求:防渗层的防渗性能应相当于渗透系数&lt;10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cm/s和厚度1.5m的粘土层的防渗性能。</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(3)非污染防治区</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指不会对地下水环境造成污染的区域，不采取专门针对地下水污染的防治措施，只需要进行一般地面硬化。</w:t>
            </w:r>
          </w:p>
          <w:p>
            <w:pPr>
              <w:pStyle w:val="8"/>
              <w:rPr>
                <w:rFonts w:hint="default" w:ascii="Times New Roman" w:hAnsi="Times New Roman" w:cs="Times New Roman"/>
                <w:lang w:val="en-US" w:eastAsia="zh-CN"/>
              </w:rPr>
            </w:pPr>
            <w:r>
              <w:rPr>
                <w:rFonts w:hint="default" w:ascii="Times New Roman" w:hAnsi="Times New Roman" w:cs="Times New Roman"/>
                <w:lang w:val="en-US" w:eastAsia="zh-CN"/>
              </w:rPr>
              <w:t>本评价依据《环境影响评价技术导则 地下水环境》(HJ610-2016)并结合厂区实际情况进行防渗区域划分。本项目防渗分区划分详见下表。</w:t>
            </w:r>
          </w:p>
          <w:p>
            <w:pPr>
              <w:pStyle w:val="26"/>
              <w:bidi w:val="0"/>
              <w:rPr>
                <w:rFonts w:hint="default"/>
                <w:lang w:val="en-US" w:eastAsia="zh-CN"/>
              </w:rPr>
            </w:pPr>
            <w:r>
              <w:rPr>
                <w:rFonts w:hint="default"/>
                <w:lang w:val="en-US" w:eastAsia="zh-CN"/>
              </w:rPr>
              <w:t>表 4.6-1 地下水污染防治分区一览表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417"/>
              <w:gridCol w:w="2334"/>
              <w:gridCol w:w="1363"/>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4" w:type="pct"/>
                  <w:vAlign w:val="center"/>
                </w:tcPr>
                <w:p>
                  <w:pPr>
                    <w:pStyle w:val="22"/>
                    <w:bidi w:val="0"/>
                    <w:rPr>
                      <w:rFonts w:hint="default"/>
                      <w:lang w:val="en-US" w:eastAsia="zh-CN"/>
                    </w:rPr>
                  </w:pPr>
                  <w:r>
                    <w:rPr>
                      <w:rFonts w:hint="eastAsia"/>
                      <w:lang w:val="en-US" w:eastAsia="zh-CN"/>
                    </w:rPr>
                    <w:t>序号</w:t>
                  </w:r>
                </w:p>
              </w:tc>
              <w:tc>
                <w:tcPr>
                  <w:tcW w:w="794" w:type="pct"/>
                  <w:vAlign w:val="center"/>
                </w:tcPr>
                <w:p>
                  <w:pPr>
                    <w:pStyle w:val="22"/>
                    <w:bidi w:val="0"/>
                    <w:rPr>
                      <w:rFonts w:hint="default"/>
                      <w:lang w:val="en-US" w:eastAsia="zh-CN"/>
                    </w:rPr>
                  </w:pPr>
                  <w:r>
                    <w:rPr>
                      <w:rFonts w:hint="eastAsia"/>
                      <w:lang w:val="en-US" w:eastAsia="zh-CN"/>
                    </w:rPr>
                    <w:t>防治分区</w:t>
                  </w:r>
                </w:p>
              </w:tc>
              <w:tc>
                <w:tcPr>
                  <w:tcW w:w="1308" w:type="pct"/>
                  <w:vAlign w:val="center"/>
                </w:tcPr>
                <w:p>
                  <w:pPr>
                    <w:pStyle w:val="22"/>
                    <w:bidi w:val="0"/>
                    <w:rPr>
                      <w:rFonts w:hint="default"/>
                      <w:lang w:val="en-US" w:eastAsia="zh-CN"/>
                    </w:rPr>
                  </w:pPr>
                  <w:r>
                    <w:rPr>
                      <w:rFonts w:hint="eastAsia"/>
                      <w:lang w:val="en-US" w:eastAsia="zh-CN"/>
                    </w:rPr>
                    <w:t>位置</w:t>
                  </w:r>
                </w:p>
              </w:tc>
              <w:tc>
                <w:tcPr>
                  <w:tcW w:w="764" w:type="pct"/>
                  <w:vAlign w:val="center"/>
                </w:tcPr>
                <w:p>
                  <w:pPr>
                    <w:pStyle w:val="22"/>
                    <w:bidi w:val="0"/>
                    <w:rPr>
                      <w:rFonts w:hint="default"/>
                      <w:lang w:val="en-US" w:eastAsia="zh-CN"/>
                    </w:rPr>
                  </w:pPr>
                  <w:r>
                    <w:rPr>
                      <w:rFonts w:hint="eastAsia"/>
                      <w:lang w:val="en-US" w:eastAsia="zh-CN"/>
                    </w:rPr>
                    <w:t>防渗区域</w:t>
                  </w:r>
                </w:p>
              </w:tc>
              <w:tc>
                <w:tcPr>
                  <w:tcW w:w="1688" w:type="pct"/>
                  <w:vAlign w:val="center"/>
                </w:tcPr>
                <w:p>
                  <w:pPr>
                    <w:pStyle w:val="22"/>
                    <w:bidi w:val="0"/>
                    <w:rPr>
                      <w:rFonts w:hint="default"/>
                      <w:lang w:val="en-US" w:eastAsia="zh-CN"/>
                    </w:rPr>
                  </w:pPr>
                  <w:r>
                    <w:rPr>
                      <w:rFonts w:hint="eastAsia"/>
                      <w:lang w:val="en-US" w:eastAsia="zh-CN"/>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restart"/>
                  <w:vAlign w:val="center"/>
                </w:tcPr>
                <w:p>
                  <w:pPr>
                    <w:pStyle w:val="22"/>
                    <w:bidi w:val="0"/>
                    <w:rPr>
                      <w:rFonts w:hint="default"/>
                      <w:lang w:val="en-US" w:eastAsia="zh-CN"/>
                    </w:rPr>
                  </w:pPr>
                  <w:r>
                    <w:rPr>
                      <w:rFonts w:hint="eastAsia"/>
                      <w:lang w:val="en-US" w:eastAsia="zh-CN"/>
                    </w:rPr>
                    <w:t>1</w:t>
                  </w:r>
                </w:p>
              </w:tc>
              <w:tc>
                <w:tcPr>
                  <w:tcW w:w="794" w:type="pct"/>
                  <w:vMerge w:val="restart"/>
                  <w:vAlign w:val="center"/>
                </w:tcPr>
                <w:p>
                  <w:pPr>
                    <w:pStyle w:val="22"/>
                    <w:bidi w:val="0"/>
                    <w:rPr>
                      <w:rFonts w:hint="default"/>
                      <w:lang w:val="en-US" w:eastAsia="zh-CN"/>
                    </w:rPr>
                  </w:pPr>
                  <w:r>
                    <w:rPr>
                      <w:rFonts w:hint="eastAsia"/>
                      <w:lang w:val="en-US" w:eastAsia="zh-CN"/>
                    </w:rPr>
                    <w:t>重点污染防治区</w:t>
                  </w:r>
                </w:p>
              </w:tc>
              <w:tc>
                <w:tcPr>
                  <w:tcW w:w="1308" w:type="pct"/>
                  <w:vAlign w:val="center"/>
                </w:tcPr>
                <w:p>
                  <w:pPr>
                    <w:pStyle w:val="22"/>
                    <w:bidi w:val="0"/>
                    <w:rPr>
                      <w:rFonts w:hint="default"/>
                      <w:lang w:val="en-US" w:eastAsia="zh-CN"/>
                    </w:rPr>
                  </w:pPr>
                  <w:r>
                    <w:rPr>
                      <w:rFonts w:hint="eastAsia"/>
                      <w:lang w:val="en-US" w:eastAsia="zh-CN"/>
                    </w:rPr>
                    <w:t>危废暂存间、洗罐车间</w:t>
                  </w:r>
                </w:p>
              </w:tc>
              <w:tc>
                <w:tcPr>
                  <w:tcW w:w="764" w:type="pct"/>
                  <w:vAlign w:val="center"/>
                </w:tcPr>
                <w:p>
                  <w:pPr>
                    <w:pStyle w:val="22"/>
                    <w:bidi w:val="0"/>
                    <w:rPr>
                      <w:rFonts w:hint="default"/>
                      <w:lang w:val="en-US" w:eastAsia="zh-CN"/>
                    </w:rPr>
                  </w:pPr>
                  <w:r>
                    <w:rPr>
                      <w:rFonts w:hint="eastAsia"/>
                      <w:lang w:val="en-US" w:eastAsia="zh-CN"/>
                    </w:rPr>
                    <w:t>地面、裙角</w:t>
                  </w:r>
                </w:p>
              </w:tc>
              <w:tc>
                <w:tcPr>
                  <w:tcW w:w="1688" w:type="pct"/>
                  <w:vMerge w:val="restart"/>
                  <w:vAlign w:val="center"/>
                </w:tcPr>
                <w:p>
                  <w:pPr>
                    <w:pStyle w:val="22"/>
                    <w:bidi w:val="0"/>
                    <w:rPr>
                      <w:rFonts w:hint="default"/>
                      <w:lang w:val="en-US" w:eastAsia="zh-CN"/>
                    </w:rPr>
                  </w:pPr>
                  <w:r>
                    <w:rPr>
                      <w:rFonts w:hint="eastAsia"/>
                      <w:lang w:val="en-US" w:eastAsia="zh-CN"/>
                    </w:rPr>
                    <w:t>地面防渗钢筋混凝土，不小于 15cm的C30混凝土整体浇筑，其上铺设2.0mm厚HDPE膜或其他等效防渗工艺，液体危废采用专用容器盛装且下设防渗托盘；危废暂存间设置有导流沟渠。防渗系数不低于10</w:t>
                  </w:r>
                  <w:r>
                    <w:rPr>
                      <w:rFonts w:hint="eastAsia"/>
                      <w:vertAlign w:val="superscript"/>
                      <w:lang w:val="en-US" w:eastAsia="zh-CN"/>
                    </w:rPr>
                    <w:t>-7</w:t>
                  </w:r>
                  <w:r>
                    <w:rPr>
                      <w:rFonts w:hint="eastAsia"/>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Merge w:val="continue"/>
                  <w:vAlign w:val="center"/>
                </w:tcPr>
                <w:p>
                  <w:pPr>
                    <w:pStyle w:val="22"/>
                    <w:bidi w:val="0"/>
                    <w:rPr>
                      <w:rFonts w:hint="default"/>
                      <w:lang w:val="en-US" w:eastAsia="zh-CN"/>
                    </w:rPr>
                  </w:pPr>
                </w:p>
              </w:tc>
              <w:tc>
                <w:tcPr>
                  <w:tcW w:w="794" w:type="pct"/>
                  <w:vMerge w:val="continue"/>
                  <w:vAlign w:val="center"/>
                </w:tcPr>
                <w:p>
                  <w:pPr>
                    <w:pStyle w:val="22"/>
                    <w:bidi w:val="0"/>
                    <w:rPr>
                      <w:rFonts w:hint="default"/>
                      <w:lang w:val="en-US" w:eastAsia="zh-CN"/>
                    </w:rPr>
                  </w:pPr>
                </w:p>
              </w:tc>
              <w:tc>
                <w:tcPr>
                  <w:tcW w:w="1308" w:type="pct"/>
                  <w:shd w:val="clear" w:color="auto" w:fill="auto"/>
                  <w:vAlign w:val="center"/>
                </w:tcPr>
                <w:p>
                  <w:pPr>
                    <w:pStyle w:val="22"/>
                    <w:bidi w:val="0"/>
                    <w:rPr>
                      <w:rFonts w:hint="default"/>
                      <w:lang w:val="en-US" w:eastAsia="zh-CN"/>
                    </w:rPr>
                  </w:pPr>
                  <w:r>
                    <w:rPr>
                      <w:rFonts w:hint="eastAsia"/>
                      <w:lang w:val="en-US" w:eastAsia="zh-CN"/>
                    </w:rPr>
                    <w:t>污水处理站、事故池</w:t>
                  </w:r>
                </w:p>
              </w:tc>
              <w:tc>
                <w:tcPr>
                  <w:tcW w:w="764" w:type="pct"/>
                  <w:shd w:val="clear" w:color="auto" w:fill="auto"/>
                  <w:vAlign w:val="center"/>
                </w:tcPr>
                <w:p>
                  <w:pPr>
                    <w:pStyle w:val="22"/>
                    <w:bidi w:val="0"/>
                    <w:rPr>
                      <w:rFonts w:hint="default"/>
                      <w:lang w:val="en-US" w:eastAsia="zh-CN"/>
                    </w:rPr>
                  </w:pPr>
                  <w:r>
                    <w:rPr>
                      <w:rFonts w:hint="eastAsia"/>
                      <w:lang w:val="en-US" w:eastAsia="zh-CN"/>
                    </w:rPr>
                    <w:t>池底、池壁</w:t>
                  </w:r>
                </w:p>
              </w:tc>
              <w:tc>
                <w:tcPr>
                  <w:tcW w:w="1688" w:type="pct"/>
                  <w:vMerge w:val="continue"/>
                  <w:vAlign w:val="center"/>
                </w:tcPr>
                <w:p>
                  <w:pPr>
                    <w:pStyle w:val="22"/>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pPr>
                    <w:pStyle w:val="22"/>
                    <w:bidi w:val="0"/>
                    <w:rPr>
                      <w:rFonts w:hint="default"/>
                      <w:lang w:val="en-US" w:eastAsia="zh-CN"/>
                    </w:rPr>
                  </w:pPr>
                  <w:r>
                    <w:rPr>
                      <w:rFonts w:hint="eastAsia"/>
                      <w:lang w:val="en-US" w:eastAsia="zh-CN"/>
                    </w:rPr>
                    <w:t>2</w:t>
                  </w:r>
                </w:p>
              </w:tc>
              <w:tc>
                <w:tcPr>
                  <w:tcW w:w="794" w:type="pct"/>
                  <w:vAlign w:val="center"/>
                </w:tcPr>
                <w:p>
                  <w:pPr>
                    <w:pStyle w:val="22"/>
                    <w:bidi w:val="0"/>
                    <w:rPr>
                      <w:rFonts w:hint="default"/>
                      <w:lang w:val="en-US" w:eastAsia="zh-CN"/>
                    </w:rPr>
                  </w:pPr>
                  <w:r>
                    <w:rPr>
                      <w:rFonts w:hint="eastAsia"/>
                      <w:lang w:val="en-US" w:eastAsia="zh-CN"/>
                    </w:rPr>
                    <w:t>一般污染防治区</w:t>
                  </w:r>
                </w:p>
              </w:tc>
              <w:tc>
                <w:tcPr>
                  <w:tcW w:w="1308" w:type="pct"/>
                  <w:vAlign w:val="center"/>
                </w:tcPr>
                <w:p>
                  <w:pPr>
                    <w:pStyle w:val="22"/>
                    <w:bidi w:val="0"/>
                    <w:rPr>
                      <w:rFonts w:hint="default"/>
                      <w:lang w:val="en-US" w:eastAsia="zh-CN"/>
                    </w:rPr>
                  </w:pPr>
                  <w:r>
                    <w:rPr>
                      <w:rFonts w:hint="eastAsia"/>
                      <w:lang w:val="en-US" w:eastAsia="zh-CN"/>
                    </w:rPr>
                    <w:t>洗车车间</w:t>
                  </w:r>
                </w:p>
              </w:tc>
              <w:tc>
                <w:tcPr>
                  <w:tcW w:w="764" w:type="pct"/>
                  <w:vAlign w:val="center"/>
                </w:tcPr>
                <w:p>
                  <w:pPr>
                    <w:pStyle w:val="22"/>
                    <w:bidi w:val="0"/>
                    <w:rPr>
                      <w:rFonts w:hint="default"/>
                      <w:lang w:val="en-US" w:eastAsia="zh-CN"/>
                    </w:rPr>
                  </w:pPr>
                  <w:r>
                    <w:rPr>
                      <w:rFonts w:hint="eastAsia"/>
                      <w:lang w:val="en-US" w:eastAsia="zh-CN"/>
                    </w:rPr>
                    <w:t>地面</w:t>
                  </w:r>
                </w:p>
              </w:tc>
              <w:tc>
                <w:tcPr>
                  <w:tcW w:w="1688" w:type="pct"/>
                  <w:vAlign w:val="center"/>
                </w:tcPr>
                <w:p>
                  <w:pPr>
                    <w:pStyle w:val="22"/>
                    <w:bidi w:val="0"/>
                    <w:rPr>
                      <w:rFonts w:hint="default"/>
                      <w:lang w:val="en-US" w:eastAsia="zh-CN"/>
                    </w:rPr>
                  </w:pPr>
                  <w:r>
                    <w:rPr>
                      <w:rFonts w:hint="eastAsia"/>
                      <w:lang w:val="en-US" w:eastAsia="zh-CN"/>
                    </w:rPr>
                    <w:t>采用“P6等级混凝土防渗或等效防渗措施”，等效粘土防渗层Mb≥1.5m，防渗系数不低于10</w:t>
                  </w:r>
                  <w:r>
                    <w:rPr>
                      <w:rFonts w:hint="eastAsia"/>
                      <w:vertAlign w:val="superscript"/>
                      <w:lang w:val="en-US" w:eastAsia="zh-CN"/>
                    </w:rPr>
                    <w:t>-7</w:t>
                  </w:r>
                  <w:r>
                    <w:rPr>
                      <w:rFonts w:hint="eastAsia"/>
                      <w:lang w:val="en-US" w:eastAsia="zh-CN"/>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 w:type="pct"/>
                  <w:vAlign w:val="center"/>
                </w:tcPr>
                <w:p>
                  <w:pPr>
                    <w:pStyle w:val="22"/>
                    <w:bidi w:val="0"/>
                    <w:rPr>
                      <w:rFonts w:hint="default"/>
                      <w:lang w:val="en-US" w:eastAsia="zh-CN"/>
                    </w:rPr>
                  </w:pPr>
                  <w:r>
                    <w:rPr>
                      <w:rFonts w:hint="eastAsia"/>
                      <w:lang w:val="en-US" w:eastAsia="zh-CN"/>
                    </w:rPr>
                    <w:t>3</w:t>
                  </w:r>
                </w:p>
              </w:tc>
              <w:tc>
                <w:tcPr>
                  <w:tcW w:w="794" w:type="pct"/>
                  <w:vAlign w:val="center"/>
                </w:tcPr>
                <w:p>
                  <w:pPr>
                    <w:pStyle w:val="22"/>
                    <w:bidi w:val="0"/>
                    <w:rPr>
                      <w:rFonts w:hint="default"/>
                      <w:lang w:val="en-US" w:eastAsia="zh-CN"/>
                    </w:rPr>
                  </w:pPr>
                  <w:r>
                    <w:rPr>
                      <w:rFonts w:hint="eastAsia"/>
                      <w:lang w:val="en-US" w:eastAsia="zh-CN"/>
                    </w:rPr>
                    <w:t>非污染防治区</w:t>
                  </w:r>
                </w:p>
              </w:tc>
              <w:tc>
                <w:tcPr>
                  <w:tcW w:w="1308" w:type="pct"/>
                  <w:vAlign w:val="center"/>
                </w:tcPr>
                <w:p>
                  <w:pPr>
                    <w:pStyle w:val="22"/>
                    <w:bidi w:val="0"/>
                    <w:rPr>
                      <w:rFonts w:hint="default"/>
                      <w:lang w:val="en-US" w:eastAsia="zh-CN"/>
                    </w:rPr>
                  </w:pPr>
                  <w:r>
                    <w:rPr>
                      <w:rFonts w:hint="eastAsia"/>
                      <w:lang w:val="en-US" w:eastAsia="zh-CN"/>
                    </w:rPr>
                    <w:t>除了重点、一般污染防治区以外的区域</w:t>
                  </w:r>
                </w:p>
              </w:tc>
              <w:tc>
                <w:tcPr>
                  <w:tcW w:w="764" w:type="pct"/>
                  <w:vAlign w:val="center"/>
                </w:tcPr>
                <w:p>
                  <w:pPr>
                    <w:pStyle w:val="22"/>
                    <w:bidi w:val="0"/>
                    <w:rPr>
                      <w:rFonts w:hint="default"/>
                      <w:lang w:val="en-US" w:eastAsia="zh-CN"/>
                    </w:rPr>
                  </w:pPr>
                  <w:r>
                    <w:rPr>
                      <w:rFonts w:hint="eastAsia"/>
                      <w:lang w:val="en-US" w:eastAsia="zh-CN"/>
                    </w:rPr>
                    <w:t>/</w:t>
                  </w:r>
                </w:p>
              </w:tc>
              <w:tc>
                <w:tcPr>
                  <w:tcW w:w="1688" w:type="pct"/>
                  <w:vAlign w:val="center"/>
                </w:tcPr>
                <w:p>
                  <w:pPr>
                    <w:pStyle w:val="22"/>
                    <w:bidi w:val="0"/>
                    <w:rPr>
                      <w:rFonts w:hint="default"/>
                      <w:lang w:val="en-US" w:eastAsia="zh-CN"/>
                    </w:rPr>
                  </w:pPr>
                  <w:r>
                    <w:rPr>
                      <w:rFonts w:hint="eastAsia"/>
                      <w:lang w:val="en-US" w:eastAsia="zh-CN"/>
                    </w:rPr>
                    <w:t>一般水泥地面硬化</w:t>
                  </w:r>
                </w:p>
              </w:tc>
            </w:tr>
          </w:tbl>
          <w:p>
            <w:pPr>
              <w:pStyle w:val="8"/>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4.</w:t>
            </w:r>
            <w:r>
              <w:rPr>
                <w:rFonts w:hint="eastAsia" w:ascii="Times New Roman" w:hAnsi="Times New Roman" w:eastAsia="宋体" w:cs="Times New Roman"/>
                <w:b/>
                <w:bCs/>
                <w:lang w:val="en-US" w:eastAsia="zh-CN"/>
              </w:rPr>
              <w:t>7</w:t>
            </w:r>
            <w:r>
              <w:rPr>
                <w:rFonts w:hint="default" w:ascii="Times New Roman" w:hAnsi="Times New Roman" w:eastAsia="宋体" w:cs="Times New Roman"/>
                <w:b/>
                <w:bCs/>
                <w:lang w:val="en-US" w:eastAsia="zh-CN"/>
              </w:rPr>
              <w:t>环境风险</w:t>
            </w:r>
          </w:p>
          <w:p>
            <w:pPr>
              <w:pStyle w:val="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根据《建设项目环境风险评价技术导则》(HJ169-2018)，所涉及的每种危险物质在厂界内的最大存在总量与其在《建设项目环境风险评价技术导则》(HJ169-2018)附录 B 中对应临界量的比值Q。</w:t>
            </w:r>
          </w:p>
          <w:p>
            <w:pPr>
              <w:pStyle w:val="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当只涉及一种危险物质时，计算该物质的总量与其临界量比值，即为Q:</w:t>
            </w:r>
          </w:p>
          <w:p>
            <w:pPr>
              <w:pStyle w:val="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当存在多种危险物质时，则按下式计算物质总量与其临界量比值(Q)：</w:t>
            </w:r>
          </w:p>
          <w:p>
            <w:pPr>
              <w:pStyle w:val="29"/>
              <w:keepNext w:val="0"/>
              <w:keepLines w:val="0"/>
              <w:pageBreakBefore w:val="0"/>
              <w:widowControl w:val="0"/>
              <w:kinsoku/>
              <w:wordWrap/>
              <w:overflowPunct/>
              <w:topLinePunct w:val="0"/>
              <w:autoSpaceDE/>
              <w:autoSpaceDN/>
              <w:bidi w:val="0"/>
              <w:adjustRightInd/>
              <w:snapToGrid/>
              <w:ind w:firstLine="422" w:firstLineChars="200"/>
              <w:jc w:val="both"/>
              <w:textAlignment w:val="auto"/>
              <w:rPr>
                <w:rFonts w:hint="eastAsia" w:ascii="Times New Roman" w:hAnsi="Times New Roman" w:eastAsia="宋体" w:cs="Times New Roman"/>
                <w:lang w:eastAsia="zh-CN"/>
              </w:rPr>
            </w:pPr>
            <w:r>
              <w:rPr>
                <w:rFonts w:hint="default" w:ascii="Times New Roman" w:hAnsi="Times New Roman" w:cs="Times New Roman"/>
                <w:position w:val="-10"/>
              </w:rPr>
              <w:object>
                <v:shape id="_x0000_i1037" o:spt="75" type="#_x0000_t75" style="height:17pt;width:168.95pt;" o:ole="t" filled="f" o:preferrelative="t" stroked="f" coordsize="21600,21600">
                  <v:path/>
                  <v:fill on="f" focussize="0,0"/>
                  <v:stroke on="f"/>
                  <v:imagedata r:id="rId43" o:title=""/>
                  <o:lock v:ext="edit" aspectratio="t"/>
                  <w10:wrap type="none"/>
                  <w10:anchorlock/>
                </v:shape>
                <o:OLEObject Type="Embed" ProgID="Equation.KSEE3" ShapeID="_x0000_i1037" DrawAspect="Content" ObjectID="_1468075737" r:id="rId42">
                  <o:LockedField>false</o:LockedField>
                </o:OLEObject>
              </w:object>
            </w:r>
          </w:p>
          <w:p>
            <w:pPr>
              <w:pStyle w:val="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式中:q1，q2……qn-每种危险物质的最大存在总量，t;</w:t>
            </w:r>
          </w:p>
          <w:p>
            <w:pPr>
              <w:pStyle w:val="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Q1，Q2……Qn—每种危险物质的临界量，t。</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eastAsia="宋体" w:cs="Times New Roman"/>
                <w:b w:val="0"/>
                <w:bCs/>
                <w:sz w:val="24"/>
                <w:szCs w:val="24"/>
                <w:lang w:eastAsia="zh-CN"/>
              </w:rPr>
            </w:pPr>
            <w:r>
              <w:rPr>
                <w:rFonts w:hint="default" w:ascii="Times New Roman" w:hAnsi="Times New Roman" w:eastAsia="宋体" w:cs="Times New Roman"/>
                <w:b w:val="0"/>
                <w:bCs/>
                <w:sz w:val="24"/>
                <w:szCs w:val="24"/>
              </w:rPr>
              <w:t>当Q&lt;1时，该项目环境风险潜势为I。当Q&gt;1时，Q值划分:(1)1≤Q&lt;10;(2)10&lt;Q&lt;100;(3)0&gt;100.根据《建设项目环境风险评价技术导则》（HJ169-2018）附录B，通过对运营期主要原辅材料及其分布情况、生产工艺特点进行分析，本项目涉及突发环境事件风险物质临界量见下表</w:t>
            </w:r>
            <w:r>
              <w:rPr>
                <w:rFonts w:hint="default" w:ascii="Times New Roman" w:hAnsi="Times New Roman" w:eastAsia="宋体" w:cs="Times New Roman"/>
                <w:b w:val="0"/>
                <w:bCs/>
                <w:sz w:val="24"/>
                <w:szCs w:val="24"/>
                <w:lang w:eastAsia="zh-CN"/>
              </w:rPr>
              <w:t>。</w:t>
            </w:r>
          </w:p>
          <w:p>
            <w:pPr>
              <w:pStyle w:val="26"/>
              <w:bidi w:val="0"/>
              <w:rPr>
                <w:rFonts w:hint="default"/>
              </w:rPr>
            </w:pPr>
            <w:r>
              <w:rPr>
                <w:rFonts w:hint="default"/>
              </w:rPr>
              <w:t>表 4.</w:t>
            </w:r>
            <w:r>
              <w:rPr>
                <w:rFonts w:hint="eastAsia"/>
                <w:lang w:val="en-US" w:eastAsia="zh-CN"/>
              </w:rPr>
              <w:t>7</w:t>
            </w:r>
            <w:r>
              <w:rPr>
                <w:rFonts w:hint="default"/>
              </w:rPr>
              <w:t>-1 本项目风险物质临界量一览表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5"/>
              <w:gridCol w:w="2229"/>
              <w:gridCol w:w="2231"/>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lang w:val="en-US" w:eastAsia="zh-CN"/>
                    </w:rPr>
                  </w:pPr>
                  <w:r>
                    <w:rPr>
                      <w:rFonts w:hint="default"/>
                      <w:lang w:val="en-US" w:eastAsia="zh-CN"/>
                    </w:rPr>
                    <w:t>风险物质名称</w:t>
                  </w:r>
                </w:p>
              </w:tc>
              <w:tc>
                <w:tcPr>
                  <w:tcW w:w="1250" w:type="pct"/>
                  <w:vAlign w:val="center"/>
                </w:tcPr>
                <w:p>
                  <w:pPr>
                    <w:pStyle w:val="22"/>
                    <w:bidi w:val="0"/>
                    <w:rPr>
                      <w:rFonts w:hint="default"/>
                      <w:lang w:val="en-US" w:eastAsia="zh-CN"/>
                    </w:rPr>
                  </w:pPr>
                  <w:r>
                    <w:rPr>
                      <w:rFonts w:hint="default"/>
                      <w:lang w:val="en-US" w:eastAsia="zh-CN"/>
                    </w:rPr>
                    <w:t>临界值Qn（t）</w:t>
                  </w:r>
                </w:p>
              </w:tc>
              <w:tc>
                <w:tcPr>
                  <w:tcW w:w="1250" w:type="pct"/>
                  <w:vAlign w:val="center"/>
                </w:tcPr>
                <w:p>
                  <w:pPr>
                    <w:pStyle w:val="22"/>
                    <w:bidi w:val="0"/>
                    <w:rPr>
                      <w:rFonts w:hint="default"/>
                      <w:lang w:val="en-US" w:eastAsia="zh-CN"/>
                    </w:rPr>
                  </w:pPr>
                  <w:r>
                    <w:rPr>
                      <w:rFonts w:hint="default"/>
                      <w:lang w:val="en-US" w:eastAsia="zh-CN"/>
                    </w:rPr>
                    <w:t>最大存在量qn（t）</w:t>
                  </w:r>
                </w:p>
              </w:tc>
              <w:tc>
                <w:tcPr>
                  <w:tcW w:w="1250" w:type="pct"/>
                  <w:vAlign w:val="center"/>
                </w:tcPr>
                <w:p>
                  <w:pPr>
                    <w:pStyle w:val="22"/>
                    <w:bidi w:val="0"/>
                    <w:rPr>
                      <w:rFonts w:hint="default"/>
                      <w:lang w:val="en-US" w:eastAsia="zh-CN"/>
                    </w:rPr>
                  </w:pPr>
                  <w:r>
                    <w:rPr>
                      <w:rFonts w:hint="default"/>
                      <w:lang w:val="en-US" w:eastAsia="zh-CN"/>
                    </w:rPr>
                    <w:t>qn/Qn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甲醇</w:t>
                  </w:r>
                </w:p>
              </w:tc>
              <w:tc>
                <w:tcPr>
                  <w:tcW w:w="1250" w:type="pct"/>
                  <w:vAlign w:val="center"/>
                </w:tcPr>
                <w:p>
                  <w:pPr>
                    <w:pStyle w:val="22"/>
                    <w:bidi w:val="0"/>
                    <w:rPr>
                      <w:rFonts w:hint="default"/>
                    </w:rPr>
                  </w:pPr>
                  <w:r>
                    <w:rPr>
                      <w:rFonts w:hint="default"/>
                      <w:lang w:val="en-US" w:eastAsia="zh-CN"/>
                    </w:rPr>
                    <w:t>10</w:t>
                  </w:r>
                </w:p>
              </w:tc>
              <w:tc>
                <w:tcPr>
                  <w:tcW w:w="1250" w:type="pct"/>
                  <w:vAlign w:val="center"/>
                </w:tcPr>
                <w:p>
                  <w:pPr>
                    <w:pStyle w:val="22"/>
                    <w:bidi w:val="0"/>
                    <w:rPr>
                      <w:rFonts w:hint="default"/>
                    </w:rPr>
                  </w:pPr>
                  <w:r>
                    <w:rPr>
                      <w:rFonts w:hint="default"/>
                      <w:lang w:val="en-US" w:eastAsia="zh-CN"/>
                    </w:rPr>
                    <w:t>0.08</w:t>
                  </w:r>
                </w:p>
              </w:tc>
              <w:tc>
                <w:tcPr>
                  <w:tcW w:w="1250" w:type="pct"/>
                  <w:vAlign w:val="center"/>
                </w:tcPr>
                <w:p>
                  <w:pPr>
                    <w:pStyle w:val="22"/>
                    <w:bidi w:val="0"/>
                    <w:rPr>
                      <w:rFonts w:hint="default"/>
                    </w:rPr>
                  </w:pPr>
                  <w:r>
                    <w:rPr>
                      <w:rFonts w:hint="default"/>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苯酚</w:t>
                  </w:r>
                </w:p>
              </w:tc>
              <w:tc>
                <w:tcPr>
                  <w:tcW w:w="1250" w:type="pct"/>
                  <w:vAlign w:val="center"/>
                </w:tcPr>
                <w:p>
                  <w:pPr>
                    <w:pStyle w:val="22"/>
                    <w:bidi w:val="0"/>
                    <w:rPr>
                      <w:rFonts w:hint="default"/>
                    </w:rPr>
                  </w:pPr>
                  <w:r>
                    <w:rPr>
                      <w:rFonts w:hint="default"/>
                      <w:lang w:val="en-US" w:eastAsia="zh-CN"/>
                    </w:rPr>
                    <w:t>5</w:t>
                  </w:r>
                </w:p>
              </w:tc>
              <w:tc>
                <w:tcPr>
                  <w:tcW w:w="1250" w:type="pct"/>
                  <w:vAlign w:val="center"/>
                </w:tcPr>
                <w:p>
                  <w:pPr>
                    <w:pStyle w:val="22"/>
                    <w:bidi w:val="0"/>
                    <w:rPr>
                      <w:rFonts w:hint="default"/>
                    </w:rPr>
                  </w:pPr>
                  <w:r>
                    <w:rPr>
                      <w:rFonts w:hint="default"/>
                      <w:lang w:val="en-US" w:eastAsia="zh-CN"/>
                    </w:rPr>
                    <w:t>0.06</w:t>
                  </w:r>
                </w:p>
              </w:tc>
              <w:tc>
                <w:tcPr>
                  <w:tcW w:w="1250" w:type="pct"/>
                  <w:vAlign w:val="center"/>
                </w:tcPr>
                <w:p>
                  <w:pPr>
                    <w:pStyle w:val="22"/>
                    <w:bidi w:val="0"/>
                    <w:rPr>
                      <w:rFonts w:hint="default"/>
                    </w:rPr>
                  </w:pPr>
                  <w:r>
                    <w:rPr>
                      <w:rFonts w:hint="default"/>
                      <w:lang w:val="en-US" w:eastAsia="zh-CN"/>
                    </w:rPr>
                    <w:t>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轻质二元醇</w:t>
                  </w:r>
                </w:p>
              </w:tc>
              <w:tc>
                <w:tcPr>
                  <w:tcW w:w="1250" w:type="pct"/>
                  <w:vAlign w:val="center"/>
                </w:tcPr>
                <w:p>
                  <w:pPr>
                    <w:pStyle w:val="22"/>
                    <w:bidi w:val="0"/>
                    <w:rPr>
                      <w:rFonts w:hint="default"/>
                    </w:rPr>
                  </w:pPr>
                  <w:r>
                    <w:rPr>
                      <w:rFonts w:hint="default"/>
                      <w:lang w:val="en-US" w:eastAsia="zh-CN"/>
                    </w:rPr>
                    <w:t>5</w:t>
                  </w:r>
                </w:p>
              </w:tc>
              <w:tc>
                <w:tcPr>
                  <w:tcW w:w="1250" w:type="pct"/>
                  <w:vAlign w:val="center"/>
                </w:tcPr>
                <w:p>
                  <w:pPr>
                    <w:pStyle w:val="22"/>
                    <w:bidi w:val="0"/>
                    <w:rPr>
                      <w:rFonts w:hint="default"/>
                    </w:rPr>
                  </w:pPr>
                  <w:r>
                    <w:rPr>
                      <w:rFonts w:hint="default"/>
                      <w:lang w:val="en-US" w:eastAsia="zh-CN"/>
                    </w:rPr>
                    <w:t>0.02</w:t>
                  </w:r>
                </w:p>
              </w:tc>
              <w:tc>
                <w:tcPr>
                  <w:tcW w:w="1250" w:type="pct"/>
                  <w:vAlign w:val="center"/>
                </w:tcPr>
                <w:p>
                  <w:pPr>
                    <w:pStyle w:val="22"/>
                    <w:bidi w:val="0"/>
                    <w:rPr>
                      <w:rFonts w:hint="default"/>
                    </w:rPr>
                  </w:pPr>
                  <w:r>
                    <w:rPr>
                      <w:rFonts w:hint="default"/>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混合一元醇</w:t>
                  </w:r>
                </w:p>
              </w:tc>
              <w:tc>
                <w:tcPr>
                  <w:tcW w:w="1250" w:type="pct"/>
                  <w:vAlign w:val="center"/>
                </w:tcPr>
                <w:p>
                  <w:pPr>
                    <w:pStyle w:val="22"/>
                    <w:bidi w:val="0"/>
                    <w:rPr>
                      <w:rFonts w:hint="default"/>
                    </w:rPr>
                  </w:pPr>
                  <w:r>
                    <w:rPr>
                      <w:rFonts w:hint="default"/>
                      <w:lang w:val="en-US" w:eastAsia="zh-CN"/>
                    </w:rPr>
                    <w:t>10</w:t>
                  </w:r>
                </w:p>
              </w:tc>
              <w:tc>
                <w:tcPr>
                  <w:tcW w:w="1250" w:type="pct"/>
                  <w:vAlign w:val="center"/>
                </w:tcPr>
                <w:p>
                  <w:pPr>
                    <w:pStyle w:val="22"/>
                    <w:bidi w:val="0"/>
                    <w:rPr>
                      <w:rFonts w:hint="default"/>
                    </w:rPr>
                  </w:pPr>
                  <w:r>
                    <w:rPr>
                      <w:rFonts w:hint="default"/>
                      <w:lang w:val="en-US" w:eastAsia="zh-CN"/>
                    </w:rPr>
                    <w:t>0.02</w:t>
                  </w:r>
                </w:p>
              </w:tc>
              <w:tc>
                <w:tcPr>
                  <w:tcW w:w="1250" w:type="pct"/>
                  <w:vAlign w:val="center"/>
                </w:tcPr>
                <w:p>
                  <w:pPr>
                    <w:pStyle w:val="22"/>
                    <w:bidi w:val="0"/>
                    <w:rPr>
                      <w:rFonts w:hint="default"/>
                    </w:rPr>
                  </w:pPr>
                  <w:r>
                    <w:rPr>
                      <w:rFonts w:hint="default"/>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重质二元醇</w:t>
                  </w:r>
                </w:p>
              </w:tc>
              <w:tc>
                <w:tcPr>
                  <w:tcW w:w="1250" w:type="pct"/>
                  <w:vAlign w:val="center"/>
                </w:tcPr>
                <w:p>
                  <w:pPr>
                    <w:pStyle w:val="22"/>
                    <w:bidi w:val="0"/>
                    <w:rPr>
                      <w:rFonts w:hint="default"/>
                    </w:rPr>
                  </w:pPr>
                  <w:r>
                    <w:rPr>
                      <w:rFonts w:hint="default"/>
                      <w:lang w:val="en-US" w:eastAsia="zh-CN"/>
                    </w:rPr>
                    <w:t>5</w:t>
                  </w:r>
                </w:p>
              </w:tc>
              <w:tc>
                <w:tcPr>
                  <w:tcW w:w="1250" w:type="pct"/>
                  <w:vAlign w:val="center"/>
                </w:tcPr>
                <w:p>
                  <w:pPr>
                    <w:pStyle w:val="22"/>
                    <w:bidi w:val="0"/>
                    <w:rPr>
                      <w:rFonts w:hint="default"/>
                    </w:rPr>
                  </w:pPr>
                  <w:r>
                    <w:rPr>
                      <w:rFonts w:hint="default"/>
                      <w:lang w:val="en-US" w:eastAsia="zh-CN"/>
                    </w:rPr>
                    <w:t>0.02</w:t>
                  </w:r>
                </w:p>
              </w:tc>
              <w:tc>
                <w:tcPr>
                  <w:tcW w:w="1250" w:type="pct"/>
                  <w:vAlign w:val="center"/>
                </w:tcPr>
                <w:p>
                  <w:pPr>
                    <w:pStyle w:val="22"/>
                    <w:bidi w:val="0"/>
                    <w:rPr>
                      <w:rFonts w:hint="default"/>
                    </w:rPr>
                  </w:pPr>
                  <w:r>
                    <w:rPr>
                      <w:rFonts w:hint="default"/>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乙二醇</w:t>
                  </w:r>
                </w:p>
              </w:tc>
              <w:tc>
                <w:tcPr>
                  <w:tcW w:w="1250" w:type="pct"/>
                  <w:vAlign w:val="center"/>
                </w:tcPr>
                <w:p>
                  <w:pPr>
                    <w:pStyle w:val="22"/>
                    <w:bidi w:val="0"/>
                    <w:rPr>
                      <w:rFonts w:hint="default"/>
                    </w:rPr>
                  </w:pPr>
                  <w:r>
                    <w:rPr>
                      <w:rFonts w:hint="default"/>
                      <w:lang w:val="en-US" w:eastAsia="zh-CN"/>
                    </w:rPr>
                    <w:t>5</w:t>
                  </w:r>
                </w:p>
              </w:tc>
              <w:tc>
                <w:tcPr>
                  <w:tcW w:w="1250" w:type="pct"/>
                  <w:vAlign w:val="center"/>
                </w:tcPr>
                <w:p>
                  <w:pPr>
                    <w:pStyle w:val="22"/>
                    <w:bidi w:val="0"/>
                    <w:rPr>
                      <w:rFonts w:hint="default"/>
                    </w:rPr>
                  </w:pPr>
                  <w:r>
                    <w:rPr>
                      <w:rFonts w:hint="default"/>
                      <w:lang w:val="en-US" w:eastAsia="zh-CN"/>
                    </w:rPr>
                    <w:t>0.02</w:t>
                  </w:r>
                </w:p>
              </w:tc>
              <w:tc>
                <w:tcPr>
                  <w:tcW w:w="1250" w:type="pct"/>
                  <w:vAlign w:val="center"/>
                </w:tcPr>
                <w:p>
                  <w:pPr>
                    <w:pStyle w:val="22"/>
                    <w:bidi w:val="0"/>
                    <w:rPr>
                      <w:rFonts w:hint="default"/>
                    </w:rPr>
                  </w:pPr>
                  <w:r>
                    <w:rPr>
                      <w:rFonts w:hint="default"/>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二硫化碳</w:t>
                  </w:r>
                </w:p>
              </w:tc>
              <w:tc>
                <w:tcPr>
                  <w:tcW w:w="1250" w:type="pct"/>
                  <w:vAlign w:val="center"/>
                </w:tcPr>
                <w:p>
                  <w:pPr>
                    <w:pStyle w:val="22"/>
                    <w:bidi w:val="0"/>
                    <w:rPr>
                      <w:rFonts w:hint="default"/>
                    </w:rPr>
                  </w:pPr>
                  <w:r>
                    <w:rPr>
                      <w:rFonts w:hint="default"/>
                      <w:lang w:val="en-US" w:eastAsia="zh-CN"/>
                    </w:rPr>
                    <w:t>10</w:t>
                  </w:r>
                </w:p>
              </w:tc>
              <w:tc>
                <w:tcPr>
                  <w:tcW w:w="1250" w:type="pct"/>
                  <w:vAlign w:val="center"/>
                </w:tcPr>
                <w:p>
                  <w:pPr>
                    <w:pStyle w:val="22"/>
                    <w:bidi w:val="0"/>
                    <w:rPr>
                      <w:rFonts w:hint="default"/>
                    </w:rPr>
                  </w:pPr>
                  <w:r>
                    <w:rPr>
                      <w:rFonts w:hint="default"/>
                      <w:lang w:val="en-US" w:eastAsia="zh-CN"/>
                    </w:rPr>
                    <w:t>0.04</w:t>
                  </w:r>
                </w:p>
              </w:tc>
              <w:tc>
                <w:tcPr>
                  <w:tcW w:w="1250" w:type="pct"/>
                  <w:vAlign w:val="center"/>
                </w:tcPr>
                <w:p>
                  <w:pPr>
                    <w:pStyle w:val="22"/>
                    <w:bidi w:val="0"/>
                    <w:rPr>
                      <w:rFonts w:hint="default"/>
                    </w:rPr>
                  </w:pPr>
                  <w:r>
                    <w:rPr>
                      <w:rFonts w:hint="default"/>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98%硫酸</w:t>
                  </w:r>
                </w:p>
              </w:tc>
              <w:tc>
                <w:tcPr>
                  <w:tcW w:w="1250" w:type="pct"/>
                  <w:vAlign w:val="center"/>
                </w:tcPr>
                <w:p>
                  <w:pPr>
                    <w:pStyle w:val="22"/>
                    <w:bidi w:val="0"/>
                    <w:rPr>
                      <w:rFonts w:hint="default"/>
                    </w:rPr>
                  </w:pPr>
                  <w:r>
                    <w:rPr>
                      <w:rFonts w:hint="default"/>
                      <w:lang w:val="en-US" w:eastAsia="zh-CN"/>
                    </w:rPr>
                    <w:t>5</w:t>
                  </w:r>
                </w:p>
              </w:tc>
              <w:tc>
                <w:tcPr>
                  <w:tcW w:w="1250" w:type="pct"/>
                  <w:vAlign w:val="center"/>
                </w:tcPr>
                <w:p>
                  <w:pPr>
                    <w:pStyle w:val="22"/>
                    <w:bidi w:val="0"/>
                    <w:rPr>
                      <w:rFonts w:hint="default"/>
                    </w:rPr>
                  </w:pPr>
                  <w:r>
                    <w:rPr>
                      <w:rFonts w:hint="default"/>
                      <w:lang w:val="en-US" w:eastAsia="zh-CN"/>
                    </w:rPr>
                    <w:t>0.08</w:t>
                  </w:r>
                </w:p>
              </w:tc>
              <w:tc>
                <w:tcPr>
                  <w:tcW w:w="1250" w:type="pct"/>
                  <w:vAlign w:val="center"/>
                </w:tcPr>
                <w:p>
                  <w:pPr>
                    <w:pStyle w:val="22"/>
                    <w:bidi w:val="0"/>
                    <w:rPr>
                      <w:rFonts w:hint="default"/>
                    </w:rPr>
                  </w:pPr>
                  <w:r>
                    <w:rPr>
                      <w:rFonts w:hint="default"/>
                      <w:lang w:val="en-US" w:eastAsia="zh-CN"/>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试剂硫酸</w:t>
                  </w:r>
                </w:p>
              </w:tc>
              <w:tc>
                <w:tcPr>
                  <w:tcW w:w="1250" w:type="pct"/>
                  <w:vAlign w:val="center"/>
                </w:tcPr>
                <w:p>
                  <w:pPr>
                    <w:pStyle w:val="22"/>
                    <w:bidi w:val="0"/>
                    <w:rPr>
                      <w:rFonts w:hint="default"/>
                    </w:rPr>
                  </w:pPr>
                  <w:r>
                    <w:rPr>
                      <w:rFonts w:hint="default"/>
                      <w:lang w:val="en-US" w:eastAsia="zh-CN"/>
                    </w:rPr>
                    <w:t>10</w:t>
                  </w:r>
                </w:p>
              </w:tc>
              <w:tc>
                <w:tcPr>
                  <w:tcW w:w="1250" w:type="pct"/>
                  <w:vAlign w:val="center"/>
                </w:tcPr>
                <w:p>
                  <w:pPr>
                    <w:pStyle w:val="22"/>
                    <w:bidi w:val="0"/>
                    <w:rPr>
                      <w:rFonts w:hint="default"/>
                    </w:rPr>
                  </w:pPr>
                  <w:r>
                    <w:rPr>
                      <w:rFonts w:hint="default"/>
                      <w:lang w:val="en-US" w:eastAsia="zh-CN"/>
                    </w:rPr>
                    <w:t>0.06</w:t>
                  </w:r>
                </w:p>
              </w:tc>
              <w:tc>
                <w:tcPr>
                  <w:tcW w:w="1250" w:type="pct"/>
                  <w:vAlign w:val="center"/>
                </w:tcPr>
                <w:p>
                  <w:pPr>
                    <w:pStyle w:val="22"/>
                    <w:bidi w:val="0"/>
                    <w:rPr>
                      <w:rFonts w:hint="default"/>
                    </w:rPr>
                  </w:pPr>
                  <w:r>
                    <w:rPr>
                      <w:rFonts w:hint="default"/>
                      <w:lang w:val="en-US" w:eastAsia="zh-CN"/>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31%盐酸</w:t>
                  </w:r>
                </w:p>
              </w:tc>
              <w:tc>
                <w:tcPr>
                  <w:tcW w:w="1250" w:type="pct"/>
                  <w:vAlign w:val="center"/>
                </w:tcPr>
                <w:p>
                  <w:pPr>
                    <w:pStyle w:val="22"/>
                    <w:bidi w:val="0"/>
                    <w:rPr>
                      <w:rFonts w:hint="default"/>
                    </w:rPr>
                  </w:pPr>
                  <w:r>
                    <w:rPr>
                      <w:rFonts w:hint="default"/>
                      <w:lang w:val="en-US" w:eastAsia="zh-CN"/>
                    </w:rPr>
                    <w:t>7.5</w:t>
                  </w:r>
                </w:p>
              </w:tc>
              <w:tc>
                <w:tcPr>
                  <w:tcW w:w="1250" w:type="pct"/>
                  <w:vAlign w:val="center"/>
                </w:tcPr>
                <w:p>
                  <w:pPr>
                    <w:pStyle w:val="22"/>
                    <w:bidi w:val="0"/>
                    <w:rPr>
                      <w:rFonts w:hint="default"/>
                    </w:rPr>
                  </w:pPr>
                  <w:r>
                    <w:rPr>
                      <w:rFonts w:hint="default"/>
                      <w:lang w:val="en-US" w:eastAsia="zh-CN"/>
                    </w:rPr>
                    <w:t>0.04</w:t>
                  </w:r>
                </w:p>
              </w:tc>
              <w:tc>
                <w:tcPr>
                  <w:tcW w:w="1250" w:type="pct"/>
                  <w:vAlign w:val="center"/>
                </w:tcPr>
                <w:p>
                  <w:pPr>
                    <w:pStyle w:val="22"/>
                    <w:bidi w:val="0"/>
                    <w:rPr>
                      <w:rFonts w:hint="default"/>
                    </w:rPr>
                  </w:pPr>
                  <w:r>
                    <w:rPr>
                      <w:rFonts w:hint="default"/>
                      <w:lang w:val="en-US" w:eastAsia="zh-CN"/>
                    </w:rPr>
                    <w:t>0.005333333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85%磷酸</w:t>
                  </w:r>
                </w:p>
              </w:tc>
              <w:tc>
                <w:tcPr>
                  <w:tcW w:w="1250" w:type="pct"/>
                  <w:vAlign w:val="center"/>
                </w:tcPr>
                <w:p>
                  <w:pPr>
                    <w:pStyle w:val="22"/>
                    <w:bidi w:val="0"/>
                    <w:rPr>
                      <w:rFonts w:hint="default"/>
                    </w:rPr>
                  </w:pPr>
                  <w:r>
                    <w:rPr>
                      <w:rFonts w:hint="default"/>
                      <w:lang w:val="en-US" w:eastAsia="zh-CN"/>
                    </w:rPr>
                    <w:t>10</w:t>
                  </w:r>
                </w:p>
              </w:tc>
              <w:tc>
                <w:tcPr>
                  <w:tcW w:w="1250" w:type="pct"/>
                  <w:vAlign w:val="center"/>
                </w:tcPr>
                <w:p>
                  <w:pPr>
                    <w:pStyle w:val="22"/>
                    <w:bidi w:val="0"/>
                    <w:rPr>
                      <w:rFonts w:hint="default"/>
                    </w:rPr>
                  </w:pPr>
                  <w:r>
                    <w:rPr>
                      <w:rFonts w:hint="default"/>
                      <w:lang w:val="en-US" w:eastAsia="zh-CN"/>
                    </w:rPr>
                    <w:t>0.02</w:t>
                  </w:r>
                </w:p>
              </w:tc>
              <w:tc>
                <w:tcPr>
                  <w:tcW w:w="1250" w:type="pct"/>
                  <w:vAlign w:val="center"/>
                </w:tcPr>
                <w:p>
                  <w:pPr>
                    <w:pStyle w:val="22"/>
                    <w:bidi w:val="0"/>
                    <w:rPr>
                      <w:rFonts w:hint="default"/>
                    </w:rPr>
                  </w:pPr>
                  <w:r>
                    <w:rPr>
                      <w:rFonts w:hint="default"/>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40%氢氟酸</w:t>
                  </w:r>
                </w:p>
              </w:tc>
              <w:tc>
                <w:tcPr>
                  <w:tcW w:w="1250" w:type="pct"/>
                  <w:vAlign w:val="center"/>
                </w:tcPr>
                <w:p>
                  <w:pPr>
                    <w:pStyle w:val="22"/>
                    <w:bidi w:val="0"/>
                    <w:rPr>
                      <w:rFonts w:hint="default"/>
                    </w:rPr>
                  </w:pPr>
                  <w:r>
                    <w:rPr>
                      <w:rFonts w:hint="default"/>
                      <w:lang w:val="en-US" w:eastAsia="zh-CN"/>
                    </w:rPr>
                    <w:t>1</w:t>
                  </w:r>
                </w:p>
              </w:tc>
              <w:tc>
                <w:tcPr>
                  <w:tcW w:w="1250" w:type="pct"/>
                  <w:vAlign w:val="center"/>
                </w:tcPr>
                <w:p>
                  <w:pPr>
                    <w:pStyle w:val="22"/>
                    <w:bidi w:val="0"/>
                    <w:rPr>
                      <w:rFonts w:hint="default"/>
                    </w:rPr>
                  </w:pPr>
                  <w:r>
                    <w:rPr>
                      <w:rFonts w:hint="default"/>
                      <w:lang w:val="en-US" w:eastAsia="zh-CN"/>
                    </w:rPr>
                    <w:t>0.04</w:t>
                  </w:r>
                </w:p>
              </w:tc>
              <w:tc>
                <w:tcPr>
                  <w:tcW w:w="1250" w:type="pct"/>
                  <w:vAlign w:val="center"/>
                </w:tcPr>
                <w:p>
                  <w:pPr>
                    <w:pStyle w:val="22"/>
                    <w:bidi w:val="0"/>
                    <w:rPr>
                      <w:rFonts w:hint="default"/>
                    </w:rPr>
                  </w:pPr>
                  <w:r>
                    <w:rPr>
                      <w:rFonts w:hint="default"/>
                      <w:lang w:val="en-US" w:eastAsia="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硝酸</w:t>
                  </w:r>
                </w:p>
              </w:tc>
              <w:tc>
                <w:tcPr>
                  <w:tcW w:w="1250" w:type="pct"/>
                  <w:vAlign w:val="center"/>
                </w:tcPr>
                <w:p>
                  <w:pPr>
                    <w:pStyle w:val="22"/>
                    <w:bidi w:val="0"/>
                    <w:rPr>
                      <w:rFonts w:hint="default"/>
                    </w:rPr>
                  </w:pPr>
                  <w:r>
                    <w:rPr>
                      <w:rFonts w:hint="default"/>
                      <w:lang w:val="en-US" w:eastAsia="zh-CN"/>
                    </w:rPr>
                    <w:t>7.5</w:t>
                  </w:r>
                </w:p>
              </w:tc>
              <w:tc>
                <w:tcPr>
                  <w:tcW w:w="1250" w:type="pct"/>
                  <w:vAlign w:val="center"/>
                </w:tcPr>
                <w:p>
                  <w:pPr>
                    <w:pStyle w:val="22"/>
                    <w:bidi w:val="0"/>
                    <w:rPr>
                      <w:rFonts w:hint="default"/>
                    </w:rPr>
                  </w:pPr>
                  <w:r>
                    <w:rPr>
                      <w:rFonts w:hint="default"/>
                      <w:lang w:val="en-US" w:eastAsia="zh-CN"/>
                    </w:rPr>
                    <w:t>0.06</w:t>
                  </w:r>
                </w:p>
              </w:tc>
              <w:tc>
                <w:tcPr>
                  <w:tcW w:w="1250" w:type="pct"/>
                  <w:vAlign w:val="center"/>
                </w:tcPr>
                <w:p>
                  <w:pPr>
                    <w:pStyle w:val="22"/>
                    <w:bidi w:val="0"/>
                    <w:rPr>
                      <w:rFonts w:hint="default"/>
                    </w:rPr>
                  </w:pPr>
                  <w:r>
                    <w:rPr>
                      <w:rFonts w:hint="default"/>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氨水</w:t>
                  </w:r>
                </w:p>
              </w:tc>
              <w:tc>
                <w:tcPr>
                  <w:tcW w:w="1250" w:type="pct"/>
                  <w:vAlign w:val="center"/>
                </w:tcPr>
                <w:p>
                  <w:pPr>
                    <w:pStyle w:val="22"/>
                    <w:bidi w:val="0"/>
                    <w:rPr>
                      <w:rFonts w:hint="default"/>
                    </w:rPr>
                  </w:pPr>
                  <w:r>
                    <w:rPr>
                      <w:rFonts w:hint="default"/>
                      <w:lang w:val="en-US" w:eastAsia="zh-CN"/>
                    </w:rPr>
                    <w:t>10</w:t>
                  </w:r>
                </w:p>
              </w:tc>
              <w:tc>
                <w:tcPr>
                  <w:tcW w:w="1250" w:type="pct"/>
                  <w:vAlign w:val="center"/>
                </w:tcPr>
                <w:p>
                  <w:pPr>
                    <w:pStyle w:val="22"/>
                    <w:bidi w:val="0"/>
                    <w:rPr>
                      <w:rFonts w:hint="default"/>
                    </w:rPr>
                  </w:pPr>
                  <w:r>
                    <w:rPr>
                      <w:rFonts w:hint="default"/>
                      <w:lang w:val="en-US" w:eastAsia="zh-CN"/>
                    </w:rPr>
                    <w:t>0.04</w:t>
                  </w:r>
                </w:p>
              </w:tc>
              <w:tc>
                <w:tcPr>
                  <w:tcW w:w="1250" w:type="pct"/>
                  <w:vAlign w:val="center"/>
                </w:tcPr>
                <w:p>
                  <w:pPr>
                    <w:pStyle w:val="22"/>
                    <w:bidi w:val="0"/>
                    <w:rPr>
                      <w:rFonts w:hint="default"/>
                    </w:rPr>
                  </w:pPr>
                  <w:r>
                    <w:rPr>
                      <w:rFonts w:hint="default"/>
                      <w:lang w:val="en-US" w:eastAsia="zh-CN"/>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pPr>
                    <w:pStyle w:val="22"/>
                    <w:bidi w:val="0"/>
                    <w:rPr>
                      <w:rFonts w:hint="default"/>
                    </w:rPr>
                  </w:pPr>
                  <w:r>
                    <w:rPr>
                      <w:rFonts w:hint="default"/>
                      <w:lang w:val="en-US" w:eastAsia="zh-CN"/>
                    </w:rPr>
                    <w:t>油品</w:t>
                  </w:r>
                </w:p>
              </w:tc>
              <w:tc>
                <w:tcPr>
                  <w:tcW w:w="1250" w:type="pct"/>
                  <w:vAlign w:val="center"/>
                </w:tcPr>
                <w:p>
                  <w:pPr>
                    <w:pStyle w:val="22"/>
                    <w:bidi w:val="0"/>
                    <w:rPr>
                      <w:rFonts w:hint="default"/>
                    </w:rPr>
                  </w:pPr>
                  <w:r>
                    <w:rPr>
                      <w:rFonts w:hint="default"/>
                      <w:lang w:val="en-US" w:eastAsia="zh-CN"/>
                    </w:rPr>
                    <w:t>2500</w:t>
                  </w:r>
                </w:p>
              </w:tc>
              <w:tc>
                <w:tcPr>
                  <w:tcW w:w="1250" w:type="pct"/>
                  <w:vAlign w:val="center"/>
                </w:tcPr>
                <w:p>
                  <w:pPr>
                    <w:pStyle w:val="22"/>
                    <w:bidi w:val="0"/>
                    <w:rPr>
                      <w:rFonts w:hint="default"/>
                    </w:rPr>
                  </w:pPr>
                  <w:r>
                    <w:rPr>
                      <w:rFonts w:hint="default"/>
                      <w:lang w:val="en-US" w:eastAsia="zh-CN"/>
                    </w:rPr>
                    <w:t>0.08</w:t>
                  </w:r>
                </w:p>
              </w:tc>
              <w:tc>
                <w:tcPr>
                  <w:tcW w:w="1250" w:type="pct"/>
                  <w:vAlign w:val="center"/>
                </w:tcPr>
                <w:p>
                  <w:pPr>
                    <w:pStyle w:val="22"/>
                    <w:bidi w:val="0"/>
                    <w:rPr>
                      <w:rFonts w:hint="default"/>
                    </w:rPr>
                  </w:pPr>
                  <w:r>
                    <w:rPr>
                      <w:rFonts w:hint="default"/>
                      <w:lang w:val="en-US" w:eastAsia="zh-CN"/>
                    </w:rPr>
                    <w:t>0.000032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9" w:type="pct"/>
                  <w:gridSpan w:val="3"/>
                  <w:vAlign w:val="center"/>
                </w:tcPr>
                <w:p>
                  <w:pPr>
                    <w:pStyle w:val="22"/>
                    <w:bidi w:val="0"/>
                    <w:rPr>
                      <w:rFonts w:hint="default"/>
                      <w:lang w:val="en-US" w:eastAsia="zh-CN"/>
                    </w:rPr>
                  </w:pPr>
                  <w:r>
                    <w:rPr>
                      <w:rFonts w:hint="default"/>
                      <w:lang w:val="en-US" w:eastAsia="zh-CN"/>
                    </w:rPr>
                    <w:t>合计</w:t>
                  </w:r>
                </w:p>
              </w:tc>
              <w:tc>
                <w:tcPr>
                  <w:tcW w:w="1250" w:type="pct"/>
                  <w:shd w:val="clear" w:color="auto" w:fill="auto"/>
                  <w:vAlign w:val="center"/>
                </w:tcPr>
                <w:p>
                  <w:pPr>
                    <w:pStyle w:val="22"/>
                    <w:bidi w:val="0"/>
                    <w:rPr>
                      <w:rFonts w:hint="default"/>
                      <w:lang w:val="en-US" w:eastAsia="zh-CN"/>
                    </w:rPr>
                  </w:pPr>
                  <w:r>
                    <w:rPr>
                      <w:rFonts w:hint="default"/>
                      <w:lang w:val="en-US" w:eastAsia="zh-CN"/>
                    </w:rPr>
                    <w:t>0.119365333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pPr>
                    <w:pStyle w:val="22"/>
                    <w:bidi w:val="0"/>
                    <w:jc w:val="both"/>
                    <w:rPr>
                      <w:rFonts w:hint="default"/>
                      <w:lang w:val="en-US" w:eastAsia="zh-CN"/>
                    </w:rPr>
                  </w:pPr>
                  <w:r>
                    <w:rPr>
                      <w:rFonts w:hint="eastAsia"/>
                      <w:lang w:val="en-US" w:eastAsia="zh-CN"/>
                    </w:rPr>
                    <w:t>注：本项目最大存在量取残留液一年最大产生量。</w:t>
                  </w:r>
                </w:p>
              </w:tc>
            </w:tr>
          </w:tbl>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计算可知本项目Q值约为</w:t>
            </w:r>
            <w:r>
              <w:rPr>
                <w:rFonts w:hint="eastAsia" w:ascii="Times New Roman" w:hAnsi="Times New Roman" w:cs="Times New Roman"/>
                <w:b w:val="0"/>
                <w:bCs/>
                <w:sz w:val="24"/>
                <w:szCs w:val="24"/>
                <w:lang w:val="en-US" w:eastAsia="zh-CN"/>
              </w:rPr>
              <w:t>0.119365333</w:t>
            </w:r>
            <w:r>
              <w:rPr>
                <w:rFonts w:hint="default" w:ascii="Times New Roman" w:hAnsi="Times New Roman" w:cs="Times New Roman"/>
                <w:b w:val="0"/>
                <w:bCs/>
                <w:sz w:val="24"/>
                <w:szCs w:val="24"/>
                <w:lang w:val="en-US" w:eastAsia="zh-CN"/>
              </w:rPr>
              <w:t>＜1，环境风险潜势为Ⅰ，可开展简单分析，不设置环境风险专项评价</w:t>
            </w:r>
            <w:r>
              <w:rPr>
                <w:rFonts w:hint="eastAsia" w:ascii="Times New Roman" w:hAnsi="Times New Roman" w:cs="Times New Roman"/>
                <w:b w:val="0"/>
                <w:bCs/>
                <w:sz w:val="24"/>
                <w:szCs w:val="24"/>
                <w:lang w:val="en-US" w:eastAsia="zh-CN"/>
              </w:rPr>
              <w:t>。</w:t>
            </w:r>
          </w:p>
          <w:p>
            <w:pPr>
              <w:pStyle w:val="29"/>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b/>
                <w:bCs w:val="0"/>
                <w:sz w:val="24"/>
                <w:szCs w:val="24"/>
                <w:lang w:val="en-US" w:eastAsia="zh-CN"/>
              </w:rPr>
            </w:pPr>
            <w:r>
              <w:rPr>
                <w:rFonts w:hint="default" w:ascii="Times New Roman" w:hAnsi="Times New Roman" w:cs="Times New Roman"/>
                <w:b/>
                <w:bCs w:val="0"/>
                <w:sz w:val="24"/>
                <w:szCs w:val="24"/>
                <w:lang w:val="en-US" w:eastAsia="zh-CN"/>
              </w:rPr>
              <w:t>4.</w:t>
            </w:r>
            <w:r>
              <w:rPr>
                <w:rFonts w:hint="eastAsia" w:ascii="Times New Roman" w:hAnsi="Times New Roman" w:cs="Times New Roman"/>
                <w:b/>
                <w:bCs w:val="0"/>
                <w:sz w:val="24"/>
                <w:szCs w:val="24"/>
                <w:lang w:val="en-US" w:eastAsia="zh-CN"/>
              </w:rPr>
              <w:t>7</w:t>
            </w:r>
            <w:r>
              <w:rPr>
                <w:rFonts w:hint="default" w:ascii="Times New Roman" w:hAnsi="Times New Roman" w:cs="Times New Roman"/>
                <w:b/>
                <w:bCs w:val="0"/>
                <w:sz w:val="24"/>
                <w:szCs w:val="24"/>
                <w:lang w:val="en-US" w:eastAsia="zh-CN"/>
              </w:rPr>
              <w:t>.1环境风险识别</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(1)火灾爆炸危险:</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本项目清洗的危险化学品车罐体，罐体中存在少量的油气</w:t>
            </w:r>
            <w:r>
              <w:rPr>
                <w:rFonts w:hint="eastAsia" w:ascii="Times New Roman" w:hAnsi="Times New Roman" w:cs="Times New Roman"/>
                <w:b w:val="0"/>
                <w:bCs/>
                <w:sz w:val="24"/>
                <w:szCs w:val="24"/>
                <w:lang w:val="en-US" w:eastAsia="zh-CN"/>
              </w:rPr>
              <w:t>及有机废气等</w:t>
            </w:r>
            <w:r>
              <w:rPr>
                <w:rFonts w:hint="default" w:ascii="Times New Roman" w:hAnsi="Times New Roman" w:cs="Times New Roman"/>
                <w:b w:val="0"/>
                <w:bCs/>
                <w:sz w:val="24"/>
                <w:szCs w:val="24"/>
                <w:lang w:val="en-US" w:eastAsia="zh-CN"/>
              </w:rPr>
              <w:t>，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(2)污水处理站设备故障</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污水处理设备故障，污水超标排放。</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(3)废气处理系统故障</w:t>
            </w:r>
            <w:r>
              <w:rPr>
                <w:rFonts w:hint="eastAsia" w:ascii="Times New Roman" w:hAnsi="Times New Roman" w:cs="Times New Roman"/>
                <w:b w:val="0"/>
                <w:bCs/>
                <w:sz w:val="24"/>
                <w:szCs w:val="24"/>
                <w:lang w:val="en-US" w:eastAsia="zh-CN"/>
              </w:rPr>
              <w:t>：</w:t>
            </w:r>
            <w:r>
              <w:rPr>
                <w:rFonts w:hint="default" w:ascii="Times New Roman" w:hAnsi="Times New Roman" w:cs="Times New Roman"/>
                <w:b w:val="0"/>
                <w:bCs/>
                <w:sz w:val="24"/>
                <w:szCs w:val="24"/>
                <w:lang w:val="en-US" w:eastAsia="zh-CN"/>
              </w:rPr>
              <w:t>废气系统故障，废气超标排放。</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(4)危险废物泄漏</w:t>
            </w:r>
            <w:r>
              <w:rPr>
                <w:rFonts w:hint="eastAsia" w:ascii="Times New Roman" w:hAnsi="Times New Roman" w:cs="Times New Roman"/>
                <w:b w:val="0"/>
                <w:bCs/>
                <w:sz w:val="24"/>
                <w:szCs w:val="24"/>
                <w:lang w:val="en-US" w:eastAsia="zh-CN"/>
              </w:rPr>
              <w:t>：项目</w:t>
            </w:r>
            <w:r>
              <w:rPr>
                <w:rFonts w:hint="default" w:ascii="Times New Roman" w:hAnsi="Times New Roman" w:cs="Times New Roman"/>
                <w:b w:val="0"/>
                <w:bCs/>
                <w:sz w:val="24"/>
                <w:szCs w:val="24"/>
                <w:lang w:val="en-US" w:eastAsia="zh-CN"/>
              </w:rPr>
              <w:t>危险废物</w:t>
            </w:r>
            <w:r>
              <w:rPr>
                <w:rFonts w:hint="eastAsia" w:ascii="Times New Roman" w:hAnsi="Times New Roman" w:cs="Times New Roman"/>
                <w:b w:val="0"/>
                <w:bCs/>
                <w:sz w:val="24"/>
                <w:szCs w:val="24"/>
                <w:lang w:val="en-US" w:eastAsia="zh-CN"/>
              </w:rPr>
              <w:t>储存设施</w:t>
            </w:r>
            <w:r>
              <w:rPr>
                <w:rFonts w:hint="default" w:ascii="Times New Roman" w:hAnsi="Times New Roman" w:cs="Times New Roman"/>
                <w:b w:val="0"/>
                <w:bCs/>
                <w:sz w:val="24"/>
                <w:szCs w:val="24"/>
                <w:lang w:val="en-US" w:eastAsia="zh-CN"/>
              </w:rPr>
              <w:t>破损,发生</w:t>
            </w:r>
            <w:r>
              <w:rPr>
                <w:rFonts w:hint="eastAsia" w:ascii="Times New Roman" w:hAnsi="Times New Roman" w:cs="Times New Roman"/>
                <w:b w:val="0"/>
                <w:bCs/>
                <w:sz w:val="24"/>
                <w:szCs w:val="24"/>
                <w:lang w:val="en-US" w:eastAsia="zh-CN"/>
              </w:rPr>
              <w:t>危险物质经</w:t>
            </w:r>
            <w:r>
              <w:rPr>
                <w:rFonts w:hint="default" w:ascii="Times New Roman" w:hAnsi="Times New Roman" w:cs="Times New Roman"/>
                <w:b w:val="0"/>
                <w:bCs/>
                <w:sz w:val="24"/>
                <w:szCs w:val="24"/>
                <w:lang w:val="en-US" w:eastAsia="zh-CN"/>
              </w:rPr>
              <w:t>地面漫流</w:t>
            </w:r>
            <w:r>
              <w:rPr>
                <w:rFonts w:hint="eastAsia" w:ascii="Times New Roman" w:hAnsi="Times New Roman" w:cs="Times New Roman"/>
                <w:b w:val="0"/>
                <w:bCs/>
                <w:sz w:val="24"/>
                <w:szCs w:val="24"/>
                <w:lang w:val="en-US" w:eastAsia="zh-CN"/>
              </w:rPr>
              <w:t>，污染水体及土壤。</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项目环境风险识别汇总结果见下表。</w:t>
            </w:r>
          </w:p>
          <w:p>
            <w:pPr>
              <w:pStyle w:val="26"/>
              <w:bidi w:val="0"/>
              <w:rPr>
                <w:rFonts w:hint="default" w:ascii="Times New Roman" w:hAnsi="Times New Roman" w:cs="Times New Roman"/>
                <w:lang w:val="en-US" w:eastAsia="zh-CN"/>
              </w:rPr>
            </w:pPr>
            <w:r>
              <w:rPr>
                <w:rFonts w:hint="default"/>
                <w:lang w:val="en-US" w:eastAsia="zh-CN"/>
              </w:rPr>
              <w:t>表 4.</w:t>
            </w:r>
            <w:r>
              <w:rPr>
                <w:rFonts w:hint="eastAsia"/>
                <w:lang w:val="en-US" w:eastAsia="zh-CN"/>
              </w:rPr>
              <w:t>7</w:t>
            </w:r>
            <w:r>
              <w:rPr>
                <w:rFonts w:hint="default"/>
                <w:lang w:val="en-US" w:eastAsia="zh-CN"/>
              </w:rPr>
              <w:t>-2 项目环境风险识别情况表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365"/>
              <w:gridCol w:w="2009"/>
              <w:gridCol w:w="1560"/>
              <w:gridCol w:w="1044"/>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7" w:type="pct"/>
                  <w:noWrap w:val="0"/>
                  <w:vAlign w:val="center"/>
                </w:tcPr>
                <w:p>
                  <w:pPr>
                    <w:pStyle w:val="22"/>
                    <w:bidi w:val="0"/>
                    <w:rPr>
                      <w:rFonts w:hint="default"/>
                      <w:lang w:val="en-US" w:eastAsia="zh-CN"/>
                    </w:rPr>
                  </w:pPr>
                  <w:r>
                    <w:rPr>
                      <w:rFonts w:hint="default"/>
                      <w:lang w:val="en-US" w:eastAsia="zh-CN"/>
                    </w:rPr>
                    <w:t>危险单元</w:t>
                  </w:r>
                </w:p>
              </w:tc>
              <w:tc>
                <w:tcPr>
                  <w:tcW w:w="765" w:type="pct"/>
                  <w:noWrap w:val="0"/>
                  <w:vAlign w:val="center"/>
                </w:tcPr>
                <w:p>
                  <w:pPr>
                    <w:pStyle w:val="22"/>
                    <w:bidi w:val="0"/>
                    <w:rPr>
                      <w:rFonts w:hint="default"/>
                      <w:lang w:val="en-US" w:eastAsia="zh-CN"/>
                    </w:rPr>
                  </w:pPr>
                  <w:r>
                    <w:rPr>
                      <w:rFonts w:hint="default"/>
                      <w:lang w:val="en-US" w:eastAsia="zh-CN"/>
                    </w:rPr>
                    <w:t>事故类型</w:t>
                  </w:r>
                </w:p>
              </w:tc>
              <w:tc>
                <w:tcPr>
                  <w:tcW w:w="1126" w:type="pct"/>
                  <w:noWrap w:val="0"/>
                  <w:vAlign w:val="center"/>
                </w:tcPr>
                <w:p>
                  <w:pPr>
                    <w:pStyle w:val="22"/>
                    <w:bidi w:val="0"/>
                    <w:rPr>
                      <w:rFonts w:hint="default"/>
                      <w:lang w:val="en-US" w:eastAsia="zh-CN"/>
                    </w:rPr>
                  </w:pPr>
                  <w:r>
                    <w:rPr>
                      <w:rFonts w:hint="default"/>
                      <w:lang w:val="en-US" w:eastAsia="zh-CN"/>
                    </w:rPr>
                    <w:t>环境风险描述</w:t>
                  </w:r>
                </w:p>
              </w:tc>
              <w:tc>
                <w:tcPr>
                  <w:tcW w:w="874" w:type="pct"/>
                  <w:noWrap w:val="0"/>
                  <w:vAlign w:val="center"/>
                </w:tcPr>
                <w:p>
                  <w:pPr>
                    <w:pStyle w:val="22"/>
                    <w:bidi w:val="0"/>
                    <w:rPr>
                      <w:rFonts w:hint="default"/>
                      <w:lang w:val="en-US" w:eastAsia="zh-CN"/>
                    </w:rPr>
                  </w:pPr>
                  <w:r>
                    <w:rPr>
                      <w:rFonts w:hint="default"/>
                      <w:lang w:val="en-US" w:eastAsia="zh-CN"/>
                    </w:rPr>
                    <w:t>涉及化学品（污染物）</w:t>
                  </w:r>
                </w:p>
              </w:tc>
              <w:tc>
                <w:tcPr>
                  <w:tcW w:w="585" w:type="pct"/>
                  <w:noWrap w:val="0"/>
                  <w:vAlign w:val="center"/>
                </w:tcPr>
                <w:p>
                  <w:pPr>
                    <w:pStyle w:val="22"/>
                    <w:bidi w:val="0"/>
                    <w:rPr>
                      <w:rFonts w:hint="default"/>
                      <w:lang w:val="en-US" w:eastAsia="zh-CN"/>
                    </w:rPr>
                  </w:pPr>
                  <w:r>
                    <w:rPr>
                      <w:rFonts w:hint="default"/>
                      <w:lang w:val="en-US" w:eastAsia="zh-CN"/>
                    </w:rPr>
                    <w:t>风险类别</w:t>
                  </w:r>
                </w:p>
              </w:tc>
              <w:tc>
                <w:tcPr>
                  <w:tcW w:w="1150" w:type="pct"/>
                  <w:noWrap w:val="0"/>
                  <w:vAlign w:val="center"/>
                </w:tcPr>
                <w:p>
                  <w:pPr>
                    <w:pStyle w:val="22"/>
                    <w:bidi w:val="0"/>
                    <w:rPr>
                      <w:rFonts w:hint="default"/>
                      <w:lang w:val="en-US" w:eastAsia="zh-CN"/>
                    </w:rPr>
                  </w:pPr>
                  <w:r>
                    <w:rPr>
                      <w:rFonts w:hint="default"/>
                      <w:lang w:val="en-US" w:eastAsia="zh-CN"/>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pPr>
                    <w:pStyle w:val="22"/>
                    <w:bidi w:val="0"/>
                    <w:rPr>
                      <w:rFonts w:hint="default"/>
                      <w:lang w:val="en-US" w:eastAsia="zh-CN"/>
                    </w:rPr>
                  </w:pPr>
                  <w:r>
                    <w:rPr>
                      <w:rFonts w:hint="default"/>
                      <w:lang w:val="en-US" w:eastAsia="zh-CN"/>
                    </w:rPr>
                    <w:t>清洗区</w:t>
                  </w:r>
                </w:p>
              </w:tc>
              <w:tc>
                <w:tcPr>
                  <w:tcW w:w="765" w:type="pct"/>
                  <w:noWrap w:val="0"/>
                  <w:vAlign w:val="center"/>
                </w:tcPr>
                <w:p>
                  <w:pPr>
                    <w:pStyle w:val="22"/>
                    <w:bidi w:val="0"/>
                    <w:rPr>
                      <w:rFonts w:hint="default"/>
                      <w:lang w:val="en-US" w:eastAsia="zh-CN"/>
                    </w:rPr>
                  </w:pPr>
                  <w:r>
                    <w:rPr>
                      <w:rFonts w:hint="default"/>
                      <w:lang w:val="en-US" w:eastAsia="zh-CN"/>
                    </w:rPr>
                    <w:t>火灾、爆炸伴生污染</w:t>
                  </w:r>
                </w:p>
              </w:tc>
              <w:tc>
                <w:tcPr>
                  <w:tcW w:w="1126" w:type="pct"/>
                  <w:noWrap w:val="0"/>
                  <w:vAlign w:val="center"/>
                </w:tcPr>
                <w:p>
                  <w:pPr>
                    <w:pStyle w:val="22"/>
                    <w:bidi w:val="0"/>
                    <w:rPr>
                      <w:rFonts w:hint="default"/>
                      <w:lang w:val="en-US" w:eastAsia="zh-CN"/>
                    </w:rPr>
                  </w:pPr>
                  <w:r>
                    <w:rPr>
                      <w:rFonts w:hint="default"/>
                      <w:lang w:val="en-US" w:eastAsia="zh-CN"/>
                    </w:rPr>
                    <w:t>燃烧烟尘及污染物污染周围大气环境</w:t>
                  </w:r>
                </w:p>
              </w:tc>
              <w:tc>
                <w:tcPr>
                  <w:tcW w:w="874" w:type="pct"/>
                  <w:noWrap w:val="0"/>
                  <w:vAlign w:val="center"/>
                </w:tcPr>
                <w:p>
                  <w:pPr>
                    <w:pStyle w:val="22"/>
                    <w:bidi w:val="0"/>
                    <w:rPr>
                      <w:rFonts w:hint="default"/>
                      <w:lang w:val="en-US" w:eastAsia="zh-CN"/>
                    </w:rPr>
                  </w:pPr>
                  <w:r>
                    <w:rPr>
                      <w:rFonts w:hint="default"/>
                      <w:lang w:val="en-US" w:eastAsia="zh-CN"/>
                    </w:rPr>
                    <w:t>CO</w:t>
                  </w:r>
                </w:p>
              </w:tc>
              <w:tc>
                <w:tcPr>
                  <w:tcW w:w="585" w:type="pct"/>
                  <w:noWrap w:val="0"/>
                  <w:vAlign w:val="center"/>
                </w:tcPr>
                <w:p>
                  <w:pPr>
                    <w:pStyle w:val="22"/>
                    <w:bidi w:val="0"/>
                    <w:rPr>
                      <w:rFonts w:hint="default"/>
                      <w:lang w:val="en-US" w:eastAsia="zh-CN"/>
                    </w:rPr>
                  </w:pPr>
                  <w:r>
                    <w:rPr>
                      <w:rFonts w:hint="default"/>
                      <w:lang w:val="en-US" w:eastAsia="zh-CN"/>
                    </w:rPr>
                    <w:t>大气环境</w:t>
                  </w:r>
                </w:p>
              </w:tc>
              <w:tc>
                <w:tcPr>
                  <w:tcW w:w="1150" w:type="pct"/>
                  <w:noWrap w:val="0"/>
                  <w:vAlign w:val="center"/>
                </w:tcPr>
                <w:p>
                  <w:pPr>
                    <w:pStyle w:val="22"/>
                    <w:bidi w:val="0"/>
                    <w:rPr>
                      <w:rFonts w:hint="default"/>
                      <w:lang w:val="en-US" w:eastAsia="zh-CN"/>
                    </w:rPr>
                  </w:pPr>
                  <w:r>
                    <w:rPr>
                      <w:rFonts w:hint="default"/>
                      <w:lang w:val="en-US" w:eastAsia="zh-CN"/>
                    </w:rPr>
                    <w:t>通过燃烧烟气扩散，对周围大气环境造成短时污染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pPr>
                    <w:pStyle w:val="22"/>
                    <w:bidi w:val="0"/>
                    <w:rPr>
                      <w:rFonts w:hint="default"/>
                      <w:lang w:val="en-US" w:eastAsia="zh-CN"/>
                    </w:rPr>
                  </w:pPr>
                  <w:r>
                    <w:rPr>
                      <w:rFonts w:hint="default"/>
                      <w:lang w:val="en-US" w:eastAsia="zh-CN"/>
                    </w:rPr>
                    <w:t>废水处理系统</w:t>
                  </w:r>
                </w:p>
              </w:tc>
              <w:tc>
                <w:tcPr>
                  <w:tcW w:w="765" w:type="pct"/>
                  <w:noWrap w:val="0"/>
                  <w:vAlign w:val="center"/>
                </w:tcPr>
                <w:p>
                  <w:pPr>
                    <w:pStyle w:val="22"/>
                    <w:bidi w:val="0"/>
                    <w:rPr>
                      <w:rFonts w:hint="default"/>
                      <w:lang w:val="en-US" w:eastAsia="zh-CN"/>
                    </w:rPr>
                  </w:pPr>
                  <w:r>
                    <w:rPr>
                      <w:rFonts w:hint="default"/>
                      <w:lang w:val="en-US" w:eastAsia="zh-CN"/>
                    </w:rPr>
                    <w:t>污水处理设备故障</w:t>
                  </w:r>
                </w:p>
              </w:tc>
              <w:tc>
                <w:tcPr>
                  <w:tcW w:w="1126" w:type="pct"/>
                  <w:noWrap w:val="0"/>
                  <w:vAlign w:val="center"/>
                </w:tcPr>
                <w:p>
                  <w:pPr>
                    <w:pStyle w:val="22"/>
                    <w:bidi w:val="0"/>
                    <w:rPr>
                      <w:rFonts w:hint="default"/>
                      <w:lang w:val="en-US" w:eastAsia="zh-CN"/>
                    </w:rPr>
                  </w:pPr>
                  <w:r>
                    <w:rPr>
                      <w:rFonts w:hint="default"/>
                      <w:lang w:val="en-US" w:eastAsia="zh-CN"/>
                    </w:rPr>
                    <w:t>废水超标排放</w:t>
                  </w:r>
                </w:p>
              </w:tc>
              <w:tc>
                <w:tcPr>
                  <w:tcW w:w="874" w:type="pct"/>
                  <w:noWrap w:val="0"/>
                  <w:vAlign w:val="center"/>
                </w:tcPr>
                <w:p>
                  <w:pPr>
                    <w:pStyle w:val="22"/>
                    <w:bidi w:val="0"/>
                    <w:rPr>
                      <w:rFonts w:hint="default"/>
                      <w:lang w:val="en-US" w:eastAsia="zh-CN"/>
                    </w:rPr>
                  </w:pPr>
                  <w:r>
                    <w:rPr>
                      <w:rFonts w:hint="default"/>
                      <w:lang w:val="en-US" w:eastAsia="zh-CN"/>
                    </w:rPr>
                    <w:t>废水CODcr、</w:t>
                  </w:r>
                </w:p>
                <w:p>
                  <w:pPr>
                    <w:pStyle w:val="22"/>
                    <w:bidi w:val="0"/>
                    <w:rPr>
                      <w:rFonts w:hint="default"/>
                      <w:lang w:val="en-US" w:eastAsia="zh-CN"/>
                    </w:rPr>
                  </w:pPr>
                  <w:r>
                    <w:rPr>
                      <w:rFonts w:hint="default"/>
                      <w:lang w:val="en-US" w:eastAsia="zh-CN"/>
                    </w:rPr>
                    <w:t>BOD</w:t>
                  </w:r>
                  <w:r>
                    <w:rPr>
                      <w:rFonts w:hint="default"/>
                      <w:vertAlign w:val="subscript"/>
                      <w:lang w:val="en-US" w:eastAsia="zh-CN"/>
                    </w:rPr>
                    <w:t>5</w:t>
                  </w:r>
                  <w:r>
                    <w:rPr>
                      <w:rFonts w:hint="default"/>
                      <w:lang w:val="en-US" w:eastAsia="zh-CN"/>
                    </w:rPr>
                    <w:t>、NH</w:t>
                  </w:r>
                  <w:r>
                    <w:rPr>
                      <w:rFonts w:hint="default"/>
                      <w:vertAlign w:val="subscript"/>
                      <w:lang w:val="en-US" w:eastAsia="zh-CN"/>
                    </w:rPr>
                    <w:t>3</w:t>
                  </w:r>
                  <w:r>
                    <w:rPr>
                      <w:rFonts w:hint="default"/>
                      <w:lang w:val="en-US" w:eastAsia="zh-CN"/>
                    </w:rPr>
                    <w:t>-</w:t>
                  </w:r>
                </w:p>
                <w:p>
                  <w:pPr>
                    <w:pStyle w:val="22"/>
                    <w:bidi w:val="0"/>
                    <w:rPr>
                      <w:rFonts w:hint="default"/>
                      <w:lang w:val="en-US" w:eastAsia="zh-CN"/>
                    </w:rPr>
                  </w:pPr>
                  <w:r>
                    <w:rPr>
                      <w:rFonts w:hint="default"/>
                      <w:lang w:val="en-US" w:eastAsia="zh-CN"/>
                    </w:rPr>
                    <w:t>N、总氮、石</w:t>
                  </w:r>
                </w:p>
                <w:p>
                  <w:pPr>
                    <w:pStyle w:val="22"/>
                    <w:bidi w:val="0"/>
                    <w:rPr>
                      <w:rFonts w:hint="default"/>
                      <w:lang w:val="en-US" w:eastAsia="zh-CN"/>
                    </w:rPr>
                  </w:pPr>
                  <w:r>
                    <w:rPr>
                      <w:rFonts w:hint="default"/>
                      <w:lang w:val="en-US" w:eastAsia="zh-CN"/>
                    </w:rPr>
                    <w:t>油类、LAS等</w:t>
                  </w:r>
                </w:p>
              </w:tc>
              <w:tc>
                <w:tcPr>
                  <w:tcW w:w="585" w:type="pct"/>
                  <w:noWrap w:val="0"/>
                  <w:vAlign w:val="center"/>
                </w:tcPr>
                <w:p>
                  <w:pPr>
                    <w:pStyle w:val="22"/>
                    <w:bidi w:val="0"/>
                    <w:rPr>
                      <w:rFonts w:hint="default"/>
                      <w:lang w:val="en-US" w:eastAsia="zh-CN"/>
                    </w:rPr>
                  </w:pPr>
                  <w:r>
                    <w:rPr>
                      <w:rFonts w:hint="default"/>
                      <w:lang w:val="en-US" w:eastAsia="zh-CN"/>
                    </w:rPr>
                    <w:t>地下水环境、土壤</w:t>
                  </w:r>
                </w:p>
              </w:tc>
              <w:tc>
                <w:tcPr>
                  <w:tcW w:w="1150" w:type="pct"/>
                  <w:noWrap w:val="0"/>
                  <w:vAlign w:val="center"/>
                </w:tcPr>
                <w:p>
                  <w:pPr>
                    <w:pStyle w:val="22"/>
                    <w:bidi w:val="0"/>
                    <w:rPr>
                      <w:rFonts w:hint="default"/>
                      <w:lang w:val="en-US" w:eastAsia="zh-CN"/>
                    </w:rPr>
                  </w:pPr>
                  <w:r>
                    <w:rPr>
                      <w:rFonts w:hint="default"/>
                      <w:lang w:val="en-US" w:eastAsia="zh-CN"/>
                    </w:rPr>
                    <w:t>污染地下水环境、土壤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pPr>
                    <w:pStyle w:val="22"/>
                    <w:bidi w:val="0"/>
                    <w:rPr>
                      <w:rFonts w:hint="default"/>
                      <w:lang w:val="en-US" w:eastAsia="zh-CN"/>
                    </w:rPr>
                  </w:pPr>
                  <w:r>
                    <w:rPr>
                      <w:rFonts w:hint="default"/>
                      <w:lang w:val="en-US" w:eastAsia="zh-CN"/>
                    </w:rPr>
                    <w:t>废气处理系统</w:t>
                  </w:r>
                </w:p>
              </w:tc>
              <w:tc>
                <w:tcPr>
                  <w:tcW w:w="765" w:type="pct"/>
                  <w:noWrap w:val="0"/>
                  <w:vAlign w:val="center"/>
                </w:tcPr>
                <w:p>
                  <w:pPr>
                    <w:pStyle w:val="22"/>
                    <w:bidi w:val="0"/>
                    <w:rPr>
                      <w:rFonts w:hint="default"/>
                      <w:lang w:val="en-US" w:eastAsia="zh-CN"/>
                    </w:rPr>
                  </w:pPr>
                  <w:r>
                    <w:rPr>
                      <w:rFonts w:hint="default"/>
                      <w:lang w:val="en-US" w:eastAsia="zh-CN"/>
                    </w:rPr>
                    <w:t>废气治理设施事故排放</w:t>
                  </w:r>
                </w:p>
              </w:tc>
              <w:tc>
                <w:tcPr>
                  <w:tcW w:w="1126" w:type="pct"/>
                  <w:noWrap w:val="0"/>
                  <w:vAlign w:val="center"/>
                </w:tcPr>
                <w:p>
                  <w:pPr>
                    <w:pStyle w:val="22"/>
                    <w:bidi w:val="0"/>
                    <w:rPr>
                      <w:rFonts w:hint="default"/>
                      <w:lang w:val="en-US" w:eastAsia="zh-CN"/>
                    </w:rPr>
                  </w:pPr>
                  <w:r>
                    <w:rPr>
                      <w:rFonts w:hint="default"/>
                      <w:lang w:val="en-US" w:eastAsia="zh-CN"/>
                    </w:rPr>
                    <w:t>未经处理达标的飞起直接排入大气中</w:t>
                  </w:r>
                </w:p>
              </w:tc>
              <w:tc>
                <w:tcPr>
                  <w:tcW w:w="874" w:type="pct"/>
                  <w:noWrap w:val="0"/>
                  <w:vAlign w:val="center"/>
                </w:tcPr>
                <w:p>
                  <w:pPr>
                    <w:pStyle w:val="22"/>
                    <w:bidi w:val="0"/>
                    <w:rPr>
                      <w:rFonts w:hint="default"/>
                      <w:lang w:val="en-US" w:eastAsia="zh-CN"/>
                    </w:rPr>
                  </w:pPr>
                  <w:r>
                    <w:rPr>
                      <w:rFonts w:hint="eastAsia"/>
                      <w:lang w:val="en-US" w:eastAsia="zh-CN"/>
                    </w:rPr>
                    <w:t>非甲烷总烃、酸雾、氨、二硫化碳、氢氟酸</w:t>
                  </w:r>
                </w:p>
              </w:tc>
              <w:tc>
                <w:tcPr>
                  <w:tcW w:w="585" w:type="pct"/>
                  <w:noWrap w:val="0"/>
                  <w:vAlign w:val="center"/>
                </w:tcPr>
                <w:p>
                  <w:pPr>
                    <w:pStyle w:val="22"/>
                    <w:bidi w:val="0"/>
                    <w:rPr>
                      <w:rFonts w:hint="default"/>
                      <w:lang w:val="en-US" w:eastAsia="zh-CN"/>
                    </w:rPr>
                  </w:pPr>
                  <w:r>
                    <w:rPr>
                      <w:rFonts w:hint="default"/>
                      <w:lang w:val="en-US" w:eastAsia="zh-CN"/>
                    </w:rPr>
                    <w:t>大气环境</w:t>
                  </w:r>
                </w:p>
              </w:tc>
              <w:tc>
                <w:tcPr>
                  <w:tcW w:w="1150" w:type="pct"/>
                  <w:noWrap w:val="0"/>
                  <w:vAlign w:val="center"/>
                </w:tcPr>
                <w:p>
                  <w:pPr>
                    <w:pStyle w:val="22"/>
                    <w:bidi w:val="0"/>
                    <w:rPr>
                      <w:rFonts w:hint="default"/>
                      <w:lang w:val="en-US" w:eastAsia="zh-CN"/>
                    </w:rPr>
                  </w:pPr>
                  <w:r>
                    <w:rPr>
                      <w:rFonts w:hint="default"/>
                      <w:lang w:val="en-US" w:eastAsia="zh-CN"/>
                    </w:rPr>
                    <w:t>对周围大气环境造成短时污染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pPr>
                    <w:pStyle w:val="22"/>
                    <w:bidi w:val="0"/>
                    <w:rPr>
                      <w:rFonts w:hint="default"/>
                      <w:lang w:val="en-US" w:eastAsia="zh-CN"/>
                    </w:rPr>
                  </w:pPr>
                  <w:r>
                    <w:rPr>
                      <w:rFonts w:hint="default"/>
                      <w:lang w:val="en-US" w:eastAsia="zh-CN"/>
                    </w:rPr>
                    <w:t>危废暂存间</w:t>
                  </w:r>
                </w:p>
              </w:tc>
              <w:tc>
                <w:tcPr>
                  <w:tcW w:w="765" w:type="pct"/>
                  <w:noWrap w:val="0"/>
                  <w:vAlign w:val="center"/>
                </w:tcPr>
                <w:p>
                  <w:pPr>
                    <w:pStyle w:val="22"/>
                    <w:bidi w:val="0"/>
                    <w:rPr>
                      <w:rFonts w:hint="default"/>
                      <w:lang w:val="en-US" w:eastAsia="zh-CN"/>
                    </w:rPr>
                  </w:pPr>
                  <w:r>
                    <w:rPr>
                      <w:rFonts w:hint="default"/>
                      <w:lang w:val="en-US" w:eastAsia="zh-CN"/>
                    </w:rPr>
                    <w:t>危险废物泄露</w:t>
                  </w:r>
                </w:p>
              </w:tc>
              <w:tc>
                <w:tcPr>
                  <w:tcW w:w="1126" w:type="pct"/>
                  <w:noWrap w:val="0"/>
                  <w:vAlign w:val="center"/>
                </w:tcPr>
                <w:p>
                  <w:pPr>
                    <w:pStyle w:val="22"/>
                    <w:bidi w:val="0"/>
                    <w:rPr>
                      <w:rFonts w:hint="default"/>
                      <w:lang w:val="en-US" w:eastAsia="zh-CN"/>
                    </w:rPr>
                  </w:pPr>
                  <w:r>
                    <w:rPr>
                      <w:rFonts w:hint="default"/>
                      <w:lang w:val="en-US" w:eastAsia="zh-CN"/>
                    </w:rPr>
                    <w:t>泄露危险废物污染地表水及地下水、土壤</w:t>
                  </w:r>
                </w:p>
              </w:tc>
              <w:tc>
                <w:tcPr>
                  <w:tcW w:w="874" w:type="pct"/>
                  <w:noWrap w:val="0"/>
                  <w:vAlign w:val="center"/>
                </w:tcPr>
                <w:p>
                  <w:pPr>
                    <w:pStyle w:val="22"/>
                    <w:bidi w:val="0"/>
                    <w:rPr>
                      <w:rFonts w:hint="default"/>
                      <w:lang w:val="en-US" w:eastAsia="zh-CN"/>
                    </w:rPr>
                  </w:pPr>
                  <w:r>
                    <w:rPr>
                      <w:rFonts w:hint="default"/>
                      <w:lang w:val="en-US" w:eastAsia="zh-CN"/>
                    </w:rPr>
                    <w:t>废矿物油、废碱液、</w:t>
                  </w:r>
                  <w:r>
                    <w:rPr>
                      <w:rFonts w:hint="eastAsia"/>
                      <w:lang w:val="en-US" w:eastAsia="zh-CN"/>
                    </w:rPr>
                    <w:t>废酸</w:t>
                  </w:r>
                </w:p>
              </w:tc>
              <w:tc>
                <w:tcPr>
                  <w:tcW w:w="585" w:type="pct"/>
                  <w:noWrap w:val="0"/>
                  <w:vAlign w:val="center"/>
                </w:tcPr>
                <w:p>
                  <w:pPr>
                    <w:pStyle w:val="22"/>
                    <w:bidi w:val="0"/>
                    <w:rPr>
                      <w:rFonts w:hint="default"/>
                      <w:lang w:val="en-US" w:eastAsia="zh-CN"/>
                    </w:rPr>
                  </w:pPr>
                  <w:r>
                    <w:rPr>
                      <w:rFonts w:hint="default"/>
                      <w:lang w:val="en-US" w:eastAsia="zh-CN"/>
                    </w:rPr>
                    <w:t>地表水环境、地下水环境、土壤</w:t>
                  </w:r>
                </w:p>
              </w:tc>
              <w:tc>
                <w:tcPr>
                  <w:tcW w:w="1150" w:type="pct"/>
                  <w:noWrap w:val="0"/>
                  <w:vAlign w:val="center"/>
                </w:tcPr>
                <w:p>
                  <w:pPr>
                    <w:pStyle w:val="22"/>
                    <w:bidi w:val="0"/>
                    <w:rPr>
                      <w:rFonts w:hint="default"/>
                      <w:lang w:val="en-US" w:eastAsia="zh-CN"/>
                    </w:rPr>
                  </w:pPr>
                  <w:r>
                    <w:rPr>
                      <w:rFonts w:hint="default"/>
                      <w:lang w:val="en-US" w:eastAsia="zh-CN"/>
                    </w:rPr>
                    <w:t>通过雨水管排放到附近水体，影响内河涌水质，影响水生环境;污染地下水环境、土壤</w:t>
                  </w:r>
                </w:p>
              </w:tc>
            </w:tr>
          </w:tbl>
          <w:p>
            <w:pPr>
              <w:pStyle w:val="29"/>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b/>
                <w:bCs w:val="0"/>
                <w:sz w:val="24"/>
                <w:szCs w:val="24"/>
                <w:lang w:val="en-US" w:eastAsia="zh-CN"/>
              </w:rPr>
            </w:pPr>
            <w:r>
              <w:rPr>
                <w:rFonts w:hint="default" w:ascii="Times New Roman" w:hAnsi="Times New Roman" w:cs="Times New Roman"/>
                <w:b/>
                <w:bCs w:val="0"/>
                <w:sz w:val="24"/>
                <w:szCs w:val="24"/>
                <w:lang w:val="en-US" w:eastAsia="zh-CN"/>
              </w:rPr>
              <w:t>4.</w:t>
            </w:r>
            <w:r>
              <w:rPr>
                <w:rFonts w:hint="eastAsia" w:ascii="Times New Roman" w:hAnsi="Times New Roman" w:cs="Times New Roman"/>
                <w:b/>
                <w:bCs w:val="0"/>
                <w:sz w:val="24"/>
                <w:szCs w:val="24"/>
                <w:lang w:val="en-US" w:eastAsia="zh-CN"/>
              </w:rPr>
              <w:t>7</w:t>
            </w:r>
            <w:r>
              <w:rPr>
                <w:rFonts w:hint="default" w:ascii="Times New Roman" w:hAnsi="Times New Roman" w:cs="Times New Roman"/>
                <w:b/>
                <w:bCs w:val="0"/>
                <w:sz w:val="24"/>
                <w:szCs w:val="24"/>
                <w:lang w:val="en-US" w:eastAsia="zh-CN"/>
              </w:rPr>
              <w:t>.</w:t>
            </w:r>
            <w:r>
              <w:rPr>
                <w:rFonts w:hint="eastAsia" w:ascii="Times New Roman" w:hAnsi="Times New Roman" w:cs="Times New Roman"/>
                <w:b/>
                <w:bCs w:val="0"/>
                <w:sz w:val="24"/>
                <w:szCs w:val="24"/>
                <w:lang w:val="en-US" w:eastAsia="zh-CN"/>
              </w:rPr>
              <w:t>2</w:t>
            </w:r>
            <w:r>
              <w:rPr>
                <w:rFonts w:hint="default" w:ascii="Times New Roman" w:hAnsi="Times New Roman" w:cs="Times New Roman"/>
                <w:b/>
                <w:bCs w:val="0"/>
                <w:sz w:val="24"/>
                <w:szCs w:val="24"/>
                <w:lang w:val="en-US" w:eastAsia="zh-CN"/>
              </w:rPr>
              <w:t>风险防范措施</w:t>
            </w:r>
          </w:p>
          <w:p>
            <w:pPr>
              <w:bidi w:val="0"/>
              <w:rPr>
                <w:rFonts w:hint="default"/>
                <w:lang w:val="en-US" w:eastAsia="zh-CN"/>
              </w:rPr>
            </w:pPr>
            <w:r>
              <w:rPr>
                <w:rFonts w:hint="default"/>
                <w:lang w:val="en-US" w:eastAsia="zh-CN"/>
              </w:rPr>
              <w:t>(1)火灾及爆炸风险防范措施</w:t>
            </w:r>
          </w:p>
          <w:p>
            <w:pPr>
              <w:bidi w:val="0"/>
              <w:rPr>
                <w:rFonts w:hint="default"/>
                <w:lang w:val="en-US" w:eastAsia="zh-CN"/>
              </w:rPr>
            </w:pPr>
            <w:r>
              <w:rPr>
                <w:rFonts w:hint="default"/>
                <w:lang w:val="en-US" w:eastAsia="zh-CN"/>
              </w:rPr>
              <w:t>由于环境风险具有突发性和短暂性及危害较大等特点，必须采取相应有效预防措施加以防范，加强控制和管理，杜绝、减轻和避免环境风险。为了加强泄漏、火灾、爆炸事故的发生，需加强安全管理。因在以后的运行中应按以下方面不断加强安全管理:</w:t>
            </w:r>
          </w:p>
          <w:p>
            <w:pPr>
              <w:bidi w:val="0"/>
              <w:rPr>
                <w:rFonts w:hint="default"/>
                <w:lang w:val="en-US" w:eastAsia="zh-CN"/>
              </w:rPr>
            </w:pPr>
            <w:r>
              <w:rPr>
                <w:rFonts w:hint="default"/>
                <w:lang w:val="en-US" w:eastAsia="zh-CN"/>
              </w:rPr>
              <w:t>① 对</w:t>
            </w:r>
            <w:r>
              <w:rPr>
                <w:rFonts w:hint="eastAsia"/>
                <w:lang w:val="en-US" w:eastAsia="zh-CN"/>
              </w:rPr>
              <w:t>罐体中的气体</w:t>
            </w:r>
            <w:r>
              <w:rPr>
                <w:rFonts w:hint="default"/>
                <w:lang w:val="en-US" w:eastAsia="zh-CN"/>
              </w:rPr>
              <w:t>浓度进行检测，浓度大于LEL(爆炸下限)时，应停止作业;</w:t>
            </w:r>
          </w:p>
          <w:p>
            <w:pPr>
              <w:bidi w:val="0"/>
              <w:rPr>
                <w:rFonts w:hint="default"/>
                <w:lang w:val="en-US" w:eastAsia="zh-CN"/>
              </w:rPr>
            </w:pPr>
            <w:r>
              <w:rPr>
                <w:rFonts w:hint="default"/>
                <w:lang w:val="en-US" w:eastAsia="zh-CN"/>
              </w:rPr>
              <w:t>②项目作业区域内禁止明火，严禁吸烟;</w:t>
            </w:r>
          </w:p>
          <w:p>
            <w:pPr>
              <w:bidi w:val="0"/>
              <w:rPr>
                <w:rFonts w:hint="default"/>
                <w:lang w:val="en-US" w:eastAsia="zh-CN"/>
              </w:rPr>
            </w:pPr>
            <w:r>
              <w:rPr>
                <w:rFonts w:hint="default"/>
                <w:lang w:val="en-US" w:eastAsia="zh-CN"/>
              </w:rPr>
              <w:t>③禁止使用易产生火花的机械设备和工具;</w:t>
            </w:r>
          </w:p>
          <w:p>
            <w:pPr>
              <w:bidi w:val="0"/>
              <w:rPr>
                <w:rFonts w:hint="default"/>
                <w:lang w:val="en-US" w:eastAsia="zh-CN"/>
              </w:rPr>
            </w:pPr>
            <w:r>
              <w:rPr>
                <w:rFonts w:hint="default"/>
                <w:lang w:val="en-US" w:eastAsia="zh-CN"/>
              </w:rPr>
              <w:t>④在作业过程中要防止静电的产生;</w:t>
            </w:r>
          </w:p>
          <w:p>
            <w:pPr>
              <w:bidi w:val="0"/>
              <w:rPr>
                <w:rFonts w:hint="default"/>
                <w:lang w:val="en-US" w:eastAsia="zh-CN"/>
              </w:rPr>
            </w:pPr>
            <w:r>
              <w:rPr>
                <w:rFonts w:hint="default"/>
                <w:lang w:val="en-US" w:eastAsia="zh-CN"/>
              </w:rPr>
              <w:fldChar w:fldCharType="begin"/>
            </w:r>
            <w:r>
              <w:rPr>
                <w:rFonts w:hint="default"/>
                <w:lang w:val="en-US" w:eastAsia="zh-CN"/>
              </w:rPr>
              <w:instrText xml:space="preserve"> = 5 \* GB3 \* MERGEFORMAT </w:instrText>
            </w:r>
            <w:r>
              <w:rPr>
                <w:rFonts w:hint="default"/>
                <w:lang w:val="en-US" w:eastAsia="zh-CN"/>
              </w:rPr>
              <w:fldChar w:fldCharType="separate"/>
            </w:r>
            <w:r>
              <w:rPr>
                <w:rFonts w:hint="default"/>
              </w:rPr>
              <w:t>⑤</w:t>
            </w:r>
            <w:r>
              <w:rPr>
                <w:rFonts w:hint="default"/>
                <w:lang w:val="en-US" w:eastAsia="zh-CN"/>
              </w:rPr>
              <w:fldChar w:fldCharType="end"/>
            </w:r>
            <w:r>
              <w:rPr>
                <w:rFonts w:hint="default"/>
                <w:lang w:val="en-US" w:eastAsia="zh-CN"/>
              </w:rPr>
              <w:t>熟悉罐内</w:t>
            </w:r>
            <w:r>
              <w:rPr>
                <w:rFonts w:hint="eastAsia"/>
                <w:lang w:val="en-US" w:eastAsia="zh-CN"/>
              </w:rPr>
              <w:t>物质</w:t>
            </w:r>
            <w:r>
              <w:rPr>
                <w:rFonts w:hint="default"/>
                <w:lang w:val="en-US" w:eastAsia="zh-CN"/>
              </w:rPr>
              <w:t>的各项指标，依据各项指标进行蒸罐，以防发生事故;</w:t>
            </w:r>
          </w:p>
          <w:p>
            <w:pPr>
              <w:bidi w:val="0"/>
              <w:rPr>
                <w:rFonts w:hint="default"/>
                <w:lang w:val="en-US" w:eastAsia="zh-CN"/>
              </w:rPr>
            </w:pPr>
            <w:r>
              <w:rPr>
                <w:rFonts w:hint="default"/>
                <w:lang w:val="en-US" w:eastAsia="zh-CN"/>
              </w:rPr>
              <w:t>⑥在作业过程中必须有一人操作，另外一人做好</w:t>
            </w:r>
            <w:r>
              <w:rPr>
                <w:rFonts w:hint="eastAsia"/>
                <w:lang w:val="en-US" w:eastAsia="zh-CN"/>
              </w:rPr>
              <w:t>检查</w:t>
            </w:r>
            <w:r>
              <w:rPr>
                <w:rFonts w:hint="default"/>
                <w:lang w:val="en-US" w:eastAsia="zh-CN"/>
              </w:rPr>
              <w:t>，以防跑、冒、滴、漏等。</w:t>
            </w:r>
          </w:p>
          <w:p>
            <w:pPr>
              <w:bidi w:val="0"/>
              <w:rPr>
                <w:rFonts w:hint="default"/>
                <w:lang w:val="en-US" w:eastAsia="zh-CN"/>
              </w:rPr>
            </w:pPr>
            <w:r>
              <w:rPr>
                <w:rFonts w:hint="default"/>
                <w:lang w:val="en-US" w:eastAsia="zh-CN"/>
              </w:rPr>
              <w:t>(2)废水事故排放防范措施</w:t>
            </w:r>
          </w:p>
          <w:p>
            <w:pPr>
              <w:bidi w:val="0"/>
              <w:rPr>
                <w:rFonts w:hint="default"/>
                <w:lang w:val="en-US" w:eastAsia="zh-CN"/>
              </w:rPr>
            </w:pPr>
            <w:r>
              <w:rPr>
                <w:rFonts w:hint="default"/>
                <w:lang w:val="en-US" w:eastAsia="zh-CN"/>
              </w:rPr>
              <w:t>建议建设单位采取严格的措施进行控制管理，以防止废水的事故性排放:</w:t>
            </w:r>
          </w:p>
          <w:p>
            <w:pPr>
              <w:bidi w:val="0"/>
              <w:rPr>
                <w:rFonts w:hint="default"/>
                <w:lang w:val="en-US" w:eastAsia="zh-CN"/>
              </w:rPr>
            </w:pPr>
            <w:r>
              <w:rPr>
                <w:rFonts w:hint="default"/>
                <w:lang w:val="en-US" w:eastAsia="zh-CN"/>
              </w:rPr>
              <w:t>①制定并执行《废水排放管理指示</w:t>
            </w:r>
            <w:r>
              <w:rPr>
                <w:rFonts w:hint="eastAsia"/>
                <w:lang w:val="en-US" w:eastAsia="zh-CN"/>
              </w:rPr>
              <w:t>》《</w:t>
            </w:r>
            <w:r>
              <w:rPr>
                <w:rFonts w:hint="default"/>
                <w:lang w:val="en-US" w:eastAsia="zh-CN"/>
              </w:rPr>
              <w:t>突发环境事件应急预案》等废水管理的制度和规定。</w:t>
            </w:r>
          </w:p>
          <w:p>
            <w:pPr>
              <w:bidi w:val="0"/>
              <w:rPr>
                <w:rFonts w:hint="default"/>
                <w:lang w:val="en-US" w:eastAsia="zh-CN"/>
              </w:rPr>
            </w:pPr>
            <w:r>
              <w:rPr>
                <w:rFonts w:hint="default"/>
                <w:lang w:val="en-US" w:eastAsia="zh-CN"/>
              </w:rPr>
              <w:t>②设专职环保人员进行管理及保养污水处理站设备，定期对污水处理站设备进行检查。</w:t>
            </w:r>
          </w:p>
          <w:p>
            <w:pPr>
              <w:bidi w:val="0"/>
              <w:rPr>
                <w:rFonts w:hint="default"/>
                <w:lang w:val="en-US" w:eastAsia="zh-CN"/>
              </w:rPr>
            </w:pPr>
            <w:r>
              <w:rPr>
                <w:rFonts w:hint="default"/>
                <w:lang w:val="en-US" w:eastAsia="zh-CN"/>
              </w:rPr>
              <w:t>③重视维护及管理项目废水排污管道，管道衔接应防止泄漏污染地下水。</w:t>
            </w:r>
          </w:p>
          <w:p>
            <w:pPr>
              <w:bidi w:val="0"/>
              <w:rPr>
                <w:rFonts w:hint="eastAsia"/>
                <w:lang w:val="en-US" w:eastAsia="zh-CN"/>
              </w:rPr>
            </w:pPr>
            <w:r>
              <w:rPr>
                <w:rFonts w:hint="default"/>
                <w:lang w:val="en-US" w:eastAsia="zh-CN"/>
              </w:rPr>
              <w:fldChar w:fldCharType="begin"/>
            </w:r>
            <w:r>
              <w:rPr>
                <w:rFonts w:hint="default"/>
                <w:lang w:val="en-US" w:eastAsia="zh-CN"/>
              </w:rPr>
              <w:instrText xml:space="preserve"> = 4 \* GB3 \* MERGEFORMAT </w:instrText>
            </w:r>
            <w:r>
              <w:rPr>
                <w:rFonts w:hint="default"/>
                <w:lang w:val="en-US" w:eastAsia="zh-CN"/>
              </w:rPr>
              <w:fldChar w:fldCharType="separate"/>
            </w:r>
            <w:r>
              <w:t>④</w:t>
            </w:r>
            <w:r>
              <w:rPr>
                <w:rFonts w:hint="default"/>
                <w:lang w:val="en-US" w:eastAsia="zh-CN"/>
              </w:rPr>
              <w:fldChar w:fldCharType="end"/>
            </w:r>
            <w:r>
              <w:rPr>
                <w:rFonts w:hint="eastAsia"/>
                <w:lang w:val="en-US" w:eastAsia="zh-CN"/>
              </w:rPr>
              <w:t>本项目停车场设置有一座容积为1548m</w:t>
            </w:r>
            <w:r>
              <w:rPr>
                <w:rFonts w:hint="eastAsia"/>
                <w:vertAlign w:val="superscript"/>
                <w:lang w:val="en-US" w:eastAsia="zh-CN"/>
              </w:rPr>
              <w:t>3</w:t>
            </w:r>
            <w:r>
              <w:rPr>
                <w:rFonts w:hint="eastAsia"/>
                <w:lang w:val="en-US" w:eastAsia="zh-CN"/>
              </w:rPr>
              <w:t>的事故水池，用于暂存事故状态下的废水收集。</w:t>
            </w:r>
          </w:p>
          <w:p>
            <w:pPr>
              <w:widowControl w:val="0"/>
              <w:ind w:firstLine="480"/>
              <w:rPr>
                <w:bCs/>
                <w:color w:val="auto"/>
                <w:szCs w:val="24"/>
                <w:lang w:val="zh-CN"/>
              </w:rPr>
            </w:pPr>
            <w:r>
              <w:rPr>
                <w:bCs/>
                <w:color w:val="auto"/>
                <w:szCs w:val="24"/>
                <w:lang w:val="zh-CN"/>
              </w:rPr>
              <w:t>参考《事故状态下水体污染的预防与控制技术要求》（Q/SY 1190-2009）附录A计算应急罐容积，具体算法如下：</w:t>
            </w:r>
          </w:p>
          <w:p>
            <w:pPr>
              <w:widowControl w:val="0"/>
              <w:ind w:firstLine="0" w:firstLineChars="0"/>
              <w:jc w:val="center"/>
              <w:rPr>
                <w:color w:val="auto"/>
                <w:spacing w:val="-4"/>
                <w:szCs w:val="24"/>
              </w:rPr>
            </w:pPr>
            <w:r>
              <w:rPr>
                <w:color w:val="auto"/>
                <w:spacing w:val="-4"/>
                <w:szCs w:val="24"/>
              </w:rPr>
              <w:t>V</w:t>
            </w:r>
            <w:r>
              <w:rPr>
                <w:color w:val="auto"/>
                <w:spacing w:val="-4"/>
                <w:szCs w:val="24"/>
                <w:vertAlign w:val="subscript"/>
              </w:rPr>
              <w:t>总</w:t>
            </w:r>
            <w:r>
              <w:rPr>
                <w:color w:val="auto"/>
                <w:spacing w:val="-4"/>
                <w:szCs w:val="24"/>
              </w:rPr>
              <w:t>＝（V</w:t>
            </w:r>
            <w:r>
              <w:rPr>
                <w:color w:val="auto"/>
                <w:spacing w:val="-4"/>
                <w:szCs w:val="24"/>
                <w:vertAlign w:val="subscript"/>
              </w:rPr>
              <w:t>1</w:t>
            </w:r>
            <w:r>
              <w:rPr>
                <w:color w:val="auto"/>
                <w:spacing w:val="-4"/>
                <w:szCs w:val="24"/>
              </w:rPr>
              <w:t>＋V</w:t>
            </w:r>
            <w:r>
              <w:rPr>
                <w:color w:val="auto"/>
                <w:spacing w:val="-4"/>
                <w:szCs w:val="24"/>
                <w:vertAlign w:val="subscript"/>
              </w:rPr>
              <w:t>2</w:t>
            </w:r>
            <w:r>
              <w:rPr>
                <w:color w:val="auto"/>
                <w:spacing w:val="-4"/>
                <w:szCs w:val="24"/>
              </w:rPr>
              <w:t>－V</w:t>
            </w:r>
            <w:r>
              <w:rPr>
                <w:color w:val="auto"/>
                <w:spacing w:val="-4"/>
                <w:szCs w:val="24"/>
                <w:vertAlign w:val="subscript"/>
              </w:rPr>
              <w:t>3</w:t>
            </w:r>
            <w:r>
              <w:rPr>
                <w:color w:val="auto"/>
                <w:spacing w:val="-4"/>
                <w:szCs w:val="24"/>
              </w:rPr>
              <w:t>）</w:t>
            </w:r>
            <w:r>
              <w:rPr>
                <w:color w:val="auto"/>
                <w:spacing w:val="-4"/>
                <w:szCs w:val="24"/>
                <w:vertAlign w:val="subscript"/>
              </w:rPr>
              <w:t>max</w:t>
            </w:r>
            <w:r>
              <w:rPr>
                <w:color w:val="auto"/>
                <w:spacing w:val="-4"/>
                <w:szCs w:val="24"/>
              </w:rPr>
              <w:t>＋V</w:t>
            </w:r>
            <w:r>
              <w:rPr>
                <w:color w:val="auto"/>
                <w:spacing w:val="-4"/>
                <w:szCs w:val="24"/>
                <w:vertAlign w:val="subscript"/>
              </w:rPr>
              <w:t>4</w:t>
            </w:r>
            <w:r>
              <w:rPr>
                <w:color w:val="auto"/>
                <w:spacing w:val="-4"/>
                <w:szCs w:val="24"/>
              </w:rPr>
              <w:t>+V</w:t>
            </w:r>
            <w:r>
              <w:rPr>
                <w:color w:val="auto"/>
                <w:spacing w:val="-4"/>
                <w:szCs w:val="24"/>
                <w:vertAlign w:val="subscript"/>
              </w:rPr>
              <w:t>5</w:t>
            </w:r>
          </w:p>
          <w:p>
            <w:pPr>
              <w:widowControl w:val="0"/>
              <w:ind w:firstLine="464"/>
              <w:jc w:val="left"/>
              <w:rPr>
                <w:color w:val="auto"/>
                <w:spacing w:val="-4"/>
                <w:szCs w:val="24"/>
              </w:rPr>
            </w:pPr>
            <w:r>
              <w:rPr>
                <w:color w:val="auto"/>
                <w:spacing w:val="-4"/>
                <w:szCs w:val="24"/>
              </w:rPr>
              <w:t>注：（V</w:t>
            </w:r>
            <w:r>
              <w:rPr>
                <w:color w:val="auto"/>
                <w:spacing w:val="-4"/>
                <w:szCs w:val="24"/>
                <w:vertAlign w:val="subscript"/>
              </w:rPr>
              <w:t>1</w:t>
            </w:r>
            <w:r>
              <w:rPr>
                <w:color w:val="auto"/>
                <w:spacing w:val="-4"/>
                <w:szCs w:val="24"/>
              </w:rPr>
              <w:t>＋V</w:t>
            </w:r>
            <w:r>
              <w:rPr>
                <w:color w:val="auto"/>
                <w:spacing w:val="-4"/>
                <w:szCs w:val="24"/>
                <w:vertAlign w:val="subscript"/>
              </w:rPr>
              <w:t>2</w:t>
            </w:r>
            <w:r>
              <w:rPr>
                <w:color w:val="auto"/>
                <w:spacing w:val="-4"/>
                <w:szCs w:val="24"/>
              </w:rPr>
              <w:t>-V</w:t>
            </w:r>
            <w:r>
              <w:rPr>
                <w:color w:val="auto"/>
                <w:spacing w:val="-4"/>
                <w:szCs w:val="24"/>
                <w:vertAlign w:val="subscript"/>
              </w:rPr>
              <w:t>3</w:t>
            </w:r>
            <w:r>
              <w:rPr>
                <w:color w:val="auto"/>
                <w:spacing w:val="-4"/>
                <w:szCs w:val="24"/>
              </w:rPr>
              <w:t>）</w:t>
            </w:r>
            <w:r>
              <w:rPr>
                <w:color w:val="auto"/>
                <w:spacing w:val="-4"/>
                <w:szCs w:val="24"/>
                <w:vertAlign w:val="subscript"/>
              </w:rPr>
              <w:t>max</w:t>
            </w:r>
            <w:r>
              <w:rPr>
                <w:color w:val="auto"/>
                <w:spacing w:val="-4"/>
                <w:szCs w:val="24"/>
              </w:rPr>
              <w:t>是指对收集系统范围内不同罐组或装置分别计算。V</w:t>
            </w:r>
            <w:r>
              <w:rPr>
                <w:color w:val="auto"/>
                <w:spacing w:val="-4"/>
                <w:szCs w:val="24"/>
                <w:vertAlign w:val="subscript"/>
              </w:rPr>
              <w:t>1</w:t>
            </w:r>
            <w:r>
              <w:rPr>
                <w:color w:val="auto"/>
                <w:spacing w:val="-4"/>
                <w:szCs w:val="24"/>
              </w:rPr>
              <w:t>＋V</w:t>
            </w:r>
            <w:r>
              <w:rPr>
                <w:color w:val="auto"/>
                <w:spacing w:val="-4"/>
                <w:szCs w:val="24"/>
                <w:vertAlign w:val="subscript"/>
              </w:rPr>
              <w:t>2</w:t>
            </w:r>
            <w:r>
              <w:rPr>
                <w:color w:val="auto"/>
                <w:spacing w:val="-4"/>
                <w:szCs w:val="24"/>
              </w:rPr>
              <w:t>－V</w:t>
            </w:r>
            <w:r>
              <w:rPr>
                <w:color w:val="auto"/>
                <w:spacing w:val="-4"/>
                <w:szCs w:val="24"/>
                <w:vertAlign w:val="subscript"/>
              </w:rPr>
              <w:t>3</w:t>
            </w:r>
            <w:r>
              <w:rPr>
                <w:color w:val="auto"/>
                <w:spacing w:val="-4"/>
                <w:szCs w:val="24"/>
              </w:rPr>
              <w:t>，取其中最大值。</w:t>
            </w:r>
          </w:p>
          <w:p>
            <w:pPr>
              <w:widowControl w:val="0"/>
              <w:ind w:firstLine="464"/>
              <w:jc w:val="left"/>
              <w:rPr>
                <w:color w:val="auto"/>
                <w:spacing w:val="-4"/>
                <w:szCs w:val="24"/>
              </w:rPr>
            </w:pPr>
            <w:r>
              <w:rPr>
                <w:color w:val="auto"/>
                <w:spacing w:val="-4"/>
                <w:szCs w:val="24"/>
              </w:rPr>
              <w:t>V</w:t>
            </w:r>
            <w:r>
              <w:rPr>
                <w:color w:val="auto"/>
                <w:spacing w:val="-4"/>
                <w:szCs w:val="24"/>
                <w:vertAlign w:val="subscript"/>
              </w:rPr>
              <w:t>1</w:t>
            </w:r>
            <w:r>
              <w:rPr>
                <w:color w:val="auto"/>
                <w:spacing w:val="-4"/>
                <w:szCs w:val="24"/>
              </w:rPr>
              <w:t>——收集系统范围内发生事故的一个罐组或一套装置的物料量。</w:t>
            </w:r>
          </w:p>
          <w:p>
            <w:pPr>
              <w:widowControl w:val="0"/>
              <w:ind w:firstLine="464"/>
              <w:jc w:val="left"/>
              <w:rPr>
                <w:color w:val="auto"/>
                <w:spacing w:val="-4"/>
                <w:szCs w:val="24"/>
              </w:rPr>
            </w:pPr>
            <w:r>
              <w:rPr>
                <w:color w:val="auto"/>
                <w:spacing w:val="-4"/>
                <w:szCs w:val="24"/>
              </w:rPr>
              <w:t>注：储存相同物料的罐组按一个最大储罐计，装置物料量按存留最大物料量的一台反应器或中间储罐计。</w:t>
            </w:r>
          </w:p>
          <w:p>
            <w:pPr>
              <w:widowControl w:val="0"/>
              <w:ind w:firstLine="464"/>
              <w:jc w:val="left"/>
              <w:rPr>
                <w:color w:val="auto"/>
                <w:spacing w:val="-4"/>
                <w:szCs w:val="24"/>
              </w:rPr>
            </w:pPr>
            <w:r>
              <w:rPr>
                <w:color w:val="auto"/>
                <w:spacing w:val="-4"/>
                <w:szCs w:val="24"/>
              </w:rPr>
              <w:t>V</w:t>
            </w:r>
            <w:r>
              <w:rPr>
                <w:color w:val="auto"/>
                <w:spacing w:val="-4"/>
                <w:szCs w:val="24"/>
                <w:vertAlign w:val="subscript"/>
              </w:rPr>
              <w:t>2</w:t>
            </w:r>
            <w:r>
              <w:rPr>
                <w:color w:val="auto"/>
                <w:spacing w:val="-4"/>
                <w:szCs w:val="24"/>
              </w:rPr>
              <w:t>——发生事故的储罐或装置的一次消防废水量，m</w:t>
            </w:r>
            <w:r>
              <w:rPr>
                <w:color w:val="auto"/>
                <w:spacing w:val="-4"/>
                <w:szCs w:val="24"/>
                <w:vertAlign w:val="superscript"/>
              </w:rPr>
              <w:t>3</w:t>
            </w:r>
            <w:r>
              <w:rPr>
                <w:color w:val="auto"/>
                <w:spacing w:val="-4"/>
                <w:szCs w:val="24"/>
              </w:rPr>
              <w:t>；</w:t>
            </w:r>
          </w:p>
          <w:p>
            <w:pPr>
              <w:widowControl w:val="0"/>
              <w:ind w:firstLine="0" w:firstLineChars="0"/>
              <w:jc w:val="center"/>
              <w:rPr>
                <w:color w:val="auto"/>
                <w:spacing w:val="-4"/>
                <w:szCs w:val="24"/>
              </w:rPr>
            </w:pPr>
            <w:r>
              <w:rPr>
                <w:color w:val="auto"/>
                <w:spacing w:val="-4"/>
                <w:szCs w:val="24"/>
              </w:rPr>
              <w:drawing>
                <wp:inline distT="0" distB="0" distL="0" distR="0">
                  <wp:extent cx="885825" cy="2667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85825" cy="266700"/>
                          </a:xfrm>
                          <a:prstGeom prst="rect">
                            <a:avLst/>
                          </a:prstGeom>
                          <a:noFill/>
                          <a:ln>
                            <a:noFill/>
                          </a:ln>
                        </pic:spPr>
                      </pic:pic>
                    </a:graphicData>
                  </a:graphic>
                </wp:inline>
              </w:drawing>
            </w:r>
          </w:p>
          <w:p>
            <w:pPr>
              <w:widowControl w:val="0"/>
              <w:ind w:firstLine="464"/>
              <w:jc w:val="left"/>
              <w:rPr>
                <w:color w:val="auto"/>
                <w:spacing w:val="-4"/>
                <w:szCs w:val="24"/>
              </w:rPr>
            </w:pPr>
            <w:r>
              <w:rPr>
                <w:color w:val="auto"/>
                <w:spacing w:val="-4"/>
                <w:szCs w:val="24"/>
              </w:rPr>
              <w:t>Q</w:t>
            </w:r>
            <w:r>
              <w:rPr>
                <w:color w:val="auto"/>
                <w:spacing w:val="-4"/>
                <w:szCs w:val="24"/>
                <w:vertAlign w:val="subscript"/>
              </w:rPr>
              <w:t>消</w:t>
            </w:r>
            <w:r>
              <w:rPr>
                <w:color w:val="auto"/>
                <w:spacing w:val="-4"/>
                <w:szCs w:val="24"/>
              </w:rPr>
              <w:t>——发生事故的储罐或装置的消防设施给水流量，m</w:t>
            </w:r>
            <w:r>
              <w:rPr>
                <w:color w:val="auto"/>
                <w:spacing w:val="-4"/>
                <w:szCs w:val="24"/>
                <w:vertAlign w:val="superscript"/>
              </w:rPr>
              <w:t>3</w:t>
            </w:r>
            <w:r>
              <w:rPr>
                <w:color w:val="auto"/>
                <w:spacing w:val="-4"/>
                <w:szCs w:val="24"/>
              </w:rPr>
              <w:t>/h；</w:t>
            </w:r>
          </w:p>
          <w:p>
            <w:pPr>
              <w:widowControl w:val="0"/>
              <w:ind w:firstLine="464"/>
              <w:jc w:val="left"/>
              <w:rPr>
                <w:color w:val="auto"/>
                <w:spacing w:val="-4"/>
                <w:szCs w:val="24"/>
              </w:rPr>
            </w:pPr>
            <w:r>
              <w:rPr>
                <w:color w:val="auto"/>
                <w:spacing w:val="-4"/>
                <w:szCs w:val="24"/>
              </w:rPr>
              <w:t>t</w:t>
            </w:r>
            <w:r>
              <w:rPr>
                <w:color w:val="auto"/>
                <w:spacing w:val="-4"/>
                <w:szCs w:val="24"/>
                <w:vertAlign w:val="subscript"/>
              </w:rPr>
              <w:t>消</w:t>
            </w:r>
            <w:r>
              <w:rPr>
                <w:color w:val="auto"/>
                <w:spacing w:val="-4"/>
                <w:szCs w:val="24"/>
              </w:rPr>
              <w:t xml:space="preserve">——消防设施对应的设计消防历时，h； </w:t>
            </w:r>
          </w:p>
          <w:p>
            <w:pPr>
              <w:widowControl w:val="0"/>
              <w:ind w:firstLine="480"/>
              <w:textAlignment w:val="baseline"/>
              <w:rPr>
                <w:color w:val="auto"/>
                <w:szCs w:val="24"/>
              </w:rPr>
            </w:pPr>
            <w:r>
              <w:rPr>
                <w:rFonts w:hint="eastAsia"/>
                <w:color w:val="auto"/>
                <w:szCs w:val="24"/>
              </w:rPr>
              <w:t>本项目消防废水来自于室内消火栓给水系统，其用水量取5</w:t>
            </w:r>
            <w:r>
              <w:rPr>
                <w:color w:val="auto"/>
                <w:szCs w:val="24"/>
              </w:rPr>
              <w:t>L/s</w:t>
            </w:r>
            <w:r>
              <w:rPr>
                <w:rFonts w:hint="eastAsia"/>
                <w:color w:val="auto"/>
                <w:szCs w:val="24"/>
              </w:rPr>
              <w:t>，室内消火栓数量取2支，火灾持续时间取1</w:t>
            </w:r>
            <w:r>
              <w:rPr>
                <w:color w:val="auto"/>
                <w:szCs w:val="24"/>
              </w:rPr>
              <w:t>h</w:t>
            </w:r>
            <w:r>
              <w:rPr>
                <w:rFonts w:hint="eastAsia"/>
                <w:color w:val="auto"/>
                <w:szCs w:val="24"/>
              </w:rPr>
              <w:t>，则消防废水量为</w:t>
            </w:r>
            <w:r>
              <w:rPr>
                <w:color w:val="auto"/>
                <w:szCs w:val="24"/>
              </w:rPr>
              <w:t>36m</w:t>
            </w:r>
            <w:r>
              <w:rPr>
                <w:color w:val="auto"/>
                <w:szCs w:val="24"/>
                <w:vertAlign w:val="superscript"/>
              </w:rPr>
              <w:t>3</w:t>
            </w:r>
            <w:r>
              <w:rPr>
                <w:color w:val="auto"/>
                <w:szCs w:val="24"/>
              </w:rPr>
              <w:t>/</w:t>
            </w:r>
            <w:r>
              <w:rPr>
                <w:rFonts w:hint="eastAsia"/>
                <w:color w:val="auto"/>
                <w:szCs w:val="24"/>
              </w:rPr>
              <w:t>次。</w:t>
            </w:r>
          </w:p>
          <w:p>
            <w:pPr>
              <w:widowControl w:val="0"/>
              <w:ind w:firstLine="464"/>
              <w:jc w:val="left"/>
              <w:rPr>
                <w:color w:val="auto"/>
                <w:spacing w:val="-4"/>
                <w:szCs w:val="24"/>
              </w:rPr>
            </w:pPr>
            <w:r>
              <w:rPr>
                <w:color w:val="auto"/>
                <w:spacing w:val="-4"/>
                <w:szCs w:val="24"/>
              </w:rPr>
              <w:t>V</w:t>
            </w:r>
            <w:r>
              <w:rPr>
                <w:color w:val="auto"/>
                <w:spacing w:val="-4"/>
                <w:szCs w:val="24"/>
                <w:vertAlign w:val="subscript"/>
              </w:rPr>
              <w:t>3</w:t>
            </w:r>
            <w:r>
              <w:rPr>
                <w:color w:val="auto"/>
                <w:spacing w:val="-4"/>
                <w:szCs w:val="24"/>
              </w:rPr>
              <w:t>——发生事故时可以转输到其他储存或处理设施的物料量，m</w:t>
            </w:r>
            <w:r>
              <w:rPr>
                <w:color w:val="auto"/>
                <w:spacing w:val="-4"/>
                <w:szCs w:val="24"/>
                <w:vertAlign w:val="superscript"/>
              </w:rPr>
              <w:t>3</w:t>
            </w:r>
            <w:r>
              <w:rPr>
                <w:color w:val="auto"/>
                <w:spacing w:val="-4"/>
                <w:szCs w:val="24"/>
              </w:rPr>
              <w:t>；</w:t>
            </w:r>
          </w:p>
          <w:p>
            <w:pPr>
              <w:widowControl w:val="0"/>
              <w:ind w:firstLine="464"/>
              <w:jc w:val="left"/>
              <w:rPr>
                <w:color w:val="auto"/>
                <w:spacing w:val="-4"/>
                <w:szCs w:val="24"/>
              </w:rPr>
            </w:pPr>
            <w:r>
              <w:rPr>
                <w:color w:val="auto"/>
                <w:spacing w:val="-4"/>
                <w:szCs w:val="24"/>
              </w:rPr>
              <w:t>V</w:t>
            </w:r>
            <w:r>
              <w:rPr>
                <w:color w:val="auto"/>
                <w:spacing w:val="-4"/>
                <w:szCs w:val="24"/>
                <w:vertAlign w:val="subscript"/>
              </w:rPr>
              <w:t>4</w:t>
            </w:r>
            <w:r>
              <w:rPr>
                <w:color w:val="auto"/>
                <w:spacing w:val="-4"/>
                <w:szCs w:val="24"/>
              </w:rPr>
              <w:t>——发生事故时仍必须进入该收集系统的生产废水量，m</w:t>
            </w:r>
            <w:r>
              <w:rPr>
                <w:color w:val="auto"/>
                <w:spacing w:val="-4"/>
                <w:szCs w:val="24"/>
                <w:vertAlign w:val="superscript"/>
              </w:rPr>
              <w:t>3</w:t>
            </w:r>
            <w:r>
              <w:rPr>
                <w:color w:val="auto"/>
                <w:spacing w:val="-4"/>
                <w:szCs w:val="24"/>
              </w:rPr>
              <w:t>；（</w:t>
            </w:r>
            <w:r>
              <w:rPr>
                <w:rFonts w:hint="eastAsia"/>
                <w:color w:val="auto"/>
                <w:spacing w:val="-4"/>
                <w:szCs w:val="24"/>
              </w:rPr>
              <w:t>发生事故后停止生产，考虑</w:t>
            </w:r>
            <w:r>
              <w:rPr>
                <w:rFonts w:hint="eastAsia"/>
                <w:color w:val="auto"/>
                <w:spacing w:val="-4"/>
                <w:szCs w:val="24"/>
                <w:lang w:val="en-US" w:eastAsia="zh-CN"/>
              </w:rPr>
              <w:t>污水处理设施暂存的废水量</w:t>
            </w:r>
            <w:r>
              <w:rPr>
                <w:rFonts w:hint="eastAsia"/>
                <w:color w:val="auto"/>
                <w:spacing w:val="-4"/>
                <w:szCs w:val="24"/>
                <w:lang w:eastAsia="zh-CN"/>
              </w:rPr>
              <w:t>（</w:t>
            </w:r>
            <w:r>
              <w:rPr>
                <w:rFonts w:hint="eastAsia"/>
                <w:color w:val="auto"/>
                <w:spacing w:val="-4"/>
                <w:szCs w:val="24"/>
                <w:lang w:val="en-US" w:eastAsia="zh-CN"/>
              </w:rPr>
              <w:t>11.88m</w:t>
            </w:r>
            <w:r>
              <w:rPr>
                <w:rFonts w:hint="eastAsia"/>
                <w:color w:val="auto"/>
                <w:spacing w:val="-4"/>
                <w:szCs w:val="24"/>
                <w:vertAlign w:val="superscript"/>
                <w:lang w:val="en-US" w:eastAsia="zh-CN"/>
              </w:rPr>
              <w:t>3</w:t>
            </w:r>
            <w:r>
              <w:rPr>
                <w:rFonts w:hint="eastAsia"/>
                <w:color w:val="auto"/>
                <w:spacing w:val="-4"/>
                <w:szCs w:val="24"/>
                <w:lang w:val="en-US" w:eastAsia="zh-CN"/>
              </w:rPr>
              <w:t>/d</w:t>
            </w:r>
            <w:r>
              <w:rPr>
                <w:rFonts w:hint="eastAsia"/>
                <w:color w:val="auto"/>
                <w:spacing w:val="-4"/>
                <w:szCs w:val="24"/>
                <w:lang w:eastAsia="zh-CN"/>
              </w:rPr>
              <w:t>）</w:t>
            </w:r>
            <w:r>
              <w:rPr>
                <w:rFonts w:hint="eastAsia"/>
                <w:color w:val="auto"/>
                <w:spacing w:val="-4"/>
                <w:szCs w:val="24"/>
              </w:rPr>
              <w:t>，</w:t>
            </w:r>
            <w:r>
              <w:rPr>
                <w:rFonts w:hint="eastAsia"/>
                <w:color w:val="auto"/>
                <w:spacing w:val="-4"/>
                <w:szCs w:val="24"/>
                <w:lang w:val="en-US" w:eastAsia="zh-CN"/>
              </w:rPr>
              <w:t>按</w:t>
            </w:r>
            <w:r>
              <w:rPr>
                <w:rFonts w:hint="eastAsia"/>
                <w:color w:val="auto"/>
                <w:szCs w:val="24"/>
                <w:lang w:val="en-US" w:eastAsia="zh-CN"/>
              </w:rPr>
              <w:t>1</w:t>
            </w:r>
            <w:r>
              <w:rPr>
                <w:color w:val="auto"/>
                <w:szCs w:val="24"/>
              </w:rPr>
              <w:t>5</w:t>
            </w:r>
            <w:r>
              <w:rPr>
                <w:color w:val="auto"/>
              </w:rPr>
              <w:t>m</w:t>
            </w:r>
            <w:r>
              <w:rPr>
                <w:color w:val="auto"/>
                <w:vertAlign w:val="superscript"/>
              </w:rPr>
              <w:t>3</w:t>
            </w:r>
            <w:r>
              <w:rPr>
                <w:rFonts w:hint="eastAsia"/>
                <w:color w:val="auto"/>
                <w:vertAlign w:val="baseline"/>
                <w:lang w:val="en-US" w:eastAsia="zh-CN"/>
              </w:rPr>
              <w:t>计</w:t>
            </w:r>
            <w:r>
              <w:rPr>
                <w:color w:val="auto"/>
                <w:spacing w:val="-4"/>
                <w:szCs w:val="24"/>
              </w:rPr>
              <w:t>）；</w:t>
            </w:r>
          </w:p>
          <w:p>
            <w:pPr>
              <w:widowControl w:val="0"/>
              <w:ind w:firstLine="464"/>
              <w:jc w:val="left"/>
              <w:rPr>
                <w:color w:val="auto"/>
                <w:spacing w:val="-4"/>
                <w:szCs w:val="24"/>
              </w:rPr>
            </w:pPr>
            <w:r>
              <w:rPr>
                <w:color w:val="auto"/>
                <w:spacing w:val="-4"/>
                <w:szCs w:val="24"/>
              </w:rPr>
              <w:t>V</w:t>
            </w:r>
            <w:r>
              <w:rPr>
                <w:color w:val="auto"/>
                <w:spacing w:val="-4"/>
                <w:szCs w:val="24"/>
                <w:vertAlign w:val="subscript"/>
              </w:rPr>
              <w:t>5</w:t>
            </w:r>
            <w:r>
              <w:rPr>
                <w:color w:val="auto"/>
                <w:spacing w:val="-4"/>
                <w:szCs w:val="24"/>
              </w:rPr>
              <w:t>——发生事故时可能进入该收集系统的降雨量，m</w:t>
            </w:r>
            <w:r>
              <w:rPr>
                <w:color w:val="auto"/>
                <w:spacing w:val="-4"/>
                <w:szCs w:val="24"/>
                <w:vertAlign w:val="superscript"/>
              </w:rPr>
              <w:t>3</w:t>
            </w:r>
            <w:r>
              <w:rPr>
                <w:color w:val="auto"/>
                <w:spacing w:val="-4"/>
                <w:szCs w:val="24"/>
              </w:rPr>
              <w:t>；</w:t>
            </w:r>
            <w:r>
              <w:rPr>
                <w:rFonts w:hint="eastAsia"/>
                <w:color w:val="auto"/>
                <w:spacing w:val="-4"/>
                <w:szCs w:val="24"/>
              </w:rPr>
              <w:t>（本项目所有生产、储存区域均位于室内，不考虑降雨量）</w:t>
            </w:r>
          </w:p>
          <w:p>
            <w:pPr>
              <w:widowControl w:val="0"/>
              <w:ind w:firstLine="482"/>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通过以上基础数据可计算得本项目需要的应急罐容积约为：</w:t>
            </w:r>
          </w:p>
          <w:p>
            <w:pPr>
              <w:widowControl w:val="0"/>
              <w:ind w:firstLine="482"/>
              <w:jc w:val="left"/>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V</w:t>
            </w:r>
            <w:r>
              <w:rPr>
                <w:rFonts w:hint="default" w:ascii="Times New Roman" w:hAnsi="Times New Roman" w:eastAsia="宋体" w:cs="Times New Roman"/>
                <w:b/>
                <w:color w:val="auto"/>
                <w:sz w:val="24"/>
                <w:szCs w:val="24"/>
                <w:vertAlign w:val="subscript"/>
              </w:rPr>
              <w:t>总</w:t>
            </w:r>
            <w:r>
              <w:rPr>
                <w:rFonts w:hint="default" w:ascii="Times New Roman" w:hAnsi="Times New Roman" w:eastAsia="宋体" w:cs="Times New Roman"/>
                <w:b/>
                <w:color w:val="auto"/>
                <w:sz w:val="24"/>
                <w:szCs w:val="24"/>
              </w:rPr>
              <w:t>=（V</w:t>
            </w:r>
            <w:r>
              <w:rPr>
                <w:rFonts w:hint="default" w:ascii="Times New Roman" w:hAnsi="Times New Roman" w:eastAsia="宋体" w:cs="Times New Roman"/>
                <w:b/>
                <w:color w:val="auto"/>
                <w:sz w:val="24"/>
                <w:szCs w:val="24"/>
                <w:vertAlign w:val="subscript"/>
              </w:rPr>
              <w:t>1</w:t>
            </w:r>
            <w:r>
              <w:rPr>
                <w:rFonts w:hint="default" w:ascii="Times New Roman" w:hAnsi="Times New Roman" w:eastAsia="宋体" w:cs="Times New Roman"/>
                <w:b/>
                <w:color w:val="auto"/>
                <w:sz w:val="24"/>
                <w:szCs w:val="24"/>
              </w:rPr>
              <w:t>＋V</w:t>
            </w:r>
            <w:r>
              <w:rPr>
                <w:rFonts w:hint="default" w:ascii="Times New Roman" w:hAnsi="Times New Roman" w:eastAsia="宋体" w:cs="Times New Roman"/>
                <w:b/>
                <w:color w:val="auto"/>
                <w:sz w:val="24"/>
                <w:szCs w:val="24"/>
                <w:vertAlign w:val="subscript"/>
              </w:rPr>
              <w:t>2</w:t>
            </w:r>
            <w:r>
              <w:rPr>
                <w:rFonts w:hint="default" w:ascii="Times New Roman" w:hAnsi="Times New Roman" w:eastAsia="宋体" w:cs="Times New Roman"/>
                <w:b/>
                <w:color w:val="auto"/>
                <w:sz w:val="24"/>
                <w:szCs w:val="24"/>
              </w:rPr>
              <w:t>－V</w:t>
            </w:r>
            <w:r>
              <w:rPr>
                <w:rFonts w:hint="default" w:ascii="Times New Roman" w:hAnsi="Times New Roman" w:eastAsia="宋体" w:cs="Times New Roman"/>
                <w:b/>
                <w:color w:val="auto"/>
                <w:sz w:val="24"/>
                <w:szCs w:val="24"/>
                <w:vertAlign w:val="subscript"/>
              </w:rPr>
              <w:t>3</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vertAlign w:val="subscript"/>
              </w:rPr>
              <w:t>max</w:t>
            </w:r>
            <w:r>
              <w:rPr>
                <w:rFonts w:hint="default" w:ascii="Times New Roman" w:hAnsi="Times New Roman" w:eastAsia="宋体" w:cs="Times New Roman"/>
                <w:b/>
                <w:color w:val="auto"/>
                <w:sz w:val="24"/>
                <w:szCs w:val="24"/>
              </w:rPr>
              <w:t>＋V</w:t>
            </w:r>
            <w:r>
              <w:rPr>
                <w:rFonts w:hint="default" w:ascii="Times New Roman" w:hAnsi="Times New Roman" w:eastAsia="宋体" w:cs="Times New Roman"/>
                <w:b/>
                <w:color w:val="auto"/>
                <w:sz w:val="24"/>
                <w:szCs w:val="24"/>
                <w:vertAlign w:val="subscript"/>
              </w:rPr>
              <w:t>4</w:t>
            </w:r>
            <w:r>
              <w:rPr>
                <w:rFonts w:hint="default" w:ascii="Times New Roman" w:hAnsi="Times New Roman" w:eastAsia="宋体" w:cs="Times New Roman"/>
                <w:b/>
                <w:color w:val="auto"/>
                <w:sz w:val="24"/>
                <w:szCs w:val="24"/>
              </w:rPr>
              <w:t>+V</w:t>
            </w:r>
            <w:r>
              <w:rPr>
                <w:rFonts w:hint="default" w:ascii="Times New Roman" w:hAnsi="Times New Roman" w:eastAsia="宋体" w:cs="Times New Roman"/>
                <w:b/>
                <w:color w:val="auto"/>
                <w:sz w:val="24"/>
                <w:szCs w:val="24"/>
                <w:vertAlign w:val="subscript"/>
              </w:rPr>
              <w:t>5</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0</w:t>
            </w:r>
            <w:r>
              <w:rPr>
                <w:rFonts w:hint="default" w:ascii="Times New Roman" w:hAnsi="Times New Roman" w:eastAsia="宋体" w:cs="Times New Roman"/>
                <w:b/>
                <w:color w:val="auto"/>
                <w:sz w:val="24"/>
                <w:szCs w:val="24"/>
              </w:rPr>
              <w:t>+36-</w:t>
            </w:r>
            <w:r>
              <w:rPr>
                <w:rFonts w:hint="default" w:ascii="Times New Roman" w:hAnsi="Times New Roman" w:eastAsia="宋体" w:cs="Times New Roman"/>
                <w:b/>
                <w:color w:val="auto"/>
                <w:sz w:val="24"/>
                <w:szCs w:val="24"/>
                <w:lang w:val="en-US" w:eastAsia="zh-CN"/>
              </w:rPr>
              <w:t>0</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5=</w:t>
            </w:r>
            <w:r>
              <w:rPr>
                <w:rFonts w:hint="default" w:ascii="Times New Roman" w:hAnsi="Times New Roman" w:eastAsia="宋体" w:cs="Times New Roman"/>
                <w:b/>
                <w:color w:val="auto"/>
                <w:sz w:val="24"/>
                <w:szCs w:val="24"/>
                <w:lang w:val="en-US" w:eastAsia="zh-CN"/>
              </w:rPr>
              <w:t>5</w:t>
            </w:r>
            <w:r>
              <w:rPr>
                <w:rFonts w:hint="default" w:ascii="Times New Roman" w:hAnsi="Times New Roman" w:eastAsia="宋体" w:cs="Times New Roman"/>
                <w:b/>
                <w:color w:val="auto"/>
                <w:sz w:val="24"/>
                <w:szCs w:val="24"/>
              </w:rPr>
              <w:t>1m</w:t>
            </w:r>
            <w:r>
              <w:rPr>
                <w:rFonts w:hint="default" w:ascii="Times New Roman" w:hAnsi="Times New Roman" w:eastAsia="宋体" w:cs="Times New Roman"/>
                <w:b/>
                <w:color w:val="auto"/>
                <w:sz w:val="24"/>
                <w:szCs w:val="24"/>
                <w:vertAlign w:val="superscript"/>
              </w:rPr>
              <w:t>3</w:t>
            </w:r>
          </w:p>
          <w:p>
            <w:pPr>
              <w:pStyle w:val="29"/>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Cs/>
                <w:color w:val="auto"/>
                <w:sz w:val="24"/>
                <w:szCs w:val="24"/>
                <w:lang w:val="en-US" w:eastAsia="zh-CN"/>
              </w:rPr>
              <w:t>本项目设置1548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一个</w:t>
            </w:r>
            <w:r>
              <w:rPr>
                <w:rFonts w:hint="default" w:ascii="Times New Roman" w:hAnsi="Times New Roman" w:eastAsia="宋体" w:cs="Times New Roman"/>
                <w:color w:val="auto"/>
                <w:sz w:val="24"/>
                <w:szCs w:val="24"/>
                <w:lang w:eastAsia="zh-CN"/>
              </w:rPr>
              <w:t>的</w:t>
            </w:r>
            <w:r>
              <w:rPr>
                <w:rFonts w:hint="default" w:ascii="Times New Roman" w:hAnsi="Times New Roman" w:eastAsia="宋体" w:cs="Times New Roman"/>
                <w:color w:val="auto"/>
                <w:sz w:val="24"/>
                <w:szCs w:val="24"/>
                <w:lang w:val="en-US" w:eastAsia="zh-CN"/>
              </w:rPr>
              <w:t>事故池</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lang w:val="zh-CN"/>
              </w:rPr>
              <w:t>大于前述计算所需的应急罐容积，</w:t>
            </w:r>
            <w:r>
              <w:rPr>
                <w:rFonts w:hint="default" w:ascii="Times New Roman" w:hAnsi="Times New Roman" w:eastAsia="宋体" w:cs="Times New Roman"/>
                <w:color w:val="auto"/>
                <w:sz w:val="24"/>
                <w:szCs w:val="24"/>
                <w:lang w:val="en-US" w:eastAsia="zh-CN"/>
              </w:rPr>
              <w:t>项目应急池能满足要求</w:t>
            </w:r>
            <w:r>
              <w:rPr>
                <w:rFonts w:hint="default" w:ascii="Times New Roman" w:hAnsi="Times New Roman" w:eastAsia="宋体" w:cs="Times New Roman"/>
                <w:bCs/>
                <w:color w:val="auto"/>
                <w:sz w:val="24"/>
                <w:szCs w:val="24"/>
                <w:lang w:val="zh-CN"/>
              </w:rPr>
              <w:t>。</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(3)废气事故排放防范措施</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项目废气事故排放源强为废气未经处理直接排放的源强。废气事故排放可能会造成环境空气污染。一旦发生废气事故排放，项目立即停止清洗作业，直到故障完成维修为止。</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为避免废气事故性排放的情况发生，建设单位应加强管理，定期检修废气处理装置，严格确保其处于正常的运行工况。主要风险防范措施包括以下方面:</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①设备的定期维护</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废气事故性排放风险主要来源于废气处理设施故障，在日常运行过程中，应定期对废气处理设施进行安全检测，一方面对收集系统进行检测维护，确保收集稳定性，确保各阀门管道连接气密性，避免废气处理设施故障;另一方面应根据废气处理设施的使用规范,确保废气处理设施对大气污染物的处理效率。</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②操作人员的教育培训</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在日常运营过程中，应加强操作人员的教育培训，确保所有生产设施的操作均合规合理，避免因误操作导致的生产设施故障而导致事故性废气排放。</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③合理安排生产制度</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应在充分考虑设备实际处理能力的情况下，合理安排生产制度，杜绝超负荷运行，从而确保生产设备在合理生产负荷条件下稳定运行，避免超载引发的设备故障等。</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(4)危废暂存间泄漏防范措施</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危险废物暂存间设置围堰，做好防渗措施，贮存、处置场使用单位，应建立检查维护制度，贮存、处置场周边应设置导流渠。</w:t>
            </w:r>
          </w:p>
          <w:p>
            <w:pPr>
              <w:pStyle w:val="29"/>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b/>
                <w:bCs w:val="0"/>
                <w:sz w:val="24"/>
                <w:szCs w:val="24"/>
                <w:lang w:val="en-US" w:eastAsia="zh-CN"/>
              </w:rPr>
            </w:pPr>
            <w:r>
              <w:rPr>
                <w:rFonts w:hint="default" w:ascii="Times New Roman" w:hAnsi="Times New Roman" w:cs="Times New Roman"/>
                <w:b/>
                <w:bCs w:val="0"/>
                <w:sz w:val="24"/>
                <w:szCs w:val="24"/>
                <w:lang w:val="en-US" w:eastAsia="zh-CN"/>
              </w:rPr>
              <w:t>4.</w:t>
            </w:r>
            <w:r>
              <w:rPr>
                <w:rFonts w:hint="eastAsia" w:ascii="Times New Roman" w:hAnsi="Times New Roman" w:cs="Times New Roman"/>
                <w:b/>
                <w:bCs w:val="0"/>
                <w:sz w:val="24"/>
                <w:szCs w:val="24"/>
                <w:lang w:val="en-US" w:eastAsia="zh-CN"/>
              </w:rPr>
              <w:t>7</w:t>
            </w:r>
            <w:r>
              <w:rPr>
                <w:rFonts w:hint="default" w:ascii="Times New Roman" w:hAnsi="Times New Roman" w:cs="Times New Roman"/>
                <w:b/>
                <w:bCs w:val="0"/>
                <w:sz w:val="24"/>
                <w:szCs w:val="24"/>
                <w:lang w:val="en-US" w:eastAsia="zh-CN"/>
              </w:rPr>
              <w:t>.3环境风险分析</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不构成重大危险源，通过采取相应的风险事故防范措施，制定相应的环境风险应急预案，本项目的环境风险发生率可以降到最低水平，并能减少或者避免风险事故的发生。因此本项目的建设，从风险评价的角度分析是可行的。</w:t>
            </w:r>
          </w:p>
          <w:p>
            <w:pPr>
              <w:pStyle w:val="29"/>
              <w:keepNext w:val="0"/>
              <w:keepLines w:val="0"/>
              <w:pageBreakBefore w:val="0"/>
              <w:widowControl w:val="0"/>
              <w:kinsoku/>
              <w:wordWrap/>
              <w:overflowPunct/>
              <w:topLinePunct w:val="0"/>
              <w:autoSpaceDE/>
              <w:autoSpaceDN/>
              <w:bidi w:val="0"/>
              <w:adjustRightInd/>
              <w:snapToGrid/>
              <w:ind w:firstLine="482" w:firstLineChars="200"/>
              <w:jc w:val="both"/>
              <w:textAlignment w:val="auto"/>
              <w:rPr>
                <w:rFonts w:hint="default" w:ascii="Times New Roman" w:hAnsi="Times New Roman" w:cs="Times New Roman"/>
                <w:b/>
                <w:bCs w:val="0"/>
                <w:sz w:val="24"/>
                <w:szCs w:val="24"/>
                <w:lang w:val="en-US" w:eastAsia="zh-CN"/>
              </w:rPr>
            </w:pPr>
            <w:r>
              <w:rPr>
                <w:rFonts w:hint="default" w:ascii="Times New Roman" w:hAnsi="Times New Roman" w:cs="Times New Roman"/>
                <w:b/>
                <w:bCs w:val="0"/>
                <w:sz w:val="24"/>
                <w:szCs w:val="24"/>
                <w:lang w:val="en-US" w:eastAsia="zh-CN"/>
              </w:rPr>
              <w:t>4.</w:t>
            </w:r>
            <w:r>
              <w:rPr>
                <w:rFonts w:hint="eastAsia" w:ascii="Times New Roman" w:hAnsi="Times New Roman" w:cs="Times New Roman"/>
                <w:b/>
                <w:bCs w:val="0"/>
                <w:sz w:val="24"/>
                <w:szCs w:val="24"/>
                <w:lang w:val="en-US" w:eastAsia="zh-CN"/>
              </w:rPr>
              <w:t>8</w:t>
            </w:r>
            <w:r>
              <w:rPr>
                <w:rFonts w:hint="default" w:ascii="Times New Roman" w:hAnsi="Times New Roman" w:cs="Times New Roman"/>
                <w:b/>
                <w:bCs w:val="0"/>
                <w:sz w:val="24"/>
                <w:szCs w:val="24"/>
                <w:lang w:val="en-US" w:eastAsia="zh-CN"/>
              </w:rPr>
              <w:t>“三同时”验收及环保投资</w:t>
            </w:r>
          </w:p>
          <w:p>
            <w:pPr>
              <w:pStyle w:val="29"/>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Times New Roman" w:hAnsi="Times New Roman" w:cs="Times New Roman"/>
                <w:b w:val="0"/>
                <w:bCs/>
                <w:sz w:val="24"/>
                <w:szCs w:val="24"/>
                <w:lang w:val="en-US" w:eastAsia="zh-CN"/>
              </w:rPr>
            </w:pPr>
            <w:r>
              <w:rPr>
                <w:rFonts w:hint="default" w:ascii="Times New Roman" w:hAnsi="Times New Roman" w:cs="Times New Roman"/>
                <w:b w:val="0"/>
                <w:bCs/>
                <w:sz w:val="24"/>
                <w:szCs w:val="24"/>
                <w:lang w:val="en-US" w:eastAsia="zh-CN"/>
              </w:rPr>
              <w:t>本项目总投资</w:t>
            </w:r>
            <w:r>
              <w:rPr>
                <w:rFonts w:hint="eastAsia" w:cs="Times New Roman"/>
                <w:b w:val="0"/>
                <w:bCs/>
                <w:sz w:val="24"/>
                <w:szCs w:val="24"/>
                <w:lang w:val="en-US" w:eastAsia="zh-CN"/>
              </w:rPr>
              <w:t>9960.95</w:t>
            </w:r>
            <w:r>
              <w:rPr>
                <w:rFonts w:hint="default" w:ascii="Times New Roman" w:hAnsi="Times New Roman" w:cs="Times New Roman"/>
                <w:b w:val="0"/>
                <w:bCs/>
                <w:sz w:val="24"/>
                <w:szCs w:val="24"/>
                <w:lang w:val="en-US" w:eastAsia="zh-CN"/>
              </w:rPr>
              <w:t>万元，其中环保投资为</w:t>
            </w:r>
            <w:r>
              <w:rPr>
                <w:rFonts w:hint="eastAsia" w:cs="Times New Roman"/>
                <w:b w:val="0"/>
                <w:bCs/>
                <w:sz w:val="24"/>
                <w:szCs w:val="24"/>
                <w:lang w:val="en-US" w:eastAsia="zh-CN"/>
              </w:rPr>
              <w:t>85</w:t>
            </w:r>
            <w:r>
              <w:rPr>
                <w:rFonts w:hint="default" w:ascii="Times New Roman" w:hAnsi="Times New Roman" w:cs="Times New Roman"/>
                <w:b w:val="0"/>
                <w:bCs/>
                <w:sz w:val="24"/>
                <w:szCs w:val="24"/>
                <w:lang w:val="en-US" w:eastAsia="zh-CN"/>
              </w:rPr>
              <w:t>万元，“三同时”验收及环保投资情况见下表。</w:t>
            </w:r>
          </w:p>
          <w:p>
            <w:pPr>
              <w:pStyle w:val="26"/>
              <w:bidi w:val="0"/>
              <w:rPr>
                <w:rFonts w:hint="default"/>
                <w:lang w:val="en-US" w:eastAsia="zh-CN"/>
              </w:rPr>
            </w:pPr>
            <w:r>
              <w:rPr>
                <w:rFonts w:hint="default"/>
                <w:lang w:val="en-US" w:eastAsia="zh-CN"/>
              </w:rPr>
              <w:t>表 4.</w:t>
            </w:r>
            <w:r>
              <w:rPr>
                <w:rFonts w:hint="eastAsia"/>
                <w:lang w:val="en-US" w:eastAsia="zh-CN"/>
              </w:rPr>
              <w:t>8</w:t>
            </w:r>
            <w:r>
              <w:rPr>
                <w:rFonts w:hint="default"/>
                <w:lang w:val="en-US" w:eastAsia="zh-CN"/>
              </w:rPr>
              <w:t>-1“三同时”验收及环保投资情况表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130"/>
              <w:gridCol w:w="3227"/>
              <w:gridCol w:w="2738"/>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noWrap w:val="0"/>
                  <w:vAlign w:val="center"/>
                </w:tcPr>
                <w:p>
                  <w:pPr>
                    <w:pStyle w:val="22"/>
                    <w:bidi w:val="0"/>
                    <w:rPr>
                      <w:rFonts w:hint="default"/>
                      <w:lang w:val="en-US" w:eastAsia="zh-CN"/>
                    </w:rPr>
                  </w:pPr>
                  <w:r>
                    <w:rPr>
                      <w:rFonts w:hint="default"/>
                      <w:lang w:val="en-US" w:eastAsia="zh-CN"/>
                    </w:rPr>
                    <w:t>类别</w:t>
                  </w:r>
                </w:p>
              </w:tc>
              <w:tc>
                <w:tcPr>
                  <w:tcW w:w="634" w:type="pct"/>
                  <w:noWrap w:val="0"/>
                  <w:vAlign w:val="center"/>
                </w:tcPr>
                <w:p>
                  <w:pPr>
                    <w:pStyle w:val="22"/>
                    <w:bidi w:val="0"/>
                    <w:rPr>
                      <w:rFonts w:hint="default"/>
                      <w:lang w:val="en-US" w:eastAsia="zh-CN"/>
                    </w:rPr>
                  </w:pPr>
                  <w:r>
                    <w:rPr>
                      <w:rFonts w:hint="default"/>
                      <w:lang w:val="en-US" w:eastAsia="zh-CN"/>
                    </w:rPr>
                    <w:t>污染物</w:t>
                  </w:r>
                </w:p>
              </w:tc>
              <w:tc>
                <w:tcPr>
                  <w:tcW w:w="1809" w:type="pct"/>
                  <w:noWrap w:val="0"/>
                  <w:vAlign w:val="center"/>
                </w:tcPr>
                <w:p>
                  <w:pPr>
                    <w:pStyle w:val="22"/>
                    <w:bidi w:val="0"/>
                    <w:rPr>
                      <w:rFonts w:hint="default"/>
                      <w:lang w:val="en-US" w:eastAsia="zh-CN"/>
                    </w:rPr>
                  </w:pPr>
                  <w:r>
                    <w:rPr>
                      <w:rFonts w:hint="default"/>
                      <w:lang w:val="en-US" w:eastAsia="zh-CN"/>
                    </w:rPr>
                    <w:t>环保设施内容</w:t>
                  </w:r>
                </w:p>
              </w:tc>
              <w:tc>
                <w:tcPr>
                  <w:tcW w:w="1534" w:type="pct"/>
                  <w:noWrap w:val="0"/>
                  <w:vAlign w:val="center"/>
                </w:tcPr>
                <w:p>
                  <w:pPr>
                    <w:pStyle w:val="22"/>
                    <w:bidi w:val="0"/>
                    <w:rPr>
                      <w:rFonts w:hint="default"/>
                      <w:lang w:val="en-US" w:eastAsia="zh-CN"/>
                    </w:rPr>
                  </w:pPr>
                  <w:r>
                    <w:rPr>
                      <w:rFonts w:hint="default"/>
                      <w:lang w:val="en-US" w:eastAsia="zh-CN"/>
                    </w:rPr>
                    <w:t>验收标准</w:t>
                  </w:r>
                </w:p>
              </w:tc>
              <w:tc>
                <w:tcPr>
                  <w:tcW w:w="552" w:type="pct"/>
                  <w:noWrap w:val="0"/>
                  <w:vAlign w:val="center"/>
                </w:tcPr>
                <w:p>
                  <w:pPr>
                    <w:pStyle w:val="22"/>
                    <w:bidi w:val="0"/>
                    <w:rPr>
                      <w:rFonts w:hint="default"/>
                      <w:lang w:val="en-US" w:eastAsia="zh-CN"/>
                    </w:rPr>
                  </w:pPr>
                  <w:r>
                    <w:rPr>
                      <w:rFonts w:hint="default"/>
                      <w:lang w:val="en-US" w:eastAsia="zh-CN"/>
                    </w:rPr>
                    <w:t>环保投资/万元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restart"/>
                  <w:noWrap w:val="0"/>
                  <w:vAlign w:val="center"/>
                </w:tcPr>
                <w:p>
                  <w:pPr>
                    <w:pStyle w:val="22"/>
                    <w:bidi w:val="0"/>
                    <w:rPr>
                      <w:rFonts w:hint="default"/>
                      <w:lang w:val="en-US" w:eastAsia="zh-CN"/>
                    </w:rPr>
                  </w:pPr>
                  <w:r>
                    <w:rPr>
                      <w:rFonts w:hint="default"/>
                      <w:lang w:val="en-US" w:eastAsia="zh-CN"/>
                    </w:rPr>
                    <w:t>废气</w:t>
                  </w:r>
                </w:p>
              </w:tc>
              <w:tc>
                <w:tcPr>
                  <w:tcW w:w="634" w:type="pct"/>
                  <w:noWrap w:val="0"/>
                  <w:vAlign w:val="center"/>
                </w:tcPr>
                <w:p>
                  <w:pPr>
                    <w:pStyle w:val="22"/>
                    <w:bidi w:val="0"/>
                    <w:rPr>
                      <w:rFonts w:hint="default"/>
                      <w:lang w:val="en-US" w:eastAsia="zh-CN"/>
                    </w:rPr>
                  </w:pPr>
                  <w:r>
                    <w:rPr>
                      <w:rFonts w:hint="default"/>
                      <w:lang w:val="en-US" w:eastAsia="zh-CN"/>
                    </w:rPr>
                    <w:t>清洗工序废气</w:t>
                  </w:r>
                </w:p>
              </w:tc>
              <w:tc>
                <w:tcPr>
                  <w:tcW w:w="1809" w:type="pct"/>
                  <w:noWrap w:val="0"/>
                  <w:vAlign w:val="center"/>
                </w:tcPr>
                <w:p>
                  <w:pPr>
                    <w:pStyle w:val="22"/>
                    <w:bidi w:val="0"/>
                    <w:rPr>
                      <w:rFonts w:hint="default"/>
                      <w:lang w:val="en-US" w:eastAsia="zh-CN"/>
                    </w:rPr>
                  </w:pPr>
                  <w:r>
                    <w:rPr>
                      <w:rFonts w:hint="eastAsia" w:ascii="Times New Roman" w:hAnsi="Times New Roman" w:cs="Times New Roman"/>
                      <w:lang w:val="en-US" w:eastAsia="zh-CN"/>
                    </w:rPr>
                    <w:t>碱喷淋+干式过滤棉+二级蜂窝状活性炭</w:t>
                  </w:r>
                  <w:r>
                    <w:rPr>
                      <w:rFonts w:hint="default"/>
                      <w:lang w:val="en-US" w:eastAsia="zh-CN"/>
                    </w:rPr>
                    <w:t>+15m排气筒</w:t>
                  </w:r>
                </w:p>
              </w:tc>
              <w:tc>
                <w:tcPr>
                  <w:tcW w:w="1534" w:type="pct"/>
                  <w:noWrap w:val="0"/>
                  <w:vAlign w:val="center"/>
                </w:tcPr>
                <w:p>
                  <w:pPr>
                    <w:pStyle w:val="22"/>
                    <w:bidi w:val="0"/>
                    <w:rPr>
                      <w:rFonts w:hint="default"/>
                      <w:lang w:val="en-US" w:eastAsia="zh-CN"/>
                    </w:rPr>
                  </w:pPr>
                  <w:r>
                    <w:rPr>
                      <w:rFonts w:hint="default"/>
                      <w:lang w:val="en-US" w:eastAsia="zh-CN"/>
                    </w:rPr>
                    <w:t>《四川省固定污染源大气挥发性有机物排放标准》</w:t>
                  </w:r>
                </w:p>
              </w:tc>
              <w:tc>
                <w:tcPr>
                  <w:tcW w:w="552" w:type="pct"/>
                  <w:noWrap w:val="0"/>
                  <w:vAlign w:val="center"/>
                </w:tcPr>
                <w:p>
                  <w:pPr>
                    <w:pStyle w:val="22"/>
                    <w:bidi w:val="0"/>
                    <w:rPr>
                      <w:rFonts w:hint="default"/>
                      <w:lang w:val="en-US" w:eastAsia="zh-CN"/>
                    </w:rPr>
                  </w:pPr>
                  <w:r>
                    <w:rPr>
                      <w:rFonts w:hint="default"/>
                      <w:lang w:val="en-US" w:eastAsia="zh-CN"/>
                    </w:rPr>
                    <w:t>2</w:t>
                  </w: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pPr>
                    <w:pStyle w:val="22"/>
                    <w:bidi w:val="0"/>
                    <w:rPr>
                      <w:rFonts w:hint="default"/>
                      <w:lang w:val="en-US" w:eastAsia="zh-CN"/>
                    </w:rPr>
                  </w:pPr>
                </w:p>
              </w:tc>
              <w:tc>
                <w:tcPr>
                  <w:tcW w:w="634" w:type="pct"/>
                  <w:noWrap w:val="0"/>
                  <w:vAlign w:val="center"/>
                </w:tcPr>
                <w:p>
                  <w:pPr>
                    <w:pStyle w:val="22"/>
                    <w:bidi w:val="0"/>
                    <w:rPr>
                      <w:rFonts w:hint="default"/>
                      <w:lang w:val="en-US" w:eastAsia="zh-CN"/>
                    </w:rPr>
                  </w:pPr>
                  <w:r>
                    <w:rPr>
                      <w:rFonts w:hint="eastAsia"/>
                      <w:lang w:val="en-US" w:eastAsia="zh-CN"/>
                    </w:rPr>
                    <w:t>停车场汽车尾气</w:t>
                  </w:r>
                </w:p>
              </w:tc>
              <w:tc>
                <w:tcPr>
                  <w:tcW w:w="1809" w:type="pct"/>
                  <w:noWrap w:val="0"/>
                  <w:vAlign w:val="center"/>
                </w:tcPr>
                <w:p>
                  <w:pPr>
                    <w:pStyle w:val="22"/>
                    <w:bidi w:val="0"/>
                    <w:rPr>
                      <w:rFonts w:hint="default"/>
                      <w:lang w:val="en-US" w:eastAsia="zh-CN"/>
                    </w:rPr>
                  </w:pPr>
                  <w:r>
                    <w:rPr>
                      <w:rFonts w:hint="eastAsia"/>
                      <w:lang w:val="en-US" w:eastAsia="zh-CN"/>
                    </w:rPr>
                    <w:t>四周绿化</w:t>
                  </w:r>
                </w:p>
              </w:tc>
              <w:tc>
                <w:tcPr>
                  <w:tcW w:w="1534" w:type="pct"/>
                  <w:vMerge w:val="restart"/>
                  <w:noWrap w:val="0"/>
                  <w:vAlign w:val="center"/>
                </w:tcPr>
                <w:p>
                  <w:pPr>
                    <w:pStyle w:val="22"/>
                    <w:bidi w:val="0"/>
                    <w:rPr>
                      <w:rFonts w:hint="default"/>
                      <w:lang w:val="en-US" w:eastAsia="zh-CN"/>
                    </w:rPr>
                  </w:pPr>
                  <w:r>
                    <w:rPr>
                      <w:rFonts w:hint="default"/>
                      <w:lang w:val="en-US" w:eastAsia="zh-CN"/>
                    </w:rPr>
                    <w:t>《大气综合污染物排放标准》（GB16297-1996）</w:t>
                  </w:r>
                </w:p>
              </w:tc>
              <w:tc>
                <w:tcPr>
                  <w:tcW w:w="552" w:type="pct"/>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pPr>
                    <w:pStyle w:val="22"/>
                    <w:bidi w:val="0"/>
                    <w:rPr>
                      <w:rFonts w:hint="default"/>
                      <w:lang w:val="en-US" w:eastAsia="zh-CN"/>
                    </w:rPr>
                  </w:pPr>
                </w:p>
              </w:tc>
              <w:tc>
                <w:tcPr>
                  <w:tcW w:w="634" w:type="pct"/>
                  <w:noWrap w:val="0"/>
                  <w:vAlign w:val="center"/>
                </w:tcPr>
                <w:p>
                  <w:pPr>
                    <w:pStyle w:val="22"/>
                    <w:bidi w:val="0"/>
                    <w:rPr>
                      <w:rFonts w:hint="default"/>
                      <w:lang w:val="en-US" w:eastAsia="zh-CN"/>
                    </w:rPr>
                  </w:pPr>
                  <w:r>
                    <w:rPr>
                      <w:rFonts w:hint="eastAsia"/>
                      <w:lang w:val="en-US" w:eastAsia="zh-CN"/>
                    </w:rPr>
                    <w:t>备用发电机废气</w:t>
                  </w:r>
                </w:p>
              </w:tc>
              <w:tc>
                <w:tcPr>
                  <w:tcW w:w="1809" w:type="pct"/>
                  <w:noWrap w:val="0"/>
                  <w:vAlign w:val="center"/>
                </w:tcPr>
                <w:p>
                  <w:pPr>
                    <w:pStyle w:val="22"/>
                    <w:bidi w:val="0"/>
                    <w:rPr>
                      <w:rFonts w:hint="default"/>
                      <w:lang w:val="en-US" w:eastAsia="zh-CN"/>
                    </w:rPr>
                  </w:pPr>
                  <w:r>
                    <w:rPr>
                      <w:rFonts w:hint="eastAsia"/>
                      <w:lang w:val="en-US" w:eastAsia="zh-CN"/>
                    </w:rPr>
                    <w:t>经发电机自带废气净化装置处理后，引至机房顶排放，排放口朝向绿化带，避开人行通道</w:t>
                  </w:r>
                </w:p>
              </w:tc>
              <w:tc>
                <w:tcPr>
                  <w:tcW w:w="1534" w:type="pct"/>
                  <w:vMerge w:val="continue"/>
                  <w:noWrap w:val="0"/>
                  <w:vAlign w:val="center"/>
                </w:tcPr>
                <w:p>
                  <w:pPr>
                    <w:pStyle w:val="22"/>
                    <w:bidi w:val="0"/>
                    <w:rPr>
                      <w:rFonts w:hint="default"/>
                      <w:lang w:val="en-US" w:eastAsia="zh-CN"/>
                    </w:rPr>
                  </w:pPr>
                </w:p>
              </w:tc>
              <w:tc>
                <w:tcPr>
                  <w:tcW w:w="552" w:type="pct"/>
                  <w:noWrap w:val="0"/>
                  <w:vAlign w:val="center"/>
                </w:tcPr>
                <w:p>
                  <w:pPr>
                    <w:pStyle w:val="22"/>
                    <w:bidi w:val="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pPr>
                    <w:pStyle w:val="22"/>
                    <w:bidi w:val="0"/>
                    <w:rPr>
                      <w:rFonts w:hint="default"/>
                      <w:lang w:val="en-US" w:eastAsia="zh-CN"/>
                    </w:rPr>
                  </w:pPr>
                </w:p>
              </w:tc>
              <w:tc>
                <w:tcPr>
                  <w:tcW w:w="634" w:type="pct"/>
                  <w:noWrap w:val="0"/>
                  <w:vAlign w:val="center"/>
                </w:tcPr>
                <w:p>
                  <w:pPr>
                    <w:pStyle w:val="22"/>
                    <w:bidi w:val="0"/>
                    <w:rPr>
                      <w:rFonts w:hint="default"/>
                      <w:lang w:val="en-US" w:eastAsia="zh-CN"/>
                    </w:rPr>
                  </w:pPr>
                  <w:r>
                    <w:rPr>
                      <w:rFonts w:hint="eastAsia"/>
                      <w:lang w:val="en-US" w:eastAsia="zh-CN"/>
                    </w:rPr>
                    <w:t>停车场食堂油烟</w:t>
                  </w:r>
                </w:p>
              </w:tc>
              <w:tc>
                <w:tcPr>
                  <w:tcW w:w="1809" w:type="pct"/>
                  <w:noWrap w:val="0"/>
                  <w:vAlign w:val="center"/>
                </w:tcPr>
                <w:p>
                  <w:pPr>
                    <w:pStyle w:val="22"/>
                    <w:bidi w:val="0"/>
                    <w:rPr>
                      <w:rFonts w:hint="default"/>
                      <w:lang w:val="en-US" w:eastAsia="zh-CN"/>
                    </w:rPr>
                  </w:pPr>
                  <w:r>
                    <w:rPr>
                      <w:rFonts w:hint="eastAsia"/>
                      <w:lang w:val="en-US" w:eastAsia="zh-CN"/>
                    </w:rPr>
                    <w:t>经油烟净化器收集处理后引至屋顶排放</w:t>
                  </w:r>
                </w:p>
              </w:tc>
              <w:tc>
                <w:tcPr>
                  <w:tcW w:w="1534" w:type="pct"/>
                  <w:vMerge w:val="restart"/>
                  <w:noWrap w:val="0"/>
                  <w:vAlign w:val="center"/>
                </w:tcPr>
                <w:p>
                  <w:pPr>
                    <w:pStyle w:val="22"/>
                    <w:bidi w:val="0"/>
                    <w:rPr>
                      <w:rFonts w:hint="default"/>
                      <w:lang w:val="en-US" w:eastAsia="zh-CN"/>
                    </w:rPr>
                  </w:pPr>
                  <w:r>
                    <w:rPr>
                      <w:rFonts w:hint="default"/>
                      <w:lang w:val="en-US" w:eastAsia="zh-CN"/>
                    </w:rPr>
                    <w:t>《饮食业油烟排放标准(试行)》</w:t>
                  </w:r>
                </w:p>
              </w:tc>
              <w:tc>
                <w:tcPr>
                  <w:tcW w:w="552" w:type="pct"/>
                  <w:noWrap w:val="0"/>
                  <w:vAlign w:val="center"/>
                </w:tcPr>
                <w:p>
                  <w:pPr>
                    <w:pStyle w:val="22"/>
                    <w:bidi w:val="0"/>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pPr>
                    <w:pStyle w:val="22"/>
                    <w:bidi w:val="0"/>
                    <w:rPr>
                      <w:rFonts w:hint="default"/>
                      <w:lang w:val="en-US" w:eastAsia="zh-CN"/>
                    </w:rPr>
                  </w:pPr>
                </w:p>
              </w:tc>
              <w:tc>
                <w:tcPr>
                  <w:tcW w:w="634" w:type="pct"/>
                  <w:noWrap w:val="0"/>
                  <w:vAlign w:val="center"/>
                </w:tcPr>
                <w:p>
                  <w:pPr>
                    <w:pStyle w:val="22"/>
                    <w:bidi w:val="0"/>
                    <w:ind w:firstLine="0" w:firstLineChars="0"/>
                    <w:rPr>
                      <w:rFonts w:hint="default"/>
                      <w:lang w:val="en-US" w:eastAsia="zh-CN"/>
                    </w:rPr>
                  </w:pPr>
                  <w:r>
                    <w:rPr>
                      <w:rFonts w:hint="eastAsia"/>
                      <w:lang w:val="en-US" w:eastAsia="zh-CN"/>
                    </w:rPr>
                    <w:t>消防站食堂油烟</w:t>
                  </w:r>
                </w:p>
              </w:tc>
              <w:tc>
                <w:tcPr>
                  <w:tcW w:w="1809" w:type="pct"/>
                  <w:noWrap w:val="0"/>
                  <w:vAlign w:val="center"/>
                </w:tcPr>
                <w:p>
                  <w:pPr>
                    <w:pStyle w:val="22"/>
                    <w:bidi w:val="0"/>
                    <w:ind w:firstLine="0" w:firstLineChars="0"/>
                    <w:rPr>
                      <w:rFonts w:hint="default"/>
                      <w:lang w:val="en-US" w:eastAsia="zh-CN"/>
                    </w:rPr>
                  </w:pPr>
                  <w:r>
                    <w:rPr>
                      <w:rFonts w:hint="eastAsia"/>
                      <w:lang w:val="en-US" w:eastAsia="zh-CN"/>
                    </w:rPr>
                    <w:t>经油烟净化器收集处理后引至屋顶排放</w:t>
                  </w:r>
                </w:p>
              </w:tc>
              <w:tc>
                <w:tcPr>
                  <w:tcW w:w="1534" w:type="pct"/>
                  <w:vMerge w:val="continue"/>
                  <w:noWrap w:val="0"/>
                  <w:vAlign w:val="center"/>
                </w:tcPr>
                <w:p>
                  <w:pPr>
                    <w:pStyle w:val="22"/>
                    <w:bidi w:val="0"/>
                    <w:rPr>
                      <w:rFonts w:hint="default"/>
                      <w:lang w:val="en-US" w:eastAsia="zh-CN"/>
                    </w:rPr>
                  </w:pPr>
                </w:p>
              </w:tc>
              <w:tc>
                <w:tcPr>
                  <w:tcW w:w="552" w:type="pct"/>
                  <w:noWrap w:val="0"/>
                  <w:vAlign w:val="center"/>
                </w:tcPr>
                <w:p>
                  <w:pPr>
                    <w:pStyle w:val="22"/>
                    <w:bidi w:val="0"/>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pPr>
                    <w:pStyle w:val="22"/>
                    <w:bidi w:val="0"/>
                    <w:rPr>
                      <w:rFonts w:hint="default"/>
                      <w:lang w:val="en-US" w:eastAsia="zh-CN"/>
                    </w:rPr>
                  </w:pPr>
                </w:p>
              </w:tc>
              <w:tc>
                <w:tcPr>
                  <w:tcW w:w="634" w:type="pct"/>
                  <w:noWrap w:val="0"/>
                  <w:vAlign w:val="center"/>
                </w:tcPr>
                <w:p>
                  <w:pPr>
                    <w:pStyle w:val="22"/>
                    <w:bidi w:val="0"/>
                    <w:ind w:firstLine="0" w:firstLineChars="0"/>
                    <w:rPr>
                      <w:rFonts w:hint="eastAsia"/>
                      <w:lang w:val="en-US" w:eastAsia="zh-CN"/>
                    </w:rPr>
                  </w:pPr>
                  <w:r>
                    <w:rPr>
                      <w:rFonts w:hint="eastAsia"/>
                      <w:lang w:val="en-US" w:eastAsia="zh-CN"/>
                    </w:rPr>
                    <w:t>污水处理站废气</w:t>
                  </w:r>
                </w:p>
              </w:tc>
              <w:tc>
                <w:tcPr>
                  <w:tcW w:w="1809" w:type="pct"/>
                  <w:noWrap w:val="0"/>
                  <w:vAlign w:val="center"/>
                </w:tcPr>
                <w:p>
                  <w:pPr>
                    <w:pStyle w:val="22"/>
                    <w:bidi w:val="0"/>
                    <w:ind w:firstLine="0" w:firstLineChars="0"/>
                    <w:rPr>
                      <w:rFonts w:hint="eastAsia"/>
                      <w:lang w:val="en-US" w:eastAsia="zh-CN"/>
                    </w:rPr>
                  </w:pPr>
                  <w:r>
                    <w:rPr>
                      <w:rFonts w:hint="eastAsia"/>
                      <w:lang w:val="en-US" w:eastAsia="zh-CN"/>
                    </w:rPr>
                    <w:t>设置一套活性炭吸附装置，将污水处理站废气引入活性炭吸附装置处理后，可无组织排放，对周围环境影响较小。</w:t>
                  </w:r>
                </w:p>
              </w:tc>
              <w:tc>
                <w:tcPr>
                  <w:tcW w:w="1534" w:type="pct"/>
                  <w:noWrap w:val="0"/>
                  <w:vAlign w:val="center"/>
                </w:tcPr>
                <w:p>
                  <w:pPr>
                    <w:pStyle w:val="22"/>
                    <w:bidi w:val="0"/>
                    <w:rPr>
                      <w:rFonts w:hint="default"/>
                      <w:lang w:val="en-US" w:eastAsia="zh-CN"/>
                    </w:rPr>
                  </w:pPr>
                  <w:r>
                    <w:rPr>
                      <w:rFonts w:hint="default"/>
                      <w:lang w:val="en-US" w:eastAsia="zh-CN"/>
                    </w:rPr>
                    <w:t>《大气综合污染物排放标准》（GB16297-1996）</w:t>
                  </w:r>
                </w:p>
              </w:tc>
              <w:tc>
                <w:tcPr>
                  <w:tcW w:w="552" w:type="pct"/>
                  <w:noWrap w:val="0"/>
                  <w:vAlign w:val="center"/>
                </w:tcPr>
                <w:p>
                  <w:pPr>
                    <w:pStyle w:val="22"/>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pPr>
                    <w:pStyle w:val="22"/>
                    <w:bidi w:val="0"/>
                    <w:rPr>
                      <w:rFonts w:hint="default"/>
                      <w:lang w:val="en-US" w:eastAsia="zh-CN"/>
                    </w:rPr>
                  </w:pPr>
                </w:p>
              </w:tc>
              <w:tc>
                <w:tcPr>
                  <w:tcW w:w="634" w:type="pct"/>
                  <w:noWrap w:val="0"/>
                  <w:vAlign w:val="center"/>
                </w:tcPr>
                <w:p>
                  <w:pPr>
                    <w:pStyle w:val="22"/>
                    <w:bidi w:val="0"/>
                    <w:ind w:firstLine="0" w:firstLineChars="0"/>
                    <w:rPr>
                      <w:rFonts w:hint="eastAsia"/>
                      <w:lang w:val="en-US" w:eastAsia="zh-CN"/>
                    </w:rPr>
                  </w:pPr>
                  <w:r>
                    <w:rPr>
                      <w:rFonts w:hint="eastAsia"/>
                      <w:lang w:val="en-US" w:eastAsia="zh-CN"/>
                    </w:rPr>
                    <w:t>危废暂存间废气</w:t>
                  </w:r>
                </w:p>
              </w:tc>
              <w:tc>
                <w:tcPr>
                  <w:tcW w:w="1809" w:type="pct"/>
                  <w:noWrap w:val="0"/>
                  <w:vAlign w:val="center"/>
                </w:tcPr>
                <w:p>
                  <w:pPr>
                    <w:pStyle w:val="22"/>
                    <w:bidi w:val="0"/>
                    <w:ind w:firstLine="0" w:firstLineChars="0"/>
                    <w:rPr>
                      <w:rFonts w:hint="eastAsia"/>
                      <w:lang w:val="en-US" w:eastAsia="zh-CN"/>
                    </w:rPr>
                  </w:pPr>
                  <w:r>
                    <w:rPr>
                      <w:rFonts w:hint="eastAsia"/>
                      <w:lang w:val="en-US" w:eastAsia="zh-CN"/>
                    </w:rPr>
                    <w:t>设置负压吸风设施，将废气引至废气处理系统（碱喷淋+干式过滤棉+二级蜂窝状活性炭）处理后通过排气筒（DA001）排放</w:t>
                  </w:r>
                </w:p>
              </w:tc>
              <w:tc>
                <w:tcPr>
                  <w:tcW w:w="1534" w:type="pct"/>
                  <w:noWrap w:val="0"/>
                  <w:vAlign w:val="center"/>
                </w:tcPr>
                <w:p>
                  <w:pPr>
                    <w:pStyle w:val="22"/>
                    <w:bidi w:val="0"/>
                    <w:rPr>
                      <w:rFonts w:hint="default"/>
                      <w:lang w:val="en-US" w:eastAsia="zh-CN"/>
                    </w:rPr>
                  </w:pPr>
                  <w:r>
                    <w:rPr>
                      <w:rFonts w:hint="default"/>
                      <w:lang w:val="en-US" w:eastAsia="zh-CN"/>
                    </w:rPr>
                    <w:t>《大气综合污染物排放标准》（GB16297-1996）</w:t>
                  </w:r>
                  <w:r>
                    <w:rPr>
                      <w:rFonts w:hint="eastAsia"/>
                      <w:lang w:val="en-US" w:eastAsia="zh-CN"/>
                    </w:rPr>
                    <w:t>、</w:t>
                  </w:r>
                  <w:r>
                    <w:rPr>
                      <w:rFonts w:hint="default"/>
                      <w:lang w:val="en-US" w:eastAsia="zh-CN"/>
                    </w:rPr>
                    <w:t>《四川省固定污染源大气挥发性有机物排放标准》</w:t>
                  </w:r>
                </w:p>
              </w:tc>
              <w:tc>
                <w:tcPr>
                  <w:tcW w:w="552" w:type="pct"/>
                  <w:noWrap w:val="0"/>
                  <w:vAlign w:val="center"/>
                </w:tcPr>
                <w:p>
                  <w:pPr>
                    <w:pStyle w:val="22"/>
                    <w:bidi w:val="0"/>
                    <w:rPr>
                      <w:rFonts w:hint="default"/>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restart"/>
                  <w:noWrap w:val="0"/>
                  <w:vAlign w:val="center"/>
                </w:tcPr>
                <w:p>
                  <w:pPr>
                    <w:pStyle w:val="22"/>
                    <w:bidi w:val="0"/>
                    <w:rPr>
                      <w:rFonts w:hint="default"/>
                      <w:lang w:val="en-US" w:eastAsia="zh-CN"/>
                    </w:rPr>
                  </w:pPr>
                  <w:r>
                    <w:rPr>
                      <w:rFonts w:hint="default"/>
                      <w:lang w:val="en-US" w:eastAsia="zh-CN"/>
                    </w:rPr>
                    <w:t>废水</w:t>
                  </w:r>
                </w:p>
              </w:tc>
              <w:tc>
                <w:tcPr>
                  <w:tcW w:w="634" w:type="pct"/>
                  <w:noWrap w:val="0"/>
                  <w:vAlign w:val="center"/>
                </w:tcPr>
                <w:p>
                  <w:pPr>
                    <w:pStyle w:val="22"/>
                    <w:bidi w:val="0"/>
                    <w:rPr>
                      <w:rFonts w:hint="default"/>
                      <w:lang w:val="en-US" w:eastAsia="zh-CN"/>
                    </w:rPr>
                  </w:pPr>
                  <w:r>
                    <w:rPr>
                      <w:rFonts w:hint="default"/>
                      <w:lang w:val="en-US" w:eastAsia="zh-CN"/>
                    </w:rPr>
                    <w:t>生产废水</w:t>
                  </w:r>
                </w:p>
              </w:tc>
              <w:tc>
                <w:tcPr>
                  <w:tcW w:w="1809" w:type="pct"/>
                  <w:noWrap w:val="0"/>
                  <w:vAlign w:val="center"/>
                </w:tcPr>
                <w:p>
                  <w:pPr>
                    <w:pStyle w:val="22"/>
                    <w:bidi w:val="0"/>
                    <w:rPr>
                      <w:rFonts w:hint="default"/>
                      <w:lang w:val="en-US" w:eastAsia="zh-CN"/>
                    </w:rPr>
                  </w:pPr>
                  <w:r>
                    <w:rPr>
                      <w:rFonts w:hint="eastAsia"/>
                      <w:lang w:val="en-US" w:eastAsia="zh-CN"/>
                    </w:rPr>
                    <w:t>停车场清洗废水经一体化污水处理设施（处理工艺：格栅-气浮-厌氧池-缺氧池-好氧池-MBR膜）处理达标后排入园区管网</w:t>
                  </w:r>
                </w:p>
              </w:tc>
              <w:tc>
                <w:tcPr>
                  <w:tcW w:w="1534" w:type="pct"/>
                  <w:vMerge w:val="restart"/>
                  <w:noWrap w:val="0"/>
                  <w:vAlign w:val="center"/>
                </w:tcPr>
                <w:p>
                  <w:pPr>
                    <w:pStyle w:val="22"/>
                    <w:bidi w:val="0"/>
                    <w:rPr>
                      <w:rFonts w:hint="default"/>
                      <w:lang w:val="en-US" w:eastAsia="zh-CN"/>
                    </w:rPr>
                  </w:pPr>
                  <w:r>
                    <w:rPr>
                      <w:rFonts w:hint="default"/>
                      <w:lang w:val="en-US" w:eastAsia="zh-CN"/>
                    </w:rPr>
                    <w:t>《污水综合排放标准》三级标准</w:t>
                  </w:r>
                </w:p>
              </w:tc>
              <w:tc>
                <w:tcPr>
                  <w:tcW w:w="552" w:type="pct"/>
                  <w:noWrap w:val="0"/>
                  <w:vAlign w:val="center"/>
                </w:tcPr>
                <w:p>
                  <w:pPr>
                    <w:pStyle w:val="22"/>
                    <w:bidi w:val="0"/>
                    <w:rPr>
                      <w:rFonts w:hint="default"/>
                      <w:lang w:val="en-US" w:eastAsia="zh-CN"/>
                    </w:rPr>
                  </w:pPr>
                  <w:r>
                    <w:rPr>
                      <w:rFonts w:hint="default"/>
                      <w:lang w:val="en-US" w:eastAsia="zh-CN"/>
                    </w:rPr>
                    <w:t>4</w:t>
                  </w: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pPr>
                    <w:pStyle w:val="22"/>
                    <w:bidi w:val="0"/>
                    <w:rPr>
                      <w:rFonts w:hint="default"/>
                      <w:lang w:val="en-US" w:eastAsia="zh-CN"/>
                    </w:rPr>
                  </w:pPr>
                </w:p>
              </w:tc>
              <w:tc>
                <w:tcPr>
                  <w:tcW w:w="634" w:type="pct"/>
                  <w:noWrap w:val="0"/>
                  <w:vAlign w:val="center"/>
                </w:tcPr>
                <w:p>
                  <w:pPr>
                    <w:pStyle w:val="22"/>
                    <w:bidi w:val="0"/>
                    <w:rPr>
                      <w:rFonts w:hint="default"/>
                      <w:lang w:val="en-US" w:eastAsia="zh-CN"/>
                    </w:rPr>
                  </w:pPr>
                  <w:r>
                    <w:rPr>
                      <w:rFonts w:hint="default"/>
                      <w:lang w:val="en-US" w:eastAsia="zh-CN"/>
                    </w:rPr>
                    <w:t>生活污水</w:t>
                  </w:r>
                </w:p>
              </w:tc>
              <w:tc>
                <w:tcPr>
                  <w:tcW w:w="1809" w:type="pct"/>
                  <w:noWrap w:val="0"/>
                  <w:vAlign w:val="center"/>
                </w:tcPr>
                <w:p>
                  <w:pPr>
                    <w:pStyle w:val="22"/>
                    <w:bidi w:val="0"/>
                    <w:rPr>
                      <w:rFonts w:hint="default"/>
                      <w:lang w:val="en-US" w:eastAsia="zh-CN"/>
                    </w:rPr>
                  </w:pPr>
                  <w:r>
                    <w:rPr>
                      <w:rFonts w:hint="default"/>
                      <w:lang w:val="en-US" w:eastAsia="zh-CN"/>
                    </w:rPr>
                    <w:t>预处理池</w:t>
                  </w:r>
                </w:p>
              </w:tc>
              <w:tc>
                <w:tcPr>
                  <w:tcW w:w="1534" w:type="pct"/>
                  <w:vMerge w:val="continue"/>
                  <w:noWrap w:val="0"/>
                  <w:vAlign w:val="center"/>
                </w:tcPr>
                <w:p>
                  <w:pPr>
                    <w:pStyle w:val="22"/>
                    <w:bidi w:val="0"/>
                    <w:rPr>
                      <w:rFonts w:hint="default"/>
                      <w:lang w:val="en-US" w:eastAsia="zh-CN"/>
                    </w:rPr>
                  </w:pPr>
                </w:p>
              </w:tc>
              <w:tc>
                <w:tcPr>
                  <w:tcW w:w="552" w:type="pct"/>
                  <w:noWrap w:val="0"/>
                  <w:vAlign w:val="center"/>
                </w:tcPr>
                <w:p>
                  <w:pPr>
                    <w:pStyle w:val="22"/>
                    <w:bidi w:val="0"/>
                    <w:rPr>
                      <w:rFonts w:hint="default"/>
                      <w:lang w:val="en-US" w:eastAsia="zh-CN"/>
                    </w:rPr>
                  </w:pPr>
                  <w:r>
                    <w:rPr>
                      <w:rFonts w:hint="default"/>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noWrap w:val="0"/>
                  <w:vAlign w:val="center"/>
                </w:tcPr>
                <w:p>
                  <w:pPr>
                    <w:pStyle w:val="22"/>
                    <w:bidi w:val="0"/>
                    <w:rPr>
                      <w:rFonts w:hint="default"/>
                      <w:lang w:val="en-US" w:eastAsia="zh-CN"/>
                    </w:rPr>
                  </w:pPr>
                  <w:r>
                    <w:rPr>
                      <w:rFonts w:hint="default"/>
                      <w:lang w:val="en-US" w:eastAsia="zh-CN"/>
                    </w:rPr>
                    <w:t>噪声</w:t>
                  </w:r>
                </w:p>
              </w:tc>
              <w:tc>
                <w:tcPr>
                  <w:tcW w:w="634" w:type="pct"/>
                  <w:noWrap w:val="0"/>
                  <w:vAlign w:val="center"/>
                </w:tcPr>
                <w:p>
                  <w:pPr>
                    <w:pStyle w:val="22"/>
                    <w:bidi w:val="0"/>
                    <w:rPr>
                      <w:rFonts w:hint="default"/>
                      <w:lang w:val="en-US" w:eastAsia="zh-CN"/>
                    </w:rPr>
                  </w:pPr>
                  <w:r>
                    <w:rPr>
                      <w:rFonts w:hint="default"/>
                      <w:lang w:val="en-US" w:eastAsia="zh-CN"/>
                    </w:rPr>
                    <w:t>生产设备噪声</w:t>
                  </w:r>
                </w:p>
              </w:tc>
              <w:tc>
                <w:tcPr>
                  <w:tcW w:w="1809" w:type="pct"/>
                  <w:noWrap w:val="0"/>
                  <w:vAlign w:val="center"/>
                </w:tcPr>
                <w:p>
                  <w:pPr>
                    <w:pStyle w:val="22"/>
                    <w:bidi w:val="0"/>
                    <w:rPr>
                      <w:rFonts w:hint="default"/>
                      <w:lang w:val="en-US" w:eastAsia="zh-CN"/>
                    </w:rPr>
                  </w:pPr>
                  <w:r>
                    <w:rPr>
                      <w:rFonts w:hint="default"/>
                      <w:lang w:val="en-US" w:eastAsia="zh-CN"/>
                    </w:rPr>
                    <w:t>消声、减振、隔声等措施</w:t>
                  </w:r>
                </w:p>
                <w:p>
                  <w:pPr>
                    <w:pStyle w:val="22"/>
                    <w:bidi w:val="0"/>
                    <w:rPr>
                      <w:rFonts w:hint="default"/>
                      <w:lang w:val="en-US" w:eastAsia="zh-CN"/>
                    </w:rPr>
                  </w:pPr>
                </w:p>
              </w:tc>
              <w:tc>
                <w:tcPr>
                  <w:tcW w:w="1534" w:type="pct"/>
                  <w:noWrap w:val="0"/>
                  <w:vAlign w:val="center"/>
                </w:tcPr>
                <w:p>
                  <w:pPr>
                    <w:pStyle w:val="22"/>
                    <w:bidi w:val="0"/>
                    <w:rPr>
                      <w:rFonts w:hint="default"/>
                      <w:lang w:val="en-US" w:eastAsia="zh-CN"/>
                    </w:rPr>
                  </w:pPr>
                  <w:r>
                    <w:rPr>
                      <w:rFonts w:hint="default"/>
                      <w:lang w:val="en-US" w:eastAsia="zh-CN"/>
                    </w:rPr>
                    <w:t>厂界噪声满足《工业企业厂界环境噪声排放标准》(GB12348-2008)3类标准</w:t>
                  </w:r>
                </w:p>
              </w:tc>
              <w:tc>
                <w:tcPr>
                  <w:tcW w:w="552" w:type="pct"/>
                  <w:noWrap w:val="0"/>
                  <w:vAlign w:val="center"/>
                </w:tcPr>
                <w:p>
                  <w:pPr>
                    <w:pStyle w:val="22"/>
                    <w:bidi w:val="0"/>
                    <w:rPr>
                      <w:rFonts w:hint="default"/>
                      <w:lang w:val="en-US" w:eastAsia="zh-CN"/>
                    </w:rPr>
                  </w:pPr>
                  <w:r>
                    <w:rPr>
                      <w:rFonts w:hint="default"/>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restart"/>
                  <w:noWrap w:val="0"/>
                  <w:vAlign w:val="center"/>
                </w:tcPr>
                <w:p>
                  <w:pPr>
                    <w:pStyle w:val="22"/>
                    <w:bidi w:val="0"/>
                    <w:rPr>
                      <w:rFonts w:hint="default"/>
                      <w:lang w:val="en-US" w:eastAsia="zh-CN"/>
                    </w:rPr>
                  </w:pPr>
                  <w:r>
                    <w:rPr>
                      <w:rFonts w:hint="default"/>
                      <w:lang w:val="en-US" w:eastAsia="zh-CN"/>
                    </w:rPr>
                    <w:t>固废</w:t>
                  </w:r>
                </w:p>
              </w:tc>
              <w:tc>
                <w:tcPr>
                  <w:tcW w:w="634" w:type="pct"/>
                  <w:noWrap w:val="0"/>
                  <w:vAlign w:val="center"/>
                </w:tcPr>
                <w:p>
                  <w:pPr>
                    <w:pStyle w:val="22"/>
                    <w:bidi w:val="0"/>
                    <w:rPr>
                      <w:rFonts w:hint="default"/>
                      <w:lang w:val="en-US" w:eastAsia="zh-CN"/>
                    </w:rPr>
                  </w:pPr>
                  <w:r>
                    <w:rPr>
                      <w:rFonts w:hint="default"/>
                      <w:lang w:val="en-US" w:eastAsia="zh-CN"/>
                    </w:rPr>
                    <w:t>生活垃圾</w:t>
                  </w:r>
                </w:p>
              </w:tc>
              <w:tc>
                <w:tcPr>
                  <w:tcW w:w="1809" w:type="pct"/>
                  <w:noWrap w:val="0"/>
                  <w:vAlign w:val="center"/>
                </w:tcPr>
                <w:p>
                  <w:pPr>
                    <w:pStyle w:val="22"/>
                    <w:bidi w:val="0"/>
                    <w:rPr>
                      <w:rFonts w:hint="default"/>
                      <w:lang w:val="en-US" w:eastAsia="zh-CN"/>
                    </w:rPr>
                  </w:pPr>
                  <w:r>
                    <w:rPr>
                      <w:rFonts w:hint="default"/>
                      <w:lang w:val="en-US" w:eastAsia="zh-CN"/>
                    </w:rPr>
                    <w:t>环卫部门清运</w:t>
                  </w:r>
                </w:p>
                <w:p>
                  <w:pPr>
                    <w:pStyle w:val="22"/>
                    <w:bidi w:val="0"/>
                    <w:rPr>
                      <w:rFonts w:hint="default"/>
                      <w:lang w:val="en-US" w:eastAsia="zh-CN"/>
                    </w:rPr>
                  </w:pPr>
                  <w:r>
                    <w:rPr>
                      <w:rFonts w:hint="default"/>
                      <w:lang w:val="en-US" w:eastAsia="zh-CN"/>
                    </w:rPr>
                    <w:t>经分类收集</w:t>
                  </w:r>
                </w:p>
              </w:tc>
              <w:tc>
                <w:tcPr>
                  <w:tcW w:w="1534" w:type="pct"/>
                  <w:noWrap w:val="0"/>
                  <w:vAlign w:val="center"/>
                </w:tcPr>
                <w:p>
                  <w:pPr>
                    <w:pStyle w:val="22"/>
                    <w:bidi w:val="0"/>
                    <w:rPr>
                      <w:rFonts w:hint="default"/>
                      <w:lang w:val="en-US" w:eastAsia="zh-CN"/>
                    </w:rPr>
                  </w:pPr>
                  <w:r>
                    <w:rPr>
                      <w:rFonts w:hint="default"/>
                      <w:lang w:eastAsia="zh-CN"/>
                    </w:rPr>
                    <w:t>《一般工业固体废物贮存和填埋污染控制标准》（GB 18599-2020）中要求；</w:t>
                  </w:r>
                </w:p>
              </w:tc>
              <w:tc>
                <w:tcPr>
                  <w:tcW w:w="552" w:type="pct"/>
                  <w:noWrap w:val="0"/>
                  <w:vAlign w:val="center"/>
                </w:tcPr>
                <w:p>
                  <w:pPr>
                    <w:pStyle w:val="22"/>
                    <w:bidi w:val="0"/>
                    <w:rPr>
                      <w:rFonts w:hint="default"/>
                      <w:lang w:val="en-US" w:eastAsia="zh-CN"/>
                    </w:rPr>
                  </w:pPr>
                  <w:r>
                    <w:rPr>
                      <w:rFonts w:hint="default"/>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vMerge w:val="continue"/>
                  <w:noWrap w:val="0"/>
                  <w:vAlign w:val="center"/>
                </w:tcPr>
                <w:p>
                  <w:pPr>
                    <w:pStyle w:val="22"/>
                    <w:bidi w:val="0"/>
                    <w:rPr>
                      <w:rFonts w:hint="default"/>
                      <w:lang w:val="en-US" w:eastAsia="zh-CN"/>
                    </w:rPr>
                  </w:pPr>
                </w:p>
              </w:tc>
              <w:tc>
                <w:tcPr>
                  <w:tcW w:w="634" w:type="pct"/>
                  <w:noWrap w:val="0"/>
                  <w:vAlign w:val="center"/>
                </w:tcPr>
                <w:p>
                  <w:pPr>
                    <w:pStyle w:val="22"/>
                    <w:bidi w:val="0"/>
                    <w:rPr>
                      <w:rFonts w:hint="default"/>
                      <w:lang w:val="en-US" w:eastAsia="zh-CN"/>
                    </w:rPr>
                  </w:pPr>
                  <w:r>
                    <w:rPr>
                      <w:rFonts w:hint="default"/>
                      <w:lang w:val="en-US" w:eastAsia="zh-CN"/>
                    </w:rPr>
                    <w:t>危险废物</w:t>
                  </w:r>
                </w:p>
              </w:tc>
              <w:tc>
                <w:tcPr>
                  <w:tcW w:w="1809" w:type="pct"/>
                  <w:noWrap w:val="0"/>
                  <w:vAlign w:val="center"/>
                </w:tcPr>
                <w:p>
                  <w:pPr>
                    <w:pStyle w:val="22"/>
                    <w:bidi w:val="0"/>
                    <w:rPr>
                      <w:rFonts w:hint="default"/>
                      <w:lang w:val="en-US" w:eastAsia="zh-CN"/>
                    </w:rPr>
                  </w:pPr>
                  <w:r>
                    <w:rPr>
                      <w:rFonts w:hint="eastAsia"/>
                      <w:lang w:val="en-US" w:eastAsia="zh-CN"/>
                    </w:rPr>
                    <w:t>分类收集，</w:t>
                  </w:r>
                  <w:r>
                    <w:rPr>
                      <w:rFonts w:hint="default"/>
                      <w:lang w:val="en-US" w:eastAsia="zh-CN"/>
                    </w:rPr>
                    <w:t>暂存于危废暂存间，定期交由有资质单位处理</w:t>
                  </w:r>
                </w:p>
              </w:tc>
              <w:tc>
                <w:tcPr>
                  <w:tcW w:w="1534" w:type="pct"/>
                  <w:noWrap w:val="0"/>
                  <w:vAlign w:val="center"/>
                </w:tcPr>
                <w:p>
                  <w:pPr>
                    <w:pStyle w:val="22"/>
                    <w:bidi w:val="0"/>
                    <w:rPr>
                      <w:rFonts w:hint="default"/>
                      <w:lang w:val="en-US" w:eastAsia="zh-CN"/>
                    </w:rPr>
                  </w:pPr>
                  <w:r>
                    <w:rPr>
                      <w:rFonts w:hint="default"/>
                      <w:lang w:eastAsia="zh-CN"/>
                    </w:rPr>
                    <w:t>危险废物处置执行《危险废物贮存污染控制标准》（GB18597-20</w:t>
                  </w:r>
                  <w:r>
                    <w:rPr>
                      <w:rFonts w:hint="default"/>
                      <w:lang w:val="en-US" w:eastAsia="zh-CN"/>
                    </w:rPr>
                    <w:t>23</w:t>
                  </w:r>
                  <w:r>
                    <w:rPr>
                      <w:rFonts w:hint="default"/>
                      <w:lang w:eastAsia="zh-CN"/>
                    </w:rPr>
                    <w:t>）中要求</w:t>
                  </w:r>
                </w:p>
              </w:tc>
              <w:tc>
                <w:tcPr>
                  <w:tcW w:w="552" w:type="pct"/>
                  <w:noWrap w:val="0"/>
                  <w:vAlign w:val="center"/>
                </w:tcPr>
                <w:p>
                  <w:pPr>
                    <w:pStyle w:val="22"/>
                    <w:bidi w:val="0"/>
                    <w:rPr>
                      <w:rFonts w:hint="default"/>
                      <w:lang w:val="en-US" w:eastAsia="zh-CN"/>
                    </w:rPr>
                  </w:pPr>
                  <w:r>
                    <w:rPr>
                      <w:rFonts w:hint="eastAsia"/>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noWrap w:val="0"/>
                  <w:vAlign w:val="center"/>
                </w:tcPr>
                <w:p>
                  <w:pPr>
                    <w:pStyle w:val="22"/>
                    <w:bidi w:val="0"/>
                    <w:rPr>
                      <w:rFonts w:hint="default"/>
                      <w:lang w:val="en-US" w:eastAsia="zh-CN"/>
                    </w:rPr>
                  </w:pPr>
                  <w:r>
                    <w:rPr>
                      <w:rFonts w:hint="default"/>
                      <w:lang w:val="en-US" w:eastAsia="zh-CN"/>
                    </w:rPr>
                    <w:t>土壤、地下水</w:t>
                  </w:r>
                </w:p>
              </w:tc>
              <w:tc>
                <w:tcPr>
                  <w:tcW w:w="3978" w:type="pct"/>
                  <w:gridSpan w:val="3"/>
                  <w:noWrap w:val="0"/>
                  <w:vAlign w:val="center"/>
                </w:tcPr>
                <w:p>
                  <w:pPr>
                    <w:pStyle w:val="30"/>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重点污染防治区（</w:t>
                  </w:r>
                  <w:r>
                    <w:rPr>
                      <w:rFonts w:hint="eastAsia"/>
                      <w:sz w:val="21"/>
                      <w:szCs w:val="21"/>
                      <w:lang w:val="en-US" w:eastAsia="zh-CN"/>
                    </w:rPr>
                    <w:t>危废暂存间、洗罐车间、污水处理站、事故池</w:t>
                  </w:r>
                  <w:r>
                    <w:rPr>
                      <w:rFonts w:hint="eastAsia" w:ascii="Times New Roman" w:hAnsi="Times New Roman" w:eastAsia="宋体" w:cs="Times New Roman"/>
                      <w:sz w:val="21"/>
                      <w:szCs w:val="21"/>
                      <w:lang w:val="en-US" w:eastAsia="zh-CN"/>
                    </w:rPr>
                    <w:t>）：</w:t>
                  </w:r>
                  <w:r>
                    <w:rPr>
                      <w:rFonts w:hint="eastAsia"/>
                      <w:sz w:val="21"/>
                      <w:szCs w:val="21"/>
                      <w:lang w:val="en-US" w:eastAsia="zh-CN"/>
                    </w:rPr>
                    <w:t>地面防渗钢筋混凝土，不小于 15cm的C30混凝土整体浇筑，其上铺设2.0mm厚HDPE膜或其他等效防渗工艺，液体危废采用专用容器盛装且下设防渗托盘；危废暂存间设置有导流沟渠。防渗系数不低于10</w:t>
                  </w:r>
                  <w:r>
                    <w:rPr>
                      <w:rFonts w:hint="eastAsia"/>
                      <w:sz w:val="21"/>
                      <w:szCs w:val="21"/>
                      <w:vertAlign w:val="superscript"/>
                      <w:lang w:val="en-US" w:eastAsia="zh-CN"/>
                    </w:rPr>
                    <w:t>-7</w:t>
                  </w:r>
                  <w:r>
                    <w:rPr>
                      <w:rFonts w:hint="eastAsia"/>
                      <w:sz w:val="21"/>
                      <w:szCs w:val="21"/>
                      <w:lang w:val="en-US" w:eastAsia="zh-CN"/>
                    </w:rPr>
                    <w:t>cm/s</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一般污染防治区（</w:t>
                  </w:r>
                  <w:r>
                    <w:rPr>
                      <w:rFonts w:hint="eastAsia" w:cs="Times New Roman"/>
                      <w:sz w:val="21"/>
                      <w:szCs w:val="21"/>
                      <w:lang w:val="en-US" w:eastAsia="zh-CN"/>
                    </w:rPr>
                    <w:t>洗车车间</w:t>
                  </w:r>
                  <w:r>
                    <w:rPr>
                      <w:rFonts w:hint="eastAsia" w:ascii="Times New Roman" w:hAnsi="Times New Roman" w:eastAsia="宋体" w:cs="Times New Roman"/>
                      <w:sz w:val="21"/>
                      <w:szCs w:val="21"/>
                      <w:lang w:val="en-US" w:eastAsia="zh-CN"/>
                    </w:rPr>
                    <w:t>）：</w:t>
                  </w:r>
                  <w:r>
                    <w:rPr>
                      <w:rFonts w:hint="eastAsia"/>
                      <w:sz w:val="21"/>
                      <w:szCs w:val="21"/>
                      <w:lang w:val="en-US" w:eastAsia="zh-CN"/>
                    </w:rPr>
                    <w:t>采用“P6等级混凝土防渗或等效防渗措施”，等效粘土防渗层Mb≥1.5m，防渗系数不低于10</w:t>
                  </w:r>
                  <w:r>
                    <w:rPr>
                      <w:rFonts w:hint="eastAsia"/>
                      <w:sz w:val="21"/>
                      <w:szCs w:val="21"/>
                      <w:vertAlign w:val="superscript"/>
                      <w:lang w:val="en-US" w:eastAsia="zh-CN"/>
                    </w:rPr>
                    <w:t>-7</w:t>
                  </w:r>
                  <w:r>
                    <w:rPr>
                      <w:rFonts w:hint="eastAsia"/>
                      <w:sz w:val="21"/>
                      <w:szCs w:val="21"/>
                      <w:lang w:val="en-US" w:eastAsia="zh-CN"/>
                    </w:rPr>
                    <w:t>cm/s</w:t>
                  </w:r>
                </w:p>
                <w:p>
                  <w:pPr>
                    <w:pStyle w:val="22"/>
                    <w:bidi w:val="0"/>
                    <w:rPr>
                      <w:rFonts w:hint="eastAsia" w:eastAsia="宋体"/>
                      <w:lang w:val="en-US" w:eastAsia="zh-CN"/>
                    </w:rPr>
                  </w:pPr>
                  <w:r>
                    <w:rPr>
                      <w:rFonts w:hint="eastAsia" w:ascii="Times New Roman" w:hAnsi="Times New Roman" w:eastAsia="宋体" w:cs="Times New Roman"/>
                      <w:sz w:val="21"/>
                      <w:szCs w:val="21"/>
                      <w:lang w:val="en-US" w:eastAsia="zh-CN"/>
                    </w:rPr>
                    <w:t>非污染防治区（除重点、一般污染防治区以外的区域）：</w:t>
                  </w:r>
                  <w:r>
                    <w:rPr>
                      <w:rFonts w:hint="eastAsia"/>
                      <w:sz w:val="21"/>
                      <w:szCs w:val="21"/>
                      <w:lang w:val="en-US" w:eastAsia="zh-CN"/>
                    </w:rPr>
                    <w:t>一般水泥地面硬化</w:t>
                  </w:r>
                </w:p>
              </w:tc>
              <w:tc>
                <w:tcPr>
                  <w:tcW w:w="552" w:type="pct"/>
                  <w:noWrap w:val="0"/>
                  <w:vAlign w:val="center"/>
                </w:tcPr>
                <w:p>
                  <w:pPr>
                    <w:pStyle w:val="22"/>
                    <w:bidi w:val="0"/>
                    <w:rPr>
                      <w:rFonts w:hint="default"/>
                      <w:lang w:val="en-US" w:eastAsia="zh-CN"/>
                    </w:rPr>
                  </w:pPr>
                  <w:r>
                    <w:rPr>
                      <w:rFonts w:hint="eastAsia"/>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noWrap w:val="0"/>
                  <w:vAlign w:val="center"/>
                </w:tcPr>
                <w:p>
                  <w:pPr>
                    <w:pStyle w:val="22"/>
                    <w:bidi w:val="0"/>
                    <w:rPr>
                      <w:rFonts w:hint="default"/>
                      <w:lang w:val="en-US" w:eastAsia="zh-CN"/>
                    </w:rPr>
                  </w:pPr>
                  <w:r>
                    <w:rPr>
                      <w:rFonts w:hint="default"/>
                      <w:lang w:val="en-US" w:eastAsia="zh-CN"/>
                    </w:rPr>
                    <w:t>生态</w:t>
                  </w:r>
                </w:p>
              </w:tc>
              <w:tc>
                <w:tcPr>
                  <w:tcW w:w="3978" w:type="pct"/>
                  <w:gridSpan w:val="3"/>
                  <w:noWrap w:val="0"/>
                  <w:vAlign w:val="center"/>
                </w:tcPr>
                <w:p>
                  <w:pPr>
                    <w:pStyle w:val="22"/>
                    <w:bidi w:val="0"/>
                    <w:rPr>
                      <w:rFonts w:hint="default"/>
                      <w:lang w:val="en-US" w:eastAsia="zh-CN"/>
                    </w:rPr>
                  </w:pPr>
                  <w:r>
                    <w:rPr>
                      <w:rFonts w:hint="default"/>
                      <w:lang w:val="en-US" w:eastAsia="zh-CN"/>
                    </w:rPr>
                    <w:t>绿化</w:t>
                  </w:r>
                </w:p>
              </w:tc>
              <w:tc>
                <w:tcPr>
                  <w:tcW w:w="552" w:type="pct"/>
                  <w:noWrap w:val="0"/>
                  <w:vAlign w:val="center"/>
                </w:tcPr>
                <w:p>
                  <w:pPr>
                    <w:pStyle w:val="22"/>
                    <w:bidi w:val="0"/>
                    <w:rPr>
                      <w:rFonts w:hint="default"/>
                      <w:lang w:val="en-US" w:eastAsia="zh-CN"/>
                    </w:rPr>
                  </w:pPr>
                  <w:r>
                    <w:rPr>
                      <w:rFonts w:hint="eastAsia"/>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7" w:type="pct"/>
                  <w:gridSpan w:val="4"/>
                  <w:noWrap w:val="0"/>
                  <w:vAlign w:val="center"/>
                </w:tcPr>
                <w:p>
                  <w:pPr>
                    <w:pStyle w:val="22"/>
                    <w:bidi w:val="0"/>
                    <w:rPr>
                      <w:rFonts w:hint="default"/>
                      <w:lang w:val="en-US" w:eastAsia="zh-CN"/>
                    </w:rPr>
                  </w:pPr>
                  <w:r>
                    <w:rPr>
                      <w:rFonts w:hint="default"/>
                      <w:lang w:val="en-US" w:eastAsia="zh-CN"/>
                    </w:rPr>
                    <w:t>合计</w:t>
                  </w:r>
                </w:p>
              </w:tc>
              <w:tc>
                <w:tcPr>
                  <w:tcW w:w="552" w:type="pct"/>
                  <w:noWrap w:val="0"/>
                  <w:vAlign w:val="center"/>
                </w:tcPr>
                <w:p>
                  <w:pPr>
                    <w:pStyle w:val="22"/>
                    <w:bidi w:val="0"/>
                    <w:rPr>
                      <w:rFonts w:hint="default"/>
                      <w:lang w:val="en-US" w:eastAsia="zh-CN"/>
                    </w:rPr>
                  </w:pPr>
                  <w:r>
                    <w:rPr>
                      <w:rFonts w:hint="eastAsia"/>
                      <w:lang w:val="en-US" w:eastAsia="zh-CN"/>
                    </w:rPr>
                    <w:t>85</w:t>
                  </w:r>
                </w:p>
              </w:tc>
            </w:tr>
          </w:tbl>
          <w:p>
            <w:pPr>
              <w:pStyle w:val="29"/>
              <w:bidi w:val="0"/>
              <w:jc w:val="both"/>
              <w:rPr>
                <w:rFonts w:hint="default" w:ascii="Times New Roman" w:hAnsi="Times New Roman" w:cs="Times New Roman"/>
                <w:i w:val="0"/>
                <w:iCs w:val="0"/>
                <w:lang w:val="en-US" w:eastAsia="zh-CN"/>
              </w:rPr>
            </w:pPr>
          </w:p>
        </w:tc>
      </w:tr>
    </w:tbl>
    <w:p>
      <w:pPr>
        <w:adjustRightInd w:val="0"/>
        <w:snapToGrid w:val="0"/>
        <w:spacing w:line="360" w:lineRule="auto"/>
        <w:rPr>
          <w:rFonts w:hint="eastAsia" w:ascii="宋体" w:cs="宋体"/>
          <w:b/>
          <w:kern w:val="0"/>
          <w:sz w:val="28"/>
          <w:szCs w:val="28"/>
        </w:rPr>
        <w:sectPr>
          <w:pgSz w:w="11907" w:h="16840"/>
          <w:pgMar w:top="1134" w:right="1134" w:bottom="1134" w:left="1134" w:header="0" w:footer="851" w:gutter="0"/>
          <w:pgNumType w:fmt="decimal"/>
          <w:cols w:space="720" w:num="1"/>
          <w:docGrid w:linePitch="312" w:charSpace="0"/>
        </w:sectPr>
      </w:pPr>
    </w:p>
    <w:p>
      <w:pPr>
        <w:pStyle w:val="2"/>
        <w:bidi w:val="0"/>
        <w:rPr>
          <w:rFonts w:ascii="黑体" w:hAnsi="黑体" w:eastAsia="黑体"/>
          <w:snapToGrid w:val="0"/>
          <w:szCs w:val="30"/>
        </w:rPr>
      </w:pPr>
      <w:bookmarkStart w:id="9" w:name="_Toc26287"/>
      <w:r>
        <w:rPr>
          <w:rFonts w:hint="eastAsia"/>
        </w:rPr>
        <w:t>五、</w:t>
      </w:r>
      <w:bookmarkStart w:id="10" w:name="_Hlk54167917"/>
      <w:r>
        <w:rPr>
          <w:rFonts w:hint="eastAsia"/>
        </w:rPr>
        <w:t>环境保护措施监督检查清单</w:t>
      </w:r>
      <w:bookmarkEnd w:id="9"/>
      <w:bookmarkEnd w:id="10"/>
    </w:p>
    <w:tbl>
      <w:tblPr>
        <w:tblStyle w:val="16"/>
        <w:tblW w:w="49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870"/>
        <w:gridCol w:w="1870"/>
        <w:gridCol w:w="1876"/>
        <w:gridCol w:w="23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tcBorders>
              <w:tl2br w:val="single" w:color="auto" w:sz="4" w:space="0"/>
            </w:tcBorders>
            <w:noWrap w:val="0"/>
            <w:vAlign w:val="top"/>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内容</w:t>
            </w:r>
          </w:p>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要素</w:t>
            </w: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排放口(编号、</w:t>
            </w:r>
          </w:p>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名称)/污染源</w:t>
            </w: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污染物项目</w:t>
            </w:r>
          </w:p>
        </w:tc>
        <w:tc>
          <w:tcPr>
            <w:tcW w:w="954"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环境保护措施</w:t>
            </w:r>
          </w:p>
        </w:tc>
        <w:tc>
          <w:tcPr>
            <w:tcW w:w="1178"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965"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大气环境</w:t>
            </w:r>
          </w:p>
        </w:tc>
        <w:tc>
          <w:tcPr>
            <w:tcW w:w="951"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废气排放口DA001</w:t>
            </w:r>
          </w:p>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VOCs</w:t>
            </w:r>
          </w:p>
        </w:tc>
        <w:tc>
          <w:tcPr>
            <w:tcW w:w="954"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eastAsia" w:ascii="Times New Roman" w:hAnsi="Times New Roman" w:cs="Times New Roman"/>
                <w:lang w:val="en-US" w:eastAsia="zh-CN"/>
              </w:rPr>
              <w:t>碱喷淋+干式过滤棉+二级蜂窝状活性炭</w:t>
            </w:r>
            <w:r>
              <w:rPr>
                <w:rFonts w:hint="default" w:ascii="Times New Roman" w:hAnsi="Times New Roman" w:eastAsia="宋体" w:cs="Times New Roman"/>
                <w:sz w:val="24"/>
                <w:szCs w:val="24"/>
              </w:rPr>
              <w:t>+15m 排气筒</w:t>
            </w:r>
          </w:p>
        </w:tc>
        <w:tc>
          <w:tcPr>
            <w:tcW w:w="1178" w:type="pct"/>
            <w:noWrap w:val="0"/>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《四川省固定污染源大气挥发性有机物排放标准》(DB</w:t>
            </w:r>
            <w:r>
              <w:rPr>
                <w:rFonts w:hint="default" w:ascii="Times New Roman" w:hAnsi="Times New Roman" w:eastAsia="宋体" w:cs="Times New Roman"/>
                <w:sz w:val="24"/>
                <w:szCs w:val="24"/>
                <w:lang w:val="en-US" w:eastAsia="zh-CN"/>
              </w:rPr>
              <w:t>51/2377-2017</w:t>
            </w:r>
            <w:r>
              <w:rPr>
                <w:rFonts w:hint="default" w:ascii="Times New Roman" w:hAnsi="Times New Roman" w:eastAsia="宋体"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硫酸、硝酸、氢氟酸、盐酸</w:t>
            </w:r>
          </w:p>
        </w:tc>
        <w:tc>
          <w:tcPr>
            <w:tcW w:w="954"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1178" w:type="pct"/>
            <w:noWrap w:val="0"/>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《大气污染物综合排放标准》（GB162997-1996）二级标准限值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二硫化碳、氨</w:t>
            </w:r>
          </w:p>
        </w:tc>
        <w:tc>
          <w:tcPr>
            <w:tcW w:w="954"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1178" w:type="pct"/>
            <w:noWrap w:val="0"/>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厂界无组织</w:t>
            </w:r>
          </w:p>
        </w:tc>
        <w:tc>
          <w:tcPr>
            <w:tcW w:w="951" w:type="pct"/>
            <w:noWrap w:val="0"/>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VOCs</w:t>
            </w:r>
          </w:p>
        </w:tc>
        <w:tc>
          <w:tcPr>
            <w:tcW w:w="954"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自然</w:t>
            </w:r>
            <w:r>
              <w:rPr>
                <w:rFonts w:hint="default" w:ascii="Times New Roman" w:hAnsi="Times New Roman" w:eastAsia="宋体" w:cs="Times New Roman"/>
                <w:sz w:val="24"/>
                <w:szCs w:val="24"/>
              </w:rPr>
              <w:t>风稀释扩散</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绿化</w:t>
            </w:r>
          </w:p>
        </w:tc>
        <w:tc>
          <w:tcPr>
            <w:tcW w:w="1178" w:type="pct"/>
            <w:noWrap w:val="0"/>
            <w:vAlign w:val="center"/>
          </w:tcPr>
          <w:p>
            <w:pPr>
              <w:pStyle w:val="2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硫酸、硝酸、氢氟酸、盐酸</w:t>
            </w:r>
          </w:p>
        </w:tc>
        <w:tc>
          <w:tcPr>
            <w:tcW w:w="954"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1178" w:type="pct"/>
            <w:noWrap w:val="0"/>
            <w:vAlign w:val="center"/>
          </w:tcPr>
          <w:p>
            <w:pPr>
              <w:pStyle w:val="2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《大气污染物综合排放标准》（GB162997-1996）二级标准限值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22"/>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二硫化碳、氨</w:t>
            </w:r>
          </w:p>
        </w:tc>
        <w:tc>
          <w:tcPr>
            <w:tcW w:w="954"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1178" w:type="pct"/>
            <w:noWrap w:val="0"/>
            <w:vAlign w:val="center"/>
          </w:tcPr>
          <w:p>
            <w:pPr>
              <w:pStyle w:val="28"/>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《恶臭污染物排放标准》（GB14554-93）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食堂油烟</w:t>
            </w: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油烟</w:t>
            </w:r>
          </w:p>
        </w:tc>
        <w:tc>
          <w:tcPr>
            <w:tcW w:w="954"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经油烟净化器处理后引至楼顶排放</w:t>
            </w:r>
          </w:p>
        </w:tc>
        <w:tc>
          <w:tcPr>
            <w:tcW w:w="1178"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停车场车辆尾气</w:t>
            </w:r>
          </w:p>
        </w:tc>
        <w:tc>
          <w:tcPr>
            <w:tcW w:w="951"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CO、THC、NO</w:t>
            </w:r>
            <w:r>
              <w:rPr>
                <w:rFonts w:hint="default" w:ascii="Times New Roman" w:hAnsi="Times New Roman" w:eastAsia="宋体" w:cs="Times New Roman"/>
                <w:sz w:val="24"/>
                <w:szCs w:val="24"/>
                <w:vertAlign w:val="subscript"/>
                <w:lang w:val="en-US" w:eastAsia="zh-CN"/>
              </w:rPr>
              <w:t>X</w:t>
            </w:r>
          </w:p>
        </w:tc>
        <w:tc>
          <w:tcPr>
            <w:tcW w:w="954"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自然</w:t>
            </w:r>
            <w:r>
              <w:rPr>
                <w:rFonts w:hint="default" w:ascii="Times New Roman" w:hAnsi="Times New Roman" w:eastAsia="宋体" w:cs="Times New Roman"/>
                <w:sz w:val="24"/>
                <w:szCs w:val="24"/>
              </w:rPr>
              <w:t>风稀释扩散</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绿化</w:t>
            </w:r>
          </w:p>
        </w:tc>
        <w:tc>
          <w:tcPr>
            <w:tcW w:w="1178"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《大气污染物综合排放标准》（GB162997-1996）二级标准限值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备用发电机废气</w:t>
            </w:r>
          </w:p>
        </w:tc>
        <w:tc>
          <w:tcPr>
            <w:tcW w:w="951"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p>
        </w:tc>
        <w:tc>
          <w:tcPr>
            <w:tcW w:w="954"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p>
        </w:tc>
        <w:tc>
          <w:tcPr>
            <w:tcW w:w="1178"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22"/>
              <w:bidi w:val="0"/>
              <w:rPr>
                <w:rFonts w:hint="default"/>
                <w:sz w:val="24"/>
                <w:szCs w:val="24"/>
                <w:lang w:val="en-US" w:eastAsia="zh-CN"/>
              </w:rPr>
            </w:pPr>
            <w:r>
              <w:rPr>
                <w:rFonts w:hint="eastAsia"/>
                <w:sz w:val="24"/>
                <w:szCs w:val="24"/>
                <w:lang w:val="en-US" w:eastAsia="zh-CN"/>
              </w:rPr>
              <w:t>污水处理站废气</w:t>
            </w:r>
          </w:p>
        </w:tc>
        <w:tc>
          <w:tcPr>
            <w:tcW w:w="951" w:type="pct"/>
            <w:noWrap w:val="0"/>
            <w:vAlign w:val="center"/>
          </w:tcPr>
          <w:p>
            <w:pPr>
              <w:pStyle w:val="22"/>
              <w:bidi w:val="0"/>
              <w:rPr>
                <w:rFonts w:hint="default"/>
                <w:sz w:val="24"/>
                <w:szCs w:val="24"/>
                <w:lang w:val="en-US" w:eastAsia="zh-CN"/>
              </w:rPr>
            </w:pPr>
            <w:r>
              <w:rPr>
                <w:rFonts w:hint="eastAsia"/>
                <w:sz w:val="24"/>
                <w:szCs w:val="24"/>
                <w:lang w:val="en-US" w:eastAsia="zh-CN"/>
              </w:rPr>
              <w:t>有机废气及恶臭（硫化氢、氨）</w:t>
            </w:r>
          </w:p>
        </w:tc>
        <w:tc>
          <w:tcPr>
            <w:tcW w:w="954" w:type="pct"/>
            <w:noWrap w:val="0"/>
            <w:vAlign w:val="center"/>
          </w:tcPr>
          <w:p>
            <w:pPr>
              <w:pStyle w:val="22"/>
              <w:bidi w:val="0"/>
              <w:rPr>
                <w:rFonts w:hint="default"/>
                <w:sz w:val="24"/>
                <w:szCs w:val="24"/>
                <w:lang w:val="en-US" w:eastAsia="zh-CN"/>
              </w:rPr>
            </w:pPr>
            <w:r>
              <w:rPr>
                <w:rFonts w:hint="default"/>
                <w:sz w:val="24"/>
                <w:szCs w:val="24"/>
                <w:lang w:val="en-US" w:eastAsia="zh-CN"/>
              </w:rPr>
              <w:t>设置一套活性炭吸附装置，将污水处理站废气引入活性炭吸附装置处理后，可无组织排放，对周围环境影响较小。</w:t>
            </w:r>
          </w:p>
        </w:tc>
        <w:tc>
          <w:tcPr>
            <w:tcW w:w="1178"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《大气污染物综合排放标准》（GB162997-1996）二级标准限值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危废暂存间废气</w:t>
            </w: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有机废气、酸雾、氨等废气</w:t>
            </w:r>
          </w:p>
        </w:tc>
        <w:tc>
          <w:tcPr>
            <w:tcW w:w="954"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设置负压吸风设施，将废气引至废气处理系统（碱喷淋+干式过滤棉+二级蜂窝状活性炭）处理后通过排气筒（DA001）排放</w:t>
            </w:r>
          </w:p>
        </w:tc>
        <w:tc>
          <w:tcPr>
            <w:tcW w:w="1178"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《大气污染物综合排放标准》（GB162997-1996）二级标准限值</w:t>
            </w:r>
            <w:r>
              <w:rPr>
                <w:rFonts w:hint="eastAsia" w:cs="Times New Roman"/>
                <w:sz w:val="24"/>
                <w:szCs w:val="24"/>
                <w:lang w:val="en-US" w:eastAsia="zh-CN"/>
              </w:rPr>
              <w:t>、</w:t>
            </w:r>
            <w:r>
              <w:rPr>
                <w:rFonts w:hint="default"/>
                <w:lang w:val="en-US" w:eastAsia="zh-CN"/>
              </w:rPr>
              <w:t>《四川省固定污染源大气挥发性有机物排放标准》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地表水环境</w:t>
            </w: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生活污水</w:t>
            </w: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CODcr、BOD</w:t>
            </w:r>
            <w:r>
              <w:rPr>
                <w:rFonts w:hint="eastAsia"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rPr>
              <w:t>、NH</w:t>
            </w:r>
            <w:r>
              <w:rPr>
                <w:rFonts w:hint="eastAsia" w:ascii="Times New Roman" w:hAnsi="Times New Roman" w:eastAsia="宋体" w:cs="Times New Roman"/>
                <w:sz w:val="24"/>
                <w:szCs w:val="24"/>
                <w:vertAlign w:val="subscript"/>
                <w:lang w:val="en-US" w:eastAsia="zh-CN"/>
              </w:rPr>
              <w:t>3</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N、SS、动植物油</w:t>
            </w:r>
          </w:p>
        </w:tc>
        <w:tc>
          <w:tcPr>
            <w:tcW w:w="954"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级</w:t>
            </w:r>
            <w:r>
              <w:rPr>
                <w:rFonts w:hint="default" w:ascii="Times New Roman" w:hAnsi="Times New Roman" w:eastAsia="宋体" w:cs="Times New Roman"/>
                <w:sz w:val="24"/>
                <w:szCs w:val="24"/>
                <w:lang w:val="en-US" w:eastAsia="zh-CN"/>
              </w:rPr>
              <w:t>预处理池</w:t>
            </w:r>
            <w:r>
              <w:rPr>
                <w:rFonts w:hint="default" w:ascii="Times New Roman" w:hAnsi="Times New Roman" w:eastAsia="宋体" w:cs="Times New Roman"/>
                <w:sz w:val="24"/>
                <w:szCs w:val="24"/>
              </w:rPr>
              <w:t>处理后排入园区污水管道</w:t>
            </w:r>
          </w:p>
        </w:tc>
        <w:tc>
          <w:tcPr>
            <w:tcW w:w="1178" w:type="pct"/>
            <w:vMerge w:val="restar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lang w:eastAsia="zh-CN"/>
              </w:rPr>
              <w:t>《</w:t>
            </w:r>
            <w:r>
              <w:rPr>
                <w:rFonts w:hint="default"/>
                <w:lang w:val="en-US" w:eastAsia="zh-CN"/>
              </w:rPr>
              <w:t>污水综合排放标准</w:t>
            </w:r>
            <w:r>
              <w:rPr>
                <w:rFonts w:hint="default"/>
                <w:lang w:eastAsia="zh-CN"/>
              </w:rPr>
              <w:t>》</w:t>
            </w:r>
            <w:r>
              <w:rPr>
                <w:rFonts w:hint="default"/>
                <w:lang w:val="en-US" w:eastAsia="zh-CN"/>
              </w:rPr>
              <w:t>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生产废水</w:t>
            </w: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pH值、CODcr、BOD</w:t>
            </w:r>
            <w:r>
              <w:rPr>
                <w:rFonts w:hint="eastAsia" w:ascii="Times New Roman" w:hAnsi="Times New Roman" w:eastAsia="宋体" w:cs="Times New Roman"/>
                <w:sz w:val="24"/>
                <w:szCs w:val="24"/>
                <w:vertAlign w:val="subscript"/>
                <w:lang w:val="en-US" w:eastAsia="zh-CN"/>
              </w:rPr>
              <w:t>5</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-N、SS、石油类</w:t>
            </w:r>
          </w:p>
        </w:tc>
        <w:tc>
          <w:tcPr>
            <w:tcW w:w="954"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经自建污水处理站</w:t>
            </w:r>
            <w:r>
              <w:rPr>
                <w:rFonts w:hint="default" w:ascii="Times New Roman" w:hAnsi="Times New Roman" w:cs="Times New Roman"/>
                <w:lang w:val="en-US" w:eastAsia="zh-CN"/>
              </w:rPr>
              <w:t>(处理工艺:</w:t>
            </w:r>
            <w:r>
              <w:rPr>
                <w:rFonts w:hint="eastAsia"/>
                <w:lang w:val="en-US" w:eastAsia="zh-CN"/>
              </w:rPr>
              <w:t>格栅-气浮-厌氧池-缺氧池-好氧池-MBR膜</w:t>
            </w:r>
            <w:r>
              <w:rPr>
                <w:rFonts w:hint="default" w:ascii="Times New Roman" w:hAnsi="Times New Roman" w:cs="Times New Roman"/>
                <w:lang w:val="en-US" w:eastAsia="zh-CN"/>
              </w:rPr>
              <w:t>)</w:t>
            </w:r>
            <w:r>
              <w:rPr>
                <w:rFonts w:hint="default" w:ascii="Times New Roman" w:hAnsi="Times New Roman" w:eastAsia="宋体" w:cs="Times New Roman"/>
                <w:sz w:val="24"/>
                <w:szCs w:val="24"/>
              </w:rPr>
              <w:t>处理后排入园区污水处理厂处理</w:t>
            </w:r>
          </w:p>
        </w:tc>
        <w:tc>
          <w:tcPr>
            <w:tcW w:w="1178" w:type="pct"/>
            <w:vMerge w:val="continue"/>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声环境</w:t>
            </w:r>
          </w:p>
        </w:tc>
        <w:tc>
          <w:tcPr>
            <w:tcW w:w="951" w:type="pct"/>
            <w:shd w:val="clear" w:color="auto" w:fill="auto"/>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厂界</w:t>
            </w:r>
          </w:p>
        </w:tc>
        <w:tc>
          <w:tcPr>
            <w:tcW w:w="951" w:type="pct"/>
            <w:shd w:val="clear" w:color="auto" w:fill="auto"/>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Leq(A)</w:t>
            </w:r>
          </w:p>
        </w:tc>
        <w:tc>
          <w:tcPr>
            <w:tcW w:w="954" w:type="pct"/>
            <w:shd w:val="clear" w:color="auto" w:fill="auto"/>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选用低噪声设备、加强设备维护，距离衰减</w:t>
            </w:r>
          </w:p>
        </w:tc>
        <w:tc>
          <w:tcPr>
            <w:tcW w:w="1178"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cs="Times New Roman"/>
                <w:lang w:val="en-US" w:eastAsia="zh-CN"/>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65"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电磁辐射</w:t>
            </w: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951"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954"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1178"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65"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固体废物</w:t>
            </w:r>
          </w:p>
        </w:tc>
        <w:tc>
          <w:tcPr>
            <w:tcW w:w="4034" w:type="pct"/>
            <w:gridSpan w:val="4"/>
            <w:noWrap w:val="0"/>
            <w:vAlign w:val="center"/>
          </w:tcPr>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生活垃圾集中收集后交由环卫部门清运处理。</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残留液、废活性炭：分类收集后分类暂存于危废暂存间</w:t>
            </w:r>
            <w:r>
              <w:rPr>
                <w:rFonts w:hint="default" w:ascii="Times New Roman" w:hAnsi="Times New Roman" w:eastAsia="宋体" w:cs="Times New Roman"/>
                <w:sz w:val="24"/>
                <w:szCs w:val="24"/>
              </w:rPr>
              <w:t>，委托有危废资质单位回收处置。</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污泥、表面活性剂废包装袋、生活垃圾：</w:t>
            </w:r>
            <w:r>
              <w:rPr>
                <w:rFonts w:hint="eastAsia"/>
                <w:lang w:val="en-US" w:eastAsia="zh-CN"/>
              </w:rPr>
              <w:t>收集后交由环卫部门统一清运处置。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65"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土壤及地下水</w:t>
            </w:r>
          </w:p>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污染防治措施</w:t>
            </w:r>
          </w:p>
        </w:tc>
        <w:tc>
          <w:tcPr>
            <w:tcW w:w="4034" w:type="pct"/>
            <w:gridSpan w:val="4"/>
            <w:noWrap w:val="0"/>
            <w:vAlign w:val="center"/>
          </w:tcPr>
          <w:p>
            <w:pPr>
              <w:pStyle w:val="30"/>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重点污染防治区（</w:t>
            </w:r>
            <w:r>
              <w:rPr>
                <w:rFonts w:hint="eastAsia"/>
                <w:lang w:val="en-US" w:eastAsia="zh-CN"/>
              </w:rPr>
              <w:t>危废暂存间、洗罐车间、污水处理站、事故池</w:t>
            </w:r>
            <w:r>
              <w:rPr>
                <w:rFonts w:hint="eastAsia" w:ascii="Times New Roman" w:hAnsi="Times New Roman" w:eastAsia="宋体" w:cs="Times New Roman"/>
                <w:sz w:val="24"/>
                <w:szCs w:val="24"/>
                <w:lang w:val="en-US" w:eastAsia="zh-CN"/>
              </w:rPr>
              <w:t>）：</w:t>
            </w:r>
            <w:r>
              <w:rPr>
                <w:rFonts w:hint="eastAsia"/>
                <w:lang w:val="en-US" w:eastAsia="zh-CN"/>
              </w:rPr>
              <w:t>地面防渗钢筋混凝土，不小于 15cm的C30混凝土整体浇筑，其上铺设2.0mm厚HDPE膜或其他等效防渗工艺，液体危废采用专用容器盛装且下设防渗托盘；危废暂存间设置有导流沟渠。防渗系数不低于10</w:t>
            </w:r>
            <w:r>
              <w:rPr>
                <w:rFonts w:hint="eastAsia"/>
                <w:vertAlign w:val="superscript"/>
                <w:lang w:val="en-US" w:eastAsia="zh-CN"/>
              </w:rPr>
              <w:t>-7</w:t>
            </w:r>
            <w:r>
              <w:rPr>
                <w:rFonts w:hint="eastAsia"/>
                <w:lang w:val="en-US" w:eastAsia="zh-CN"/>
              </w:rPr>
              <w:t>cm/s</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一般污染防治区（</w:t>
            </w:r>
            <w:r>
              <w:rPr>
                <w:rFonts w:hint="eastAsia" w:cs="Times New Roman"/>
                <w:sz w:val="24"/>
                <w:szCs w:val="24"/>
                <w:lang w:val="en-US" w:eastAsia="zh-CN"/>
              </w:rPr>
              <w:t>洗车车间</w:t>
            </w:r>
            <w:r>
              <w:rPr>
                <w:rFonts w:hint="eastAsia" w:ascii="Times New Roman" w:hAnsi="Times New Roman" w:eastAsia="宋体" w:cs="Times New Roman"/>
                <w:sz w:val="24"/>
                <w:szCs w:val="24"/>
                <w:lang w:val="en-US" w:eastAsia="zh-CN"/>
              </w:rPr>
              <w:t>）：</w:t>
            </w:r>
            <w:r>
              <w:rPr>
                <w:rFonts w:hint="eastAsia"/>
                <w:lang w:val="en-US" w:eastAsia="zh-CN"/>
              </w:rPr>
              <w:t>采用“P6等级混凝土防渗或等效防渗措施”，等效粘土防渗层Mb≥1.5m，防渗系数不低于10</w:t>
            </w:r>
            <w:r>
              <w:rPr>
                <w:rFonts w:hint="eastAsia"/>
                <w:vertAlign w:val="superscript"/>
                <w:lang w:val="en-US" w:eastAsia="zh-CN"/>
              </w:rPr>
              <w:t>-7</w:t>
            </w:r>
            <w:r>
              <w:rPr>
                <w:rFonts w:hint="eastAsia"/>
                <w:lang w:val="en-US" w:eastAsia="zh-CN"/>
              </w:rPr>
              <w:t>cm/s</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非污染防治区（除重点、一般污染防治区以外的区域）：</w:t>
            </w:r>
            <w:r>
              <w:rPr>
                <w:rFonts w:hint="eastAsia"/>
                <w:lang w:val="en-US" w:eastAsia="zh-CN"/>
              </w:rPr>
              <w:t>一般水泥地面硬化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65"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生态保护措施</w:t>
            </w:r>
          </w:p>
        </w:tc>
        <w:tc>
          <w:tcPr>
            <w:tcW w:w="4034" w:type="pct"/>
            <w:gridSpan w:val="4"/>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65"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环境风险</w:t>
            </w:r>
          </w:p>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防范措施</w:t>
            </w:r>
          </w:p>
        </w:tc>
        <w:tc>
          <w:tcPr>
            <w:tcW w:w="4034" w:type="pct"/>
            <w:gridSpan w:val="4"/>
            <w:noWrap w:val="0"/>
            <w:vAlign w:val="center"/>
          </w:tcPr>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1、本项目要进行合理设计和规划，项目各相关设施的布置应符合相关防火距离的要求，投产前要检查厂区的消防设施，项目厂区应设有较为完善的消防系统，设置火灾报警系统;</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2、严格岗位管理，保证尾气处理装置正常运行。加强治理设施的运行管理和日常维护，若发现废气处理装置异常应立即检查，找出原因及时维修，必要情况下停止生产;</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3、实行严格的“雨污分流、清污分流”;</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4、在仓库等有可能发生物料泄漏的区域应储备吸油棉或泥沙等将扩散的</w:t>
            </w:r>
            <w:r>
              <w:rPr>
                <w:rFonts w:hint="eastAsia" w:ascii="Times New Roman" w:hAnsi="Times New Roman" w:eastAsia="宋体" w:cs="Times New Roman"/>
                <w:sz w:val="24"/>
                <w:szCs w:val="24"/>
                <w:lang w:val="en-US" w:eastAsia="zh-CN"/>
              </w:rPr>
              <w:t>污染物</w:t>
            </w:r>
            <w:r>
              <w:rPr>
                <w:rFonts w:hint="default" w:ascii="Times New Roman" w:hAnsi="Times New Roman" w:eastAsia="宋体" w:cs="Times New Roman"/>
                <w:sz w:val="24"/>
                <w:szCs w:val="24"/>
              </w:rPr>
              <w:t>固定、回收，防止大量物料进入外界水;</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5、危险废物</w:t>
            </w:r>
            <w:r>
              <w:rPr>
                <w:rFonts w:hint="eastAsia" w:ascii="Times New Roman" w:hAnsi="Times New Roman" w:eastAsia="宋体" w:cs="Times New Roman"/>
                <w:sz w:val="24"/>
                <w:szCs w:val="24"/>
                <w:lang w:val="en-US" w:eastAsia="zh-CN"/>
              </w:rPr>
              <w:t>暂存间</w:t>
            </w:r>
            <w:r>
              <w:rPr>
                <w:rFonts w:hint="default" w:ascii="Times New Roman" w:hAnsi="Times New Roman" w:eastAsia="宋体" w:cs="Times New Roman"/>
                <w:sz w:val="24"/>
                <w:szCs w:val="24"/>
              </w:rPr>
              <w:t>内按《危险废物贮存污染控制标准》GB18597-2023)相关要求确认在厂区的平面布置及防渗设计。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65" w:type="pct"/>
            <w:noWrap w:val="0"/>
            <w:vAlign w:val="center"/>
          </w:tcPr>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其他环境</w:t>
            </w:r>
          </w:p>
          <w:p>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管理要求</w:t>
            </w:r>
          </w:p>
        </w:tc>
        <w:tc>
          <w:tcPr>
            <w:tcW w:w="4034" w:type="pct"/>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kern w:val="21"/>
                <w:szCs w:val="21"/>
              </w:rPr>
            </w:pPr>
            <w:r>
              <w:rPr>
                <w:kern w:val="21"/>
                <w:szCs w:val="21"/>
              </w:rPr>
              <w:t>1、要求建设单位严格按报告表提出的污染治理设施及环保对策措施逐项实施，做到达标排放，并满足当地环境质量及总量控制要求。项目建成后，应及时开展竣工环境保护验收。</w:t>
            </w:r>
          </w:p>
          <w:p>
            <w:pPr>
              <w:pStyle w:val="30"/>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宋体" w:cs="Times New Roman"/>
                <w:sz w:val="24"/>
                <w:szCs w:val="24"/>
                <w:lang w:eastAsia="zh-CN"/>
              </w:rPr>
            </w:pPr>
            <w:r>
              <w:rPr>
                <w:kern w:val="21"/>
                <w:szCs w:val="21"/>
              </w:rPr>
              <w:t>2、加强环境监测与管理。建设单位应设专人负责环境保护工作，负责厂区监测与管理：一是确保污染防治设施持续、正常运行，达标排放</w:t>
            </w:r>
            <w:r>
              <w:rPr>
                <w:rFonts w:hint="eastAsia"/>
                <w:kern w:val="21"/>
                <w:szCs w:val="21"/>
              </w:rPr>
              <w:t>；</w:t>
            </w:r>
            <w:r>
              <w:rPr>
                <w:kern w:val="21"/>
                <w:szCs w:val="21"/>
              </w:rPr>
              <w:t>二是接受当地生态环境局的监督和管理，若出现环保问题，及时报告、处理，避免污染物事故性排放。</w:t>
            </w:r>
          </w:p>
        </w:tc>
      </w:tr>
    </w:tbl>
    <w:p>
      <w:pPr>
        <w:pStyle w:val="14"/>
        <w:jc w:val="center"/>
        <w:outlineLvl w:val="0"/>
        <w:rPr>
          <w:rFonts w:ascii="黑体" w:hAnsi="黑体" w:eastAsia="黑体"/>
          <w:snapToGrid w:val="0"/>
          <w:sz w:val="30"/>
          <w:szCs w:val="30"/>
        </w:rPr>
      </w:pPr>
      <w:r>
        <w:rPr>
          <w:snapToGrid w:val="0"/>
        </w:rPr>
        <w:br w:type="page"/>
      </w:r>
      <w:bookmarkStart w:id="11" w:name="_Toc14086"/>
      <w:r>
        <w:rPr>
          <w:rStyle w:val="34"/>
          <w:rFonts w:hint="eastAsia"/>
        </w:rPr>
        <w:t>六、结论</w:t>
      </w:r>
      <w:bookmarkEnd w:id="11"/>
    </w:p>
    <w:tbl>
      <w:tblPr>
        <w:tblStyle w:val="1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noWrap w:val="0"/>
            <w:vAlign w:val="top"/>
          </w:tcPr>
          <w:p>
            <w:pPr>
              <w:bidi w:val="0"/>
              <w:rPr>
                <w:rFonts w:hint="eastAsia"/>
                <w:lang w:val="en-US" w:eastAsia="zh-CN"/>
              </w:rPr>
            </w:pPr>
            <w:r>
              <w:rPr>
                <w:rFonts w:hint="eastAsia"/>
                <w:lang w:val="en-US" w:eastAsia="zh-CN"/>
              </w:rPr>
              <w:t>综上所述，本项目符合国家产业政策，选址符合当地园区规划，且建设区域无明显环境制约因素。项目运营过程中，只要严格落实本评价提出的各项污染防治措施，并确保环保设施正常运行，各污染物可做到达标排放，对周围环境的影响较小，本项目建设符合“达标排放、总量控制”的原则。</w:t>
            </w:r>
          </w:p>
          <w:p>
            <w:pPr>
              <w:bidi w:val="0"/>
              <w:rPr>
                <w:rFonts w:hint="eastAsia"/>
                <w:lang w:val="en-US" w:eastAsia="zh-CN"/>
              </w:rPr>
            </w:pPr>
            <w:r>
              <w:rPr>
                <w:rFonts w:hint="eastAsia"/>
                <w:lang w:val="en-US" w:eastAsia="zh-CN"/>
              </w:rPr>
              <w:t>因此，从环境的角度来看，本项目的建设是可行的。</w:t>
            </w:r>
          </w:p>
          <w:p>
            <w:pPr>
              <w:bidi w:val="0"/>
            </w:pPr>
          </w:p>
        </w:tc>
      </w:tr>
    </w:tbl>
    <w:p>
      <w:pPr>
        <w:pStyle w:val="31"/>
        <w:ind w:left="0" w:leftChars="0" w:firstLine="0" w:firstLineChars="0"/>
        <w:sectPr>
          <w:pgSz w:w="11906" w:h="16838"/>
          <w:pgMar w:top="1134" w:right="1134" w:bottom="1134" w:left="1134" w:header="851" w:footer="992" w:gutter="0"/>
          <w:pgNumType w:fmt="decimal"/>
          <w:cols w:space="425" w:num="1"/>
          <w:docGrid w:type="lines" w:linePitch="312" w:charSpace="0"/>
        </w:sectPr>
      </w:pPr>
    </w:p>
    <w:p>
      <w:pPr>
        <w:pStyle w:val="14"/>
        <w:adjustRightInd w:val="0"/>
        <w:snapToGrid w:val="0"/>
        <w:spacing w:before="0" w:beforeAutospacing="0" w:after="0" w:afterAutospacing="0" w:line="648" w:lineRule="auto"/>
        <w:outlineLvl w:val="0"/>
        <w:rPr>
          <w:rFonts w:ascii="黑体" w:hAnsi="黑体" w:eastAsia="黑体"/>
          <w:snapToGrid w:val="0"/>
          <w:sz w:val="32"/>
          <w:szCs w:val="32"/>
        </w:rPr>
      </w:pPr>
      <w:bookmarkStart w:id="12" w:name="_Toc10153"/>
      <w:r>
        <w:rPr>
          <w:rFonts w:hint="eastAsia" w:ascii="黑体" w:hAnsi="黑体" w:eastAsia="黑体"/>
          <w:snapToGrid w:val="0"/>
          <w:sz w:val="32"/>
          <w:szCs w:val="32"/>
        </w:rPr>
        <w:t>附表</w:t>
      </w:r>
      <w:bookmarkEnd w:id="12"/>
    </w:p>
    <w:p>
      <w:pPr>
        <w:pStyle w:val="2"/>
        <w:bidi w:val="0"/>
        <w:rPr>
          <w:rFonts w:hint="eastAsia" w:ascii="方正小标宋_GBK" w:hAnsi="黑体" w:eastAsia="方正小标宋_GBK"/>
          <w:snapToGrid w:val="0"/>
          <w:sz w:val="38"/>
          <w:szCs w:val="38"/>
        </w:rPr>
      </w:pPr>
      <w:bookmarkStart w:id="13" w:name="_Toc7989"/>
      <w:r>
        <w:rPr>
          <w:rFonts w:hint="eastAsia"/>
          <w:sz w:val="38"/>
          <w:szCs w:val="38"/>
        </w:rPr>
        <w:t>建设项目污染物排放量汇总表</w:t>
      </w:r>
      <w:bookmarkEnd w:id="13"/>
    </w:p>
    <w:tbl>
      <w:tblPr>
        <w:tblStyle w:val="1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项目</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分类</w:t>
            </w:r>
          </w:p>
        </w:tc>
        <w:tc>
          <w:tcPr>
            <w:tcW w:w="1417" w:type="dxa"/>
            <w:noWrap w:val="0"/>
            <w:tcMar>
              <w:left w:w="28" w:type="dxa"/>
              <w:right w:w="28"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污染物名称</w:t>
            </w:r>
          </w:p>
        </w:tc>
        <w:tc>
          <w:tcPr>
            <w:tcW w:w="1701" w:type="dxa"/>
            <w:noWrap w:val="0"/>
            <w:tcMar>
              <w:left w:w="28" w:type="dxa"/>
              <w:right w:w="28"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现有工程</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1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①</w:t>
            </w:r>
            <w:r>
              <w:rPr>
                <w:rFonts w:hint="default" w:ascii="Times New Roman" w:hAnsi="Times New Roman" w:eastAsia="宋体" w:cs="Times New Roman"/>
                <w:snapToGrid w:val="0"/>
                <w:color w:val="000000"/>
                <w:spacing w:val="-6"/>
                <w:kern w:val="21"/>
                <w:sz w:val="24"/>
                <w:szCs w:val="24"/>
              </w:rPr>
              <w:fldChar w:fldCharType="end"/>
            </w:r>
          </w:p>
        </w:tc>
        <w:tc>
          <w:tcPr>
            <w:tcW w:w="1276" w:type="dxa"/>
            <w:noWrap w:val="0"/>
            <w:tcMar>
              <w:left w:w="28" w:type="dxa"/>
              <w:right w:w="28"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现有工程</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许可排放量</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2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snapToGrid w:val="0"/>
                <w:color w:val="000000"/>
                <w:spacing w:val="-6"/>
                <w:kern w:val="21"/>
                <w:sz w:val="24"/>
                <w:szCs w:val="24"/>
              </w:rPr>
              <w:t>②</w:t>
            </w:r>
            <w:r>
              <w:rPr>
                <w:rFonts w:hint="default" w:ascii="Times New Roman" w:hAnsi="Times New Roman" w:eastAsia="宋体" w:cs="Times New Roman"/>
                <w:snapToGrid w:val="0"/>
                <w:color w:val="000000"/>
                <w:spacing w:val="-6"/>
                <w:kern w:val="21"/>
                <w:sz w:val="24"/>
                <w:szCs w:val="24"/>
              </w:rPr>
              <w:fldChar w:fldCharType="end"/>
            </w:r>
          </w:p>
        </w:tc>
        <w:tc>
          <w:tcPr>
            <w:tcW w:w="1701" w:type="dxa"/>
            <w:noWrap w:val="0"/>
            <w:tcMar>
              <w:left w:w="28" w:type="dxa"/>
              <w:right w:w="28"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在建工程</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3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③</w:t>
            </w:r>
            <w:r>
              <w:rPr>
                <w:rFonts w:hint="default" w:ascii="Times New Roman" w:hAnsi="Times New Roman" w:eastAsia="宋体" w:cs="Times New Roman"/>
                <w:snapToGrid w:val="0"/>
                <w:color w:val="000000"/>
                <w:spacing w:val="-6"/>
                <w:kern w:val="21"/>
                <w:sz w:val="24"/>
                <w:szCs w:val="24"/>
              </w:rPr>
              <w:fldChar w:fldCharType="end"/>
            </w:r>
          </w:p>
        </w:tc>
        <w:tc>
          <w:tcPr>
            <w:tcW w:w="1559" w:type="dxa"/>
            <w:noWrap w:val="0"/>
            <w:tcMar>
              <w:left w:w="28" w:type="dxa"/>
              <w:right w:w="28"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本项目</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4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④</w:t>
            </w:r>
            <w:r>
              <w:rPr>
                <w:rFonts w:hint="default" w:ascii="Times New Roman" w:hAnsi="Times New Roman" w:eastAsia="宋体" w:cs="Times New Roman"/>
                <w:snapToGrid w:val="0"/>
                <w:color w:val="000000"/>
                <w:spacing w:val="-6"/>
                <w:kern w:val="21"/>
                <w:sz w:val="24"/>
                <w:szCs w:val="24"/>
              </w:rPr>
              <w:fldChar w:fldCharType="end"/>
            </w:r>
          </w:p>
        </w:tc>
        <w:tc>
          <w:tcPr>
            <w:tcW w:w="1761" w:type="dxa"/>
            <w:noWrap w:val="0"/>
            <w:tcMar>
              <w:left w:w="28" w:type="dxa"/>
              <w:right w:w="28"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以新带老削减量</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（新建项目不填）</w:t>
            </w:r>
            <w:r>
              <w:rPr>
                <w:rFonts w:hint="default" w:ascii="Times New Roman" w:hAnsi="Times New Roman" w:eastAsia="宋体" w:cs="Times New Roman"/>
                <w:snapToGrid w:val="0"/>
                <w:color w:val="000000"/>
                <w:spacing w:val="-16"/>
                <w:kern w:val="21"/>
                <w:sz w:val="24"/>
                <w:szCs w:val="24"/>
              </w:rPr>
              <w:fldChar w:fldCharType="begin"/>
            </w:r>
            <w:r>
              <w:rPr>
                <w:rFonts w:hint="default" w:ascii="Times New Roman" w:hAnsi="Times New Roman" w:eastAsia="宋体" w:cs="Times New Roman"/>
                <w:snapToGrid w:val="0"/>
                <w:color w:val="000000"/>
                <w:spacing w:val="-16"/>
                <w:kern w:val="21"/>
                <w:sz w:val="24"/>
                <w:szCs w:val="24"/>
              </w:rPr>
              <w:instrText xml:space="preserve"> = 5 \* GB3 \* MERGEFORMAT </w:instrText>
            </w:r>
            <w:r>
              <w:rPr>
                <w:rFonts w:hint="default" w:ascii="Times New Roman" w:hAnsi="Times New Roman" w:eastAsia="宋体" w:cs="Times New Roman"/>
                <w:snapToGrid w:val="0"/>
                <w:color w:val="000000"/>
                <w:spacing w:val="-16"/>
                <w:kern w:val="21"/>
                <w:sz w:val="24"/>
                <w:szCs w:val="24"/>
              </w:rPr>
              <w:fldChar w:fldCharType="separate"/>
            </w:r>
            <w:r>
              <w:rPr>
                <w:rFonts w:hint="default" w:ascii="Times New Roman" w:hAnsi="Times New Roman" w:eastAsia="宋体" w:cs="Times New Roman"/>
                <w:kern w:val="2"/>
                <w:sz w:val="24"/>
                <w:szCs w:val="24"/>
              </w:rPr>
              <w:t>⑤</w:t>
            </w:r>
            <w:r>
              <w:rPr>
                <w:rFonts w:hint="default" w:ascii="Times New Roman" w:hAnsi="Times New Roman" w:eastAsia="宋体" w:cs="Times New Roman"/>
                <w:snapToGrid w:val="0"/>
                <w:color w:val="000000"/>
                <w:spacing w:val="-16"/>
                <w:kern w:val="21"/>
                <w:sz w:val="24"/>
                <w:szCs w:val="24"/>
              </w:rPr>
              <w:fldChar w:fldCharType="end"/>
            </w:r>
          </w:p>
        </w:tc>
        <w:tc>
          <w:tcPr>
            <w:tcW w:w="1959" w:type="dxa"/>
            <w:noWrap w:val="0"/>
            <w:tcMar>
              <w:left w:w="28" w:type="dxa"/>
              <w:right w:w="28"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本项目建成后</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全厂排放量（固体废物产生量）</w:t>
            </w:r>
            <w:r>
              <w:rPr>
                <w:rFonts w:hint="default" w:ascii="Times New Roman" w:hAnsi="Times New Roman" w:eastAsia="宋体" w:cs="Times New Roman"/>
                <w:snapToGrid w:val="0"/>
                <w:color w:val="000000"/>
                <w:spacing w:val="-16"/>
                <w:kern w:val="21"/>
                <w:sz w:val="24"/>
                <w:szCs w:val="24"/>
              </w:rPr>
              <w:fldChar w:fldCharType="begin"/>
            </w:r>
            <w:r>
              <w:rPr>
                <w:rFonts w:hint="default" w:ascii="Times New Roman" w:hAnsi="Times New Roman" w:eastAsia="宋体" w:cs="Times New Roman"/>
                <w:snapToGrid w:val="0"/>
                <w:color w:val="000000"/>
                <w:spacing w:val="-16"/>
                <w:kern w:val="21"/>
                <w:sz w:val="24"/>
                <w:szCs w:val="24"/>
              </w:rPr>
              <w:instrText xml:space="preserve"> = 6 \* GB3 \* MERGEFORMAT </w:instrText>
            </w:r>
            <w:r>
              <w:rPr>
                <w:rFonts w:hint="default" w:ascii="Times New Roman" w:hAnsi="Times New Roman" w:eastAsia="宋体" w:cs="Times New Roman"/>
                <w:snapToGrid w:val="0"/>
                <w:color w:val="000000"/>
                <w:spacing w:val="-16"/>
                <w:kern w:val="21"/>
                <w:sz w:val="24"/>
                <w:szCs w:val="24"/>
              </w:rPr>
              <w:fldChar w:fldCharType="separate"/>
            </w:r>
            <w:r>
              <w:rPr>
                <w:rFonts w:hint="default" w:ascii="Times New Roman" w:hAnsi="Times New Roman" w:eastAsia="宋体" w:cs="Times New Roman"/>
                <w:kern w:val="2"/>
                <w:sz w:val="24"/>
                <w:szCs w:val="24"/>
              </w:rPr>
              <w:t>⑥</w:t>
            </w:r>
            <w:r>
              <w:rPr>
                <w:rFonts w:hint="default" w:ascii="Times New Roman" w:hAnsi="Times New Roman" w:eastAsia="宋体" w:cs="Times New Roman"/>
                <w:snapToGrid w:val="0"/>
                <w:color w:val="000000"/>
                <w:spacing w:val="-16"/>
                <w:kern w:val="21"/>
                <w:sz w:val="24"/>
                <w:szCs w:val="24"/>
              </w:rPr>
              <w:fldChar w:fldCharType="end"/>
            </w:r>
          </w:p>
        </w:tc>
        <w:tc>
          <w:tcPr>
            <w:tcW w:w="826" w:type="dxa"/>
            <w:noWrap w:val="0"/>
            <w:tcMar>
              <w:left w:w="28" w:type="dxa"/>
              <w:right w:w="28" w:type="dxa"/>
            </w:tcMar>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变化量</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7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⑦</w:t>
            </w:r>
            <w:r>
              <w:rPr>
                <w:rFonts w:hint="default" w:ascii="Times New Roman" w:hAnsi="Times New Roman" w:eastAsia="宋体" w:cs="Times New Roman"/>
                <w:snapToGrid w:val="0"/>
                <w:color w:val="000000"/>
                <w:spacing w:val="-6"/>
                <w:kern w:val="21"/>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废气</w:t>
            </w: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VOCs</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0.0273</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0.0273</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硫酸</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0.0106</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0.0106</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硝酸</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0.0080</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0.0080</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氢氟酸</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0.0031</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0.0031</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盐酸</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0.0039</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0.0039</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二硫化碳</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0.0028</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0.0028</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氨</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0.0061</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0.0061</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废水</w:t>
            </w:r>
          </w:p>
        </w:tc>
        <w:tc>
          <w:tcPr>
            <w:tcW w:w="1417" w:type="dxa"/>
            <w:noWrap w:val="0"/>
            <w:vAlign w:val="center"/>
          </w:tcPr>
          <w:p>
            <w:pPr>
              <w:pStyle w:val="22"/>
              <w:bidi w:val="0"/>
              <w:rPr>
                <w:rFonts w:hint="default"/>
                <w:sz w:val="24"/>
                <w:szCs w:val="24"/>
                <w:lang w:val="en-US" w:eastAsia="zh-CN"/>
              </w:rPr>
            </w:pPr>
            <w:r>
              <w:rPr>
                <w:rFonts w:hint="default"/>
                <w:sz w:val="24"/>
                <w:szCs w:val="24"/>
                <w:lang w:val="en-US" w:eastAsia="zh-CN"/>
              </w:rPr>
              <w:t>CODcr</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1.04</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1.04</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default"/>
                <w:sz w:val="24"/>
                <w:szCs w:val="24"/>
                <w:lang w:val="en-US" w:eastAsia="zh-CN"/>
              </w:rPr>
              <w:t>BOD5</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0.37</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0.37</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default"/>
                <w:sz w:val="24"/>
                <w:szCs w:val="24"/>
                <w:lang w:val="en-US" w:eastAsia="zh-CN"/>
              </w:rPr>
              <w:t>SS</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0.27</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0.27</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氨氮</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0.15</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0.15</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石油类</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0.32</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0.32</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全盐量</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1.08</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1.08</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TN</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default"/>
                <w:sz w:val="24"/>
                <w:szCs w:val="24"/>
                <w:lang w:val="en-US" w:eastAsia="zh-CN"/>
              </w:rPr>
            </w:pPr>
            <w:r>
              <w:rPr>
                <w:rFonts w:hint="eastAsia"/>
                <w:sz w:val="24"/>
                <w:szCs w:val="24"/>
                <w:lang w:val="en-US" w:eastAsia="zh-CN"/>
              </w:rPr>
              <w:t>0.16</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kern w:val="2"/>
                <w:sz w:val="24"/>
                <w:szCs w:val="24"/>
                <w:vertAlign w:val="baseline"/>
                <w:lang w:val="en-US" w:eastAsia="zh-CN" w:bidi="ar-SA"/>
              </w:rPr>
            </w:pPr>
            <w:r>
              <w:rPr>
                <w:rFonts w:hint="eastAsia"/>
                <w:sz w:val="24"/>
                <w:szCs w:val="24"/>
                <w:lang w:val="en-US" w:eastAsia="zh-CN"/>
              </w:rPr>
              <w:t>0.16</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pStyle w:val="22"/>
              <w:bidi w:val="0"/>
              <w:rPr>
                <w:rFonts w:hint="default"/>
                <w:sz w:val="24"/>
                <w:szCs w:val="24"/>
                <w:lang w:val="en-US" w:eastAsia="zh-CN"/>
              </w:rPr>
            </w:pPr>
            <w:r>
              <w:rPr>
                <w:rFonts w:hint="eastAsia"/>
                <w:sz w:val="24"/>
                <w:szCs w:val="24"/>
                <w:lang w:val="en-US" w:eastAsia="zh-CN"/>
              </w:rPr>
              <w:t>TP</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276"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pStyle w:val="22"/>
              <w:bidi w:val="0"/>
              <w:rPr>
                <w:rFonts w:hint="eastAsia"/>
                <w:sz w:val="24"/>
                <w:szCs w:val="24"/>
                <w:lang w:val="en-US" w:eastAsia="zh-CN"/>
              </w:rPr>
            </w:pPr>
            <w:r>
              <w:rPr>
                <w:rFonts w:hint="eastAsia"/>
                <w:sz w:val="24"/>
                <w:szCs w:val="24"/>
                <w:lang w:val="en-US" w:eastAsia="zh-CN"/>
              </w:rPr>
              <w:t>0.01</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959" w:type="dxa"/>
            <w:shd w:val="clear" w:color="auto" w:fill="auto"/>
            <w:noWrap w:val="0"/>
            <w:vAlign w:val="center"/>
          </w:tcPr>
          <w:p>
            <w:pPr>
              <w:pStyle w:val="22"/>
              <w:bidi w:val="0"/>
              <w:ind w:firstLine="0" w:firstLineChars="0"/>
              <w:rPr>
                <w:rFonts w:hint="default" w:ascii="Times New Roman" w:hAnsi="Times New Roman" w:eastAsia="宋体" w:cs="Times New Roman"/>
                <w:i w:val="0"/>
                <w:iCs w:val="0"/>
                <w:color w:val="000000"/>
                <w:kern w:val="0"/>
                <w:sz w:val="24"/>
                <w:szCs w:val="24"/>
                <w:u w:val="none"/>
                <w:lang w:val="en-US" w:eastAsia="zh-CN" w:bidi="ar"/>
              </w:rPr>
            </w:pPr>
            <w:r>
              <w:rPr>
                <w:rFonts w:hint="eastAsia"/>
                <w:sz w:val="24"/>
                <w:szCs w:val="24"/>
                <w:lang w:val="en-US" w:eastAsia="zh-CN"/>
              </w:rPr>
              <w:t>0.01</w:t>
            </w:r>
            <w:r>
              <w:rPr>
                <w:rFonts w:hint="eastAsia" w:ascii="Times New Roman" w:hAnsi="Times New Roman" w:eastAsia="宋体" w:cs="Times New Roman"/>
                <w:kern w:val="2"/>
                <w:sz w:val="24"/>
                <w:szCs w:val="24"/>
                <w:vertAlign w:val="baseline"/>
                <w:lang w:val="en-US" w:eastAsia="zh-CN" w:bidi="ar-SA"/>
              </w:rPr>
              <w:t>t/a</w:t>
            </w:r>
            <w:r>
              <w:rPr>
                <w:rFonts w:hint="eastAsia"/>
                <w:sz w:val="24"/>
                <w:szCs w:val="24"/>
                <w:lang w:val="en-US" w:eastAsia="zh-CN"/>
              </w:rPr>
              <w:t xml:space="preserve">  </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一般工业</w:t>
            </w:r>
          </w:p>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固体废物</w:t>
            </w: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r>
              <w:rPr>
                <w:rFonts w:hint="default" w:ascii="Times New Roman" w:hAnsi="Times New Roman" w:eastAsia="宋体" w:cs="Times New Roman"/>
                <w:b w:val="0"/>
                <w:bCs/>
                <w:kern w:val="2"/>
                <w:sz w:val="24"/>
                <w:szCs w:val="24"/>
                <w:vertAlign w:val="baseline"/>
                <w:lang w:val="en-US" w:eastAsia="zh-CN" w:bidi="ar-SA"/>
              </w:rPr>
              <w:t>污泥</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1.16</w:t>
            </w:r>
            <w:r>
              <w:rPr>
                <w:rFonts w:hint="eastAsia" w:ascii="Times New Roman" w:hAnsi="Times New Roman" w:eastAsia="宋体" w:cs="Times New Roman"/>
                <w:kern w:val="2"/>
                <w:sz w:val="24"/>
                <w:szCs w:val="24"/>
                <w:vertAlign w:val="baseline"/>
                <w:lang w:val="en-US" w:eastAsia="zh-CN" w:bidi="ar-SA"/>
              </w:rPr>
              <w:t>t/a</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95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1.16</w:t>
            </w:r>
            <w:r>
              <w:rPr>
                <w:rFonts w:hint="eastAsia" w:ascii="Times New Roman" w:hAnsi="Times New Roman" w:eastAsia="宋体" w:cs="Times New Roman"/>
                <w:kern w:val="2"/>
                <w:sz w:val="24"/>
                <w:szCs w:val="24"/>
                <w:vertAlign w:val="baseline"/>
                <w:lang w:val="en-US" w:eastAsia="zh-CN" w:bidi="ar-SA"/>
              </w:rPr>
              <w:t>t/a</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r>
              <w:rPr>
                <w:rFonts w:hint="default" w:ascii="Times New Roman" w:hAnsi="Times New Roman" w:eastAsia="宋体" w:cs="Times New Roman"/>
                <w:b w:val="0"/>
                <w:bCs/>
                <w:kern w:val="2"/>
                <w:sz w:val="24"/>
                <w:szCs w:val="24"/>
                <w:vertAlign w:val="baseline"/>
                <w:lang w:val="en-US" w:eastAsia="zh-CN" w:bidi="ar-SA"/>
              </w:rPr>
              <w:t>表面活性剂废包装袋</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0.6</w:t>
            </w:r>
            <w:r>
              <w:rPr>
                <w:rFonts w:hint="eastAsia" w:ascii="Times New Roman" w:hAnsi="Times New Roman" w:eastAsia="宋体" w:cs="Times New Roman"/>
                <w:kern w:val="2"/>
                <w:sz w:val="24"/>
                <w:szCs w:val="24"/>
                <w:vertAlign w:val="baseline"/>
                <w:lang w:val="en-US" w:eastAsia="zh-CN" w:bidi="ar-SA"/>
              </w:rPr>
              <w:t>t/a</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95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0.6</w:t>
            </w:r>
            <w:r>
              <w:rPr>
                <w:rFonts w:hint="eastAsia" w:ascii="Times New Roman" w:hAnsi="Times New Roman" w:eastAsia="宋体" w:cs="Times New Roman"/>
                <w:kern w:val="2"/>
                <w:sz w:val="24"/>
                <w:szCs w:val="24"/>
                <w:vertAlign w:val="baseline"/>
                <w:lang w:val="en-US" w:eastAsia="zh-CN" w:bidi="ar-SA"/>
              </w:rPr>
              <w:t>t/a</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r>
              <w:rPr>
                <w:rFonts w:hint="default" w:ascii="Times New Roman" w:hAnsi="Times New Roman" w:eastAsia="宋体" w:cs="Times New Roman"/>
                <w:b w:val="0"/>
                <w:bCs/>
                <w:kern w:val="2"/>
                <w:sz w:val="24"/>
                <w:szCs w:val="24"/>
                <w:vertAlign w:val="baseline"/>
                <w:lang w:val="en-US" w:eastAsia="zh-CN" w:bidi="ar-SA"/>
              </w:rPr>
              <w:t>生活垃圾</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16.4</w:t>
            </w:r>
            <w:r>
              <w:rPr>
                <w:rFonts w:hint="eastAsia" w:ascii="Times New Roman" w:hAnsi="Times New Roman" w:eastAsia="宋体" w:cs="Times New Roman"/>
                <w:kern w:val="2"/>
                <w:sz w:val="24"/>
                <w:szCs w:val="24"/>
                <w:vertAlign w:val="baseline"/>
                <w:lang w:val="en-US" w:eastAsia="zh-CN" w:bidi="ar-SA"/>
              </w:rPr>
              <w:t>t/a</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95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16.4</w:t>
            </w:r>
            <w:r>
              <w:rPr>
                <w:rFonts w:hint="eastAsia" w:ascii="Times New Roman" w:hAnsi="Times New Roman" w:eastAsia="宋体" w:cs="Times New Roman"/>
                <w:kern w:val="2"/>
                <w:sz w:val="24"/>
                <w:szCs w:val="24"/>
                <w:vertAlign w:val="baseline"/>
                <w:lang w:val="en-US" w:eastAsia="zh-CN" w:bidi="ar-SA"/>
              </w:rPr>
              <w:t>t/a</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危险废物</w:t>
            </w: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r>
              <w:rPr>
                <w:rFonts w:hint="default" w:ascii="Times New Roman" w:hAnsi="Times New Roman" w:eastAsia="宋体" w:cs="Times New Roman"/>
                <w:b w:val="0"/>
                <w:bCs/>
                <w:kern w:val="2"/>
                <w:sz w:val="24"/>
                <w:szCs w:val="24"/>
                <w:vertAlign w:val="baseline"/>
                <w:lang w:val="en-US" w:eastAsia="zh-CN" w:bidi="ar-SA"/>
              </w:rPr>
              <w:t>废活性炭</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1.12</w:t>
            </w:r>
            <w:r>
              <w:rPr>
                <w:rFonts w:hint="eastAsia" w:ascii="Times New Roman" w:hAnsi="Times New Roman" w:eastAsia="宋体" w:cs="Times New Roman"/>
                <w:kern w:val="2"/>
                <w:sz w:val="24"/>
                <w:szCs w:val="24"/>
                <w:vertAlign w:val="baseline"/>
                <w:lang w:val="en-US" w:eastAsia="zh-CN" w:bidi="ar-SA"/>
              </w:rPr>
              <w:t>t/a</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95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1.12</w:t>
            </w:r>
            <w:r>
              <w:rPr>
                <w:rFonts w:hint="eastAsia" w:ascii="Times New Roman" w:hAnsi="Times New Roman" w:eastAsia="宋体" w:cs="Times New Roman"/>
                <w:kern w:val="2"/>
                <w:sz w:val="24"/>
                <w:szCs w:val="24"/>
                <w:vertAlign w:val="baseline"/>
                <w:lang w:val="en-US" w:eastAsia="zh-CN" w:bidi="ar-SA"/>
              </w:rPr>
              <w:t>t/a</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14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r>
              <w:rPr>
                <w:rFonts w:hint="default" w:ascii="Times New Roman" w:hAnsi="Times New Roman" w:eastAsia="宋体" w:cs="Times New Roman"/>
                <w:b w:val="0"/>
                <w:bCs/>
                <w:kern w:val="2"/>
                <w:sz w:val="24"/>
                <w:szCs w:val="24"/>
                <w:vertAlign w:val="baseline"/>
                <w:lang w:val="en-US" w:eastAsia="zh-CN" w:bidi="ar-SA"/>
              </w:rPr>
              <w:t>废残留液</w:t>
            </w:r>
          </w:p>
        </w:tc>
        <w:tc>
          <w:tcPr>
            <w:tcW w:w="17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kern w:val="2"/>
                <w:sz w:val="24"/>
                <w:szCs w:val="24"/>
                <w:vertAlign w:val="baseline"/>
                <w:lang w:val="en-US" w:eastAsia="zh-CN" w:bidi="ar-SA"/>
              </w:rPr>
            </w:pPr>
          </w:p>
        </w:tc>
        <w:tc>
          <w:tcPr>
            <w:tcW w:w="12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170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55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0.94</w:t>
            </w:r>
            <w:r>
              <w:rPr>
                <w:rFonts w:hint="eastAsia" w:ascii="Times New Roman" w:hAnsi="Times New Roman" w:eastAsia="宋体" w:cs="Times New Roman"/>
                <w:kern w:val="2"/>
                <w:sz w:val="24"/>
                <w:szCs w:val="24"/>
                <w:vertAlign w:val="baseline"/>
                <w:lang w:val="en-US" w:eastAsia="zh-CN" w:bidi="ar-SA"/>
              </w:rPr>
              <w:t>t/a</w:t>
            </w:r>
          </w:p>
        </w:tc>
        <w:tc>
          <w:tcPr>
            <w:tcW w:w="1761" w:type="dxa"/>
            <w:noWrap w:val="0"/>
            <w:vAlign w:val="center"/>
          </w:tcPr>
          <w:p>
            <w:pPr>
              <w:pStyle w:val="2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95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default" w:ascii="Times New Roman" w:hAnsi="Times New Roman" w:eastAsia="宋体" w:cs="Times New Roman"/>
                <w:kern w:val="2"/>
                <w:sz w:val="24"/>
                <w:szCs w:val="24"/>
                <w:vertAlign w:val="baseline"/>
                <w:lang w:val="en-US" w:eastAsia="zh-CN" w:bidi="ar-SA"/>
              </w:rPr>
              <w:t>0.94</w:t>
            </w:r>
            <w:r>
              <w:rPr>
                <w:rFonts w:hint="eastAsia" w:ascii="Times New Roman" w:hAnsi="Times New Roman" w:eastAsia="宋体" w:cs="Times New Roman"/>
                <w:kern w:val="2"/>
                <w:sz w:val="24"/>
                <w:szCs w:val="24"/>
                <w:vertAlign w:val="baseline"/>
                <w:lang w:val="en-US" w:eastAsia="zh-CN" w:bidi="ar-SA"/>
              </w:rPr>
              <w:t>t/a</w:t>
            </w:r>
          </w:p>
        </w:tc>
        <w:tc>
          <w:tcPr>
            <w:tcW w:w="82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r>
    </w:tbl>
    <w:p>
      <w:pPr>
        <w:pStyle w:val="22"/>
        <w:spacing w:before="192" w:beforeLines="80" w:after="24"/>
        <w:jc w:val="left"/>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s>
  <w:rsids>
    <w:rsidRoot w:val="658B7698"/>
    <w:rsid w:val="0159054F"/>
    <w:rsid w:val="06611394"/>
    <w:rsid w:val="086973B7"/>
    <w:rsid w:val="0C74132E"/>
    <w:rsid w:val="0E712403"/>
    <w:rsid w:val="103800F7"/>
    <w:rsid w:val="12D44BB6"/>
    <w:rsid w:val="13B76090"/>
    <w:rsid w:val="167718F2"/>
    <w:rsid w:val="1C2F6604"/>
    <w:rsid w:val="1C6D6906"/>
    <w:rsid w:val="1CFB5E40"/>
    <w:rsid w:val="247406E2"/>
    <w:rsid w:val="27471809"/>
    <w:rsid w:val="28FC0DEA"/>
    <w:rsid w:val="2C2F340C"/>
    <w:rsid w:val="2FE02872"/>
    <w:rsid w:val="348461BD"/>
    <w:rsid w:val="35381E8D"/>
    <w:rsid w:val="363D3686"/>
    <w:rsid w:val="39E814D2"/>
    <w:rsid w:val="3ADE4545"/>
    <w:rsid w:val="3C220655"/>
    <w:rsid w:val="3CB13EE4"/>
    <w:rsid w:val="415D4149"/>
    <w:rsid w:val="43DF36F8"/>
    <w:rsid w:val="46812218"/>
    <w:rsid w:val="4E281E99"/>
    <w:rsid w:val="52A10562"/>
    <w:rsid w:val="54BF2F36"/>
    <w:rsid w:val="550E0298"/>
    <w:rsid w:val="555F45B1"/>
    <w:rsid w:val="59D659AF"/>
    <w:rsid w:val="5B29092D"/>
    <w:rsid w:val="5EDF7F49"/>
    <w:rsid w:val="5EF95A15"/>
    <w:rsid w:val="64422DA5"/>
    <w:rsid w:val="658B7698"/>
    <w:rsid w:val="6962722F"/>
    <w:rsid w:val="6C8A5765"/>
    <w:rsid w:val="6CE80925"/>
    <w:rsid w:val="6D7939F4"/>
    <w:rsid w:val="6D877A12"/>
    <w:rsid w:val="6DBD6DDC"/>
    <w:rsid w:val="6FB5053F"/>
    <w:rsid w:val="70F611A8"/>
    <w:rsid w:val="72E5112A"/>
    <w:rsid w:val="730C27E3"/>
    <w:rsid w:val="743202C0"/>
    <w:rsid w:val="761C3098"/>
    <w:rsid w:val="76390769"/>
    <w:rsid w:val="7FAC5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34"/>
    <w:qFormat/>
    <w:uiPriority w:val="0"/>
    <w:pPr>
      <w:keepNext/>
      <w:overflowPunct w:val="0"/>
      <w:adjustRightInd w:val="0"/>
      <w:snapToGrid w:val="0"/>
      <w:spacing w:line="360" w:lineRule="auto"/>
      <w:ind w:left="0" w:firstLine="0" w:firstLineChars="0"/>
      <w:jc w:val="center"/>
      <w:outlineLvl w:val="0"/>
    </w:pPr>
    <w:rPr>
      <w:rFonts w:ascii="Times New Roman" w:hAnsi="Times New Roman" w:eastAsia="黑体"/>
      <w:b/>
      <w:color w:val="000000"/>
      <w:kern w:val="44"/>
      <w:sz w:val="30"/>
    </w:rPr>
  </w:style>
  <w:style w:type="paragraph" w:styleId="3">
    <w:name w:val="heading 2"/>
    <w:basedOn w:val="1"/>
    <w:next w:val="1"/>
    <w:link w:val="35"/>
    <w:semiHidden/>
    <w:unhideWhenUsed/>
    <w:qFormat/>
    <w:uiPriority w:val="0"/>
    <w:pPr>
      <w:keepNext/>
      <w:keepLines/>
      <w:spacing w:line="360" w:lineRule="auto"/>
      <w:ind w:firstLine="720" w:firstLineChars="200"/>
      <w:outlineLvl w:val="1"/>
    </w:pPr>
    <w:rPr>
      <w:rFonts w:ascii="Times New Roman" w:hAnsi="Times New Roman" w:eastAsia="宋体" w:cs="Times New Roman"/>
      <w:b/>
      <w:szCs w:val="24"/>
    </w:rPr>
  </w:style>
  <w:style w:type="paragraph" w:styleId="4">
    <w:name w:val="heading 3"/>
    <w:basedOn w:val="1"/>
    <w:next w:val="1"/>
    <w:unhideWhenUsed/>
    <w:qFormat/>
    <w:uiPriority w:val="0"/>
    <w:pPr>
      <w:spacing w:beforeAutospacing="0" w:afterAutospacing="0" w:line="360" w:lineRule="auto"/>
      <w:ind w:firstLine="720" w:firstLineChars="200"/>
      <w:jc w:val="left"/>
      <w:outlineLvl w:val="2"/>
    </w:pPr>
    <w:rPr>
      <w:rFonts w:ascii="Times New Roman" w:hAnsi="Times New Roman" w:eastAsia="宋体" w:cs="Times New Roman"/>
      <w:b/>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5">
    <w:name w:val="caption"/>
    <w:basedOn w:val="1"/>
    <w:next w:val="1"/>
    <w:unhideWhenUsed/>
    <w:qFormat/>
    <w:uiPriority w:val="0"/>
    <w:pPr>
      <w:spacing w:line="440" w:lineRule="exact"/>
      <w:ind w:firstLine="0" w:firstLineChars="0"/>
      <w:jc w:val="center"/>
    </w:pPr>
    <w:rPr>
      <w:rFonts w:ascii="Times New Roman" w:hAnsi="Times New Roman" w:eastAsia="黑体"/>
      <w:sz w:val="21"/>
      <w:szCs w:val="21"/>
    </w:rPr>
  </w:style>
  <w:style w:type="paragraph" w:styleId="6">
    <w:name w:val="annotation text"/>
    <w:basedOn w:val="1"/>
    <w:qFormat/>
    <w:uiPriority w:val="0"/>
    <w:pPr>
      <w:jc w:val="left"/>
    </w:pPr>
  </w:style>
  <w:style w:type="paragraph" w:styleId="7">
    <w:name w:val="Body Text"/>
    <w:basedOn w:val="1"/>
    <w:next w:val="1"/>
    <w:qFormat/>
    <w:uiPriority w:val="0"/>
    <w:pPr>
      <w:spacing w:after="120" w:afterLines="0" w:afterAutospacing="0"/>
    </w:pPr>
  </w:style>
  <w:style w:type="paragraph" w:styleId="8">
    <w:name w:val="Plain Text"/>
    <w:basedOn w:val="1"/>
    <w:next w:val="1"/>
    <w:qFormat/>
    <w:uiPriority w:val="99"/>
    <w:rPr>
      <w:rFonts w:ascii="宋体" w:hAnsi="Courier New"/>
    </w:rPr>
  </w:style>
  <w:style w:type="paragraph" w:styleId="9">
    <w:name w:val="footer"/>
    <w:basedOn w:val="1"/>
    <w:qFormat/>
    <w:uiPriority w:val="99"/>
    <w:pPr>
      <w:tabs>
        <w:tab w:val="center" w:pos="4153"/>
        <w:tab w:val="right" w:pos="8306"/>
      </w:tabs>
      <w:snapToGrid w:val="0"/>
      <w:jc w:val="left"/>
    </w:pPr>
    <w:rPr>
      <w:kern w:val="0"/>
      <w:sz w:val="18"/>
      <w:szCs w:val="20"/>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index heading"/>
    <w:basedOn w:val="1"/>
    <w:next w:val="13"/>
    <w:semiHidden/>
    <w:qFormat/>
    <w:uiPriority w:val="0"/>
    <w:rPr>
      <w:rFonts w:ascii="Arial" w:hAnsi="Arial" w:cs="Arial"/>
      <w:b/>
      <w:bCs/>
    </w:rPr>
  </w:style>
  <w:style w:type="paragraph" w:styleId="13">
    <w:name w:val="index 1"/>
    <w:basedOn w:val="1"/>
    <w:next w:val="1"/>
    <w:qFormat/>
    <w:uiPriority w:val="0"/>
    <w:pPr>
      <w:tabs>
        <w:tab w:val="left" w:pos="5580"/>
      </w:tabs>
      <w:spacing w:line="280" w:lineRule="exact"/>
    </w:pPr>
    <w:rPr>
      <w:rFonts w:ascii="宋体" w:hAnsi="宋体"/>
      <w:spacing w:val="10"/>
    </w:r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w:basedOn w:val="7"/>
    <w:qFormat/>
    <w:uiPriority w:val="0"/>
    <w:pPr>
      <w:ind w:firstLine="420" w:firstLineChars="1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page number"/>
    <w:basedOn w:val="18"/>
    <w:qFormat/>
    <w:uiPriority w:val="0"/>
  </w:style>
  <w:style w:type="character" w:styleId="21">
    <w:name w:val="Hyperlink"/>
    <w:basedOn w:val="18"/>
    <w:qFormat/>
    <w:uiPriority w:val="0"/>
    <w:rPr>
      <w:color w:val="0000FF"/>
      <w:u w:val="single"/>
    </w:rPr>
  </w:style>
  <w:style w:type="paragraph" w:customStyle="1" w:styleId="22">
    <w:name w:val="表格"/>
    <w:basedOn w:val="23"/>
    <w:next w:val="1"/>
    <w:link w:val="25"/>
    <w:qFormat/>
    <w:uiPriority w:val="0"/>
    <w:pPr>
      <w:adjustRightInd w:val="0"/>
      <w:snapToGrid w:val="0"/>
      <w:spacing w:line="240" w:lineRule="auto"/>
      <w:ind w:firstLine="0" w:firstLineChars="0"/>
      <w:jc w:val="center"/>
    </w:pPr>
    <w:rPr>
      <w:rFonts w:ascii="Times New Roman" w:hAnsi="Times New Roman" w:eastAsia="宋体"/>
      <w:kern w:val="0"/>
      <w:sz w:val="21"/>
      <w:szCs w:val="21"/>
    </w:rPr>
  </w:style>
  <w:style w:type="paragraph" w:customStyle="1" w:styleId="23">
    <w:name w:val="正文+首行缩进2字符"/>
    <w:basedOn w:val="24"/>
    <w:qFormat/>
    <w:uiPriority w:val="0"/>
    <w:pPr>
      <w:ind w:firstLine="480" w:firstLineChars="200"/>
    </w:pPr>
    <w:rPr>
      <w:kern w:val="0"/>
    </w:rPr>
  </w:style>
  <w:style w:type="paragraph" w:customStyle="1" w:styleId="24">
    <w:name w:val="纯文本 正文"/>
    <w:basedOn w:val="1"/>
    <w:qFormat/>
    <w:uiPriority w:val="0"/>
    <w:pPr>
      <w:ind w:firstLine="200" w:firstLineChars="200"/>
      <w:jc w:val="left"/>
    </w:pPr>
    <w:rPr>
      <w:rFonts w:cs="宋体"/>
      <w:szCs w:val="20"/>
    </w:rPr>
  </w:style>
  <w:style w:type="character" w:customStyle="1" w:styleId="25">
    <w:name w:val="表格 Char"/>
    <w:link w:val="22"/>
    <w:qFormat/>
    <w:locked/>
    <w:uiPriority w:val="0"/>
    <w:rPr>
      <w:rFonts w:ascii="Times New Roman" w:hAnsi="Times New Roman" w:eastAsia="宋体"/>
      <w:sz w:val="21"/>
      <w:szCs w:val="21"/>
    </w:rPr>
  </w:style>
  <w:style w:type="paragraph" w:customStyle="1" w:styleId="26">
    <w:name w:val="表头"/>
    <w:basedOn w:val="22"/>
    <w:link w:val="27"/>
    <w:qFormat/>
    <w:uiPriority w:val="0"/>
    <w:pPr>
      <w:autoSpaceDE/>
      <w:autoSpaceDN/>
      <w:adjustRightInd w:val="0"/>
      <w:snapToGrid w:val="0"/>
      <w:spacing w:line="440" w:lineRule="exact"/>
      <w:ind w:firstLine="0" w:firstLineChars="0"/>
      <w:jc w:val="center"/>
    </w:pPr>
    <w:rPr>
      <w:rFonts w:hint="eastAsia" w:ascii="Times New Roman" w:hAnsi="Times New Roman" w:eastAsia="黑体" w:cs="Times New Roman"/>
      <w:bCs/>
      <w:color w:val="auto"/>
      <w:sz w:val="21"/>
      <w:szCs w:val="21"/>
    </w:rPr>
  </w:style>
  <w:style w:type="character" w:customStyle="1" w:styleId="27">
    <w:name w:val="表头 Char"/>
    <w:link w:val="26"/>
    <w:qFormat/>
    <w:uiPriority w:val="0"/>
    <w:rPr>
      <w:rFonts w:hint="eastAsia" w:ascii="Times New Roman" w:hAnsi="Times New Roman" w:eastAsia="黑体" w:cs="Times New Roman"/>
      <w:bCs/>
      <w:color w:val="auto"/>
      <w:sz w:val="21"/>
      <w:szCs w:val="21"/>
    </w:rPr>
  </w:style>
  <w:style w:type="paragraph" w:customStyle="1" w:styleId="28">
    <w:name w:val="0表格"/>
    <w:basedOn w:val="1"/>
    <w:qFormat/>
    <w:uiPriority w:val="0"/>
    <w:pPr>
      <w:spacing w:line="240" w:lineRule="auto"/>
      <w:ind w:firstLine="0" w:firstLineChars="0"/>
      <w:jc w:val="center"/>
    </w:pPr>
    <w:rPr>
      <w:rFonts w:ascii="Times New Roman" w:hAnsi="Times New Roman" w:eastAsia="宋体"/>
      <w:kern w:val="0"/>
      <w:sz w:val="21"/>
      <w:szCs w:val="21"/>
    </w:rPr>
  </w:style>
  <w:style w:type="paragraph" w:customStyle="1" w:styleId="29">
    <w:name w:val="0表格/图头"/>
    <w:basedOn w:val="1"/>
    <w:link w:val="37"/>
    <w:qFormat/>
    <w:uiPriority w:val="0"/>
    <w:pPr>
      <w:spacing w:line="440" w:lineRule="exact"/>
      <w:ind w:firstLine="0" w:firstLineChars="0"/>
      <w:jc w:val="center"/>
    </w:pPr>
    <w:rPr>
      <w:rFonts w:ascii="Times New Roman" w:hAnsi="Times New Roman" w:eastAsia="宋体"/>
      <w:b/>
      <w:kern w:val="0"/>
      <w:sz w:val="21"/>
      <w:szCs w:val="21"/>
    </w:rPr>
  </w:style>
  <w:style w:type="paragraph" w:customStyle="1" w:styleId="30">
    <w:name w:val="表格固定正文"/>
    <w:basedOn w:val="1"/>
    <w:qFormat/>
    <w:uiPriority w:val="0"/>
    <w:pPr>
      <w:ind w:firstLine="0" w:firstLineChars="0"/>
      <w:jc w:val="center"/>
    </w:pPr>
    <w:rPr>
      <w:rFonts w:ascii="Times New Roman" w:hAnsi="Times New Roman"/>
    </w:rPr>
  </w:style>
  <w:style w:type="paragraph" w:customStyle="1" w:styleId="31">
    <w:name w:val="Default"/>
    <w:basedOn w:val="32"/>
    <w:next w:val="33"/>
    <w:unhideWhenUsed/>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32">
    <w:name w:val="纯文本1"/>
    <w:basedOn w:val="1"/>
    <w:qFormat/>
    <w:uiPriority w:val="0"/>
    <w:rPr>
      <w:rFonts w:hint="eastAsia" w:ascii="宋体" w:hAnsi="Courier New"/>
      <w:szCs w:val="22"/>
    </w:rPr>
  </w:style>
  <w:style w:type="paragraph" w:customStyle="1" w:styleId="33">
    <w:name w:val="样式1"/>
    <w:basedOn w:val="12"/>
    <w:next w:val="1"/>
    <w:qFormat/>
    <w:uiPriority w:val="0"/>
    <w:pPr>
      <w:adjustRightInd w:val="0"/>
      <w:spacing w:line="288" w:lineRule="auto"/>
      <w:jc w:val="left"/>
    </w:pPr>
    <w:rPr>
      <w:rFonts w:hint="eastAsia" w:ascii="黑体" w:eastAsia="黑体"/>
      <w:b w:val="0"/>
      <w:kern w:val="0"/>
      <w:sz w:val="32"/>
    </w:rPr>
  </w:style>
  <w:style w:type="character" w:customStyle="1" w:styleId="34">
    <w:name w:val="标题 1 Char"/>
    <w:link w:val="2"/>
    <w:qFormat/>
    <w:uiPriority w:val="0"/>
    <w:rPr>
      <w:rFonts w:ascii="Times New Roman" w:hAnsi="Times New Roman" w:eastAsia="黑体"/>
      <w:b/>
      <w:color w:val="000000"/>
      <w:kern w:val="44"/>
      <w:sz w:val="30"/>
    </w:rPr>
  </w:style>
  <w:style w:type="character" w:customStyle="1" w:styleId="35">
    <w:name w:val="标题 2 Char"/>
    <w:link w:val="3"/>
    <w:qFormat/>
    <w:uiPriority w:val="0"/>
    <w:rPr>
      <w:rFonts w:ascii="Times New Roman" w:hAnsi="Times New Roman" w:eastAsia="宋体" w:cs="Times New Roman"/>
      <w:b/>
      <w:szCs w:val="24"/>
    </w:rPr>
  </w:style>
  <w:style w:type="paragraph" w:customStyle="1" w:styleId="36">
    <w:name w:val="一级正文标题"/>
    <w:qFormat/>
    <w:uiPriority w:val="0"/>
    <w:pPr>
      <w:spacing w:line="360" w:lineRule="auto"/>
    </w:pPr>
    <w:rPr>
      <w:rFonts w:ascii="Times New Roman" w:hAnsi="Times New Roman" w:eastAsia="宋体" w:cs="Times New Roman"/>
      <w:b/>
      <w:kern w:val="2"/>
      <w:sz w:val="24"/>
      <w:szCs w:val="22"/>
      <w:lang w:val="en-US" w:eastAsia="zh-CN" w:bidi="ar-SA"/>
    </w:rPr>
  </w:style>
  <w:style w:type="character" w:customStyle="1" w:styleId="37">
    <w:name w:val="0表格/图头 Char"/>
    <w:link w:val="29"/>
    <w:qFormat/>
    <w:uiPriority w:val="0"/>
    <w:rPr>
      <w:rFonts w:ascii="Times New Roman" w:hAnsi="Times New Roman" w:eastAsia="宋体"/>
      <w:b/>
      <w:kern w:val="0"/>
      <w:sz w:val="21"/>
      <w:szCs w:val="21"/>
    </w:rPr>
  </w:style>
  <w:style w:type="paragraph" w:customStyle="1" w:styleId="38">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39">
    <w:name w:val="Table Grid_0"/>
    <w:basedOn w:val="16"/>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0">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41">
    <w:name w:val="表格标题"/>
    <w:qFormat/>
    <w:uiPriority w:val="0"/>
    <w:pPr>
      <w:spacing w:before="50" w:beforeLines="50"/>
      <w:jc w:val="center"/>
    </w:pPr>
    <w:rPr>
      <w:rFonts w:ascii="Times New Roman" w:hAnsi="Times New Roman" w:eastAsia="宋体" w:cs="Times New Roman"/>
      <w:b/>
      <w:kern w:val="2"/>
      <w:sz w:val="24"/>
      <w:szCs w:val="22"/>
      <w:lang w:val="en-US" w:eastAsia="zh-CN" w:bidi="ar-SA"/>
    </w:rPr>
  </w:style>
  <w:style w:type="paragraph" w:customStyle="1" w:styleId="42">
    <w:name w:val="正文2"/>
    <w:basedOn w:val="1"/>
    <w:qFormat/>
    <w:uiPriority w:val="0"/>
    <w:pPr>
      <w:spacing w:line="360" w:lineRule="auto"/>
      <w:ind w:firstLine="200" w:firstLineChars="200"/>
    </w:pPr>
    <w:rPr>
      <w:sz w:val="24"/>
      <w:szCs w:val="24"/>
    </w:rPr>
  </w:style>
  <w:style w:type="character" w:customStyle="1" w:styleId="43">
    <w:name w:val="font31"/>
    <w:basedOn w:val="18"/>
    <w:qFormat/>
    <w:uiPriority w:val="0"/>
    <w:rPr>
      <w:rFonts w:hint="eastAsia" w:ascii="宋体" w:hAnsi="宋体" w:eastAsia="宋体" w:cs="宋体"/>
      <w:color w:val="000000"/>
      <w:sz w:val="20"/>
      <w:szCs w:val="20"/>
      <w:u w:val="none"/>
    </w:rPr>
  </w:style>
  <w:style w:type="character" w:customStyle="1" w:styleId="44">
    <w:name w:val="font21"/>
    <w:basedOn w:val="18"/>
    <w:qFormat/>
    <w:uiPriority w:val="0"/>
    <w:rPr>
      <w:rFonts w:hint="eastAsia" w:ascii="宋体" w:hAnsi="宋体" w:eastAsia="宋体" w:cs="宋体"/>
      <w:color w:val="000000"/>
      <w:sz w:val="22"/>
      <w:szCs w:val="22"/>
      <w:u w:val="none"/>
    </w:rPr>
  </w:style>
  <w:style w:type="paragraph" w:customStyle="1" w:styleId="45">
    <w:name w:val="！正文 段前: 7.8 磅 行距: 1.5 倍行距"/>
    <w:basedOn w:val="1"/>
    <w:qFormat/>
    <w:uiPriority w:val="0"/>
    <w:pPr>
      <w:spacing w:line="360" w:lineRule="auto"/>
      <w:ind w:firstLine="560" w:firstLineChars="200"/>
    </w:pPr>
    <w:rPr>
      <w:rFonts w:cs="宋体"/>
      <w:kern w:val="0"/>
      <w:sz w:val="20"/>
      <w:szCs w:val="20"/>
    </w:rPr>
  </w:style>
  <w:style w:type="paragraph" w:customStyle="1" w:styleId="46">
    <w:name w:val="正文1"/>
    <w:basedOn w:val="1"/>
    <w:qFormat/>
    <w:uiPriority w:val="0"/>
    <w:pPr>
      <w:widowControl/>
      <w:spacing w:line="360" w:lineRule="auto"/>
      <w:ind w:firstLine="480" w:firstLineChars="200"/>
    </w:pPr>
    <w:rPr>
      <w:rFonts w:hAnsi="宋体"/>
      <w:bCs/>
      <w:snapToGrid w:val="0"/>
      <w:kern w:val="0"/>
      <w:sz w:val="24"/>
      <w:szCs w:val="28"/>
    </w:rPr>
  </w:style>
  <w:style w:type="character" w:customStyle="1" w:styleId="47">
    <w:name w:val="font11"/>
    <w:basedOn w:val="18"/>
    <w:qFormat/>
    <w:uiPriority w:val="0"/>
    <w:rPr>
      <w:rFonts w:hint="eastAsia" w:ascii="宋体" w:hAnsi="宋体" w:eastAsia="宋体" w:cs="宋体"/>
      <w:color w:val="000000"/>
      <w:sz w:val="21"/>
      <w:szCs w:val="21"/>
      <w:u w:val="none"/>
    </w:rPr>
  </w:style>
  <w:style w:type="paragraph" w:customStyle="1" w:styleId="48">
    <w:name w:val="WPSOffice手动目录 1"/>
    <w:qFormat/>
    <w:uiPriority w:val="0"/>
    <w:pPr>
      <w:ind w:leftChars="0"/>
    </w:pPr>
    <w:rPr>
      <w:rFonts w:ascii="Times New Roman" w:hAnsi="Times New Roman" w:eastAsia="宋体" w:cs="Times New Roman"/>
      <w:sz w:val="20"/>
      <w:szCs w:val="20"/>
    </w:rPr>
  </w:style>
  <w:style w:type="character" w:customStyle="1" w:styleId="49">
    <w:name w:val="font41"/>
    <w:basedOn w:val="18"/>
    <w:qFormat/>
    <w:uiPriority w:val="0"/>
    <w:rPr>
      <w:rFonts w:hint="default" w:ascii="Times New Roman" w:hAnsi="Times New Roman" w:cs="Times New Roman"/>
      <w:color w:val="000000"/>
      <w:sz w:val="21"/>
      <w:szCs w:val="21"/>
      <w:u w:val="none"/>
      <w:vertAlign w:val="superscript"/>
    </w:rPr>
  </w:style>
  <w:style w:type="paragraph" w:customStyle="1" w:styleId="50">
    <w:name w:val="报告"/>
    <w:basedOn w:val="1"/>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51">
    <w:name w:val="+正文"/>
    <w:basedOn w:val="1"/>
    <w:qFormat/>
    <w:uiPriority w:val="0"/>
    <w:pPr>
      <w:spacing w:line="360" w:lineRule="auto"/>
      <w:ind w:firstLine="200" w:firstLineChars="200"/>
    </w:pPr>
    <w:rPr>
      <w:sz w:val="24"/>
    </w:rPr>
  </w:style>
  <w:style w:type="paragraph" w:customStyle="1" w:styleId="52">
    <w:name w:val="报告表格"/>
    <w:basedOn w:val="1"/>
    <w:qFormat/>
    <w:uiPriority w:val="0"/>
    <w:pPr>
      <w:autoSpaceDE w:val="0"/>
      <w:autoSpaceDN w:val="0"/>
      <w:adjustRightInd w:val="0"/>
      <w:spacing w:before="40" w:after="40"/>
      <w:jc w:val="center"/>
      <w:textAlignment w:val="bottom"/>
    </w:pPr>
    <w:rPr>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1.xml"/><Relationship Id="rId44" Type="http://schemas.openxmlformats.org/officeDocument/2006/relationships/image" Target="media/image23.wmf"/><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endnotes" Target="endnotes.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wmf"/><Relationship Id="rId36" Type="http://schemas.openxmlformats.org/officeDocument/2006/relationships/oleObject" Target="embeddings/oleObject10.bin"/><Relationship Id="rId35" Type="http://schemas.openxmlformats.org/officeDocument/2006/relationships/image" Target="media/image18.wmf"/><Relationship Id="rId34" Type="http://schemas.openxmlformats.org/officeDocument/2006/relationships/oleObject" Target="embeddings/oleObject9.bin"/><Relationship Id="rId33" Type="http://schemas.openxmlformats.org/officeDocument/2006/relationships/image" Target="media/image17.wmf"/><Relationship Id="rId32" Type="http://schemas.openxmlformats.org/officeDocument/2006/relationships/oleObject" Target="embeddings/oleObject8.bin"/><Relationship Id="rId31" Type="http://schemas.openxmlformats.org/officeDocument/2006/relationships/image" Target="media/image16.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png"/><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36917</Words>
  <Characters>38680</Characters>
  <Lines>0</Lines>
  <Paragraphs>0</Paragraphs>
  <TotalTime>14</TotalTime>
  <ScaleCrop>false</ScaleCrop>
  <LinksUpToDate>false</LinksUpToDate>
  <CharactersWithSpaces>39515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2024-05-30T07:04:00Z</dcterms:created>
  <dc:creator>Riven</dc:creator>
  <cp:lastModifiedBy>Administrator</cp:lastModifiedBy>
  <dcterms:modified xsi:type="dcterms:W3CDTF">2025-04-09T09:05:51Z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B4F1BBF0BEBA48F2A5893E3634DB824A_13</vt:lpwstr>
  </property>
  <property fmtid="{D5CDD505-2E9C-101B-9397-08002B2CF9AE}" pid="4" name="KSOTemplateDocerSaveRecord">
    <vt:lpwstr>eyJoZGlkIjoiMzEwNTM5NzYwMDRjMzkwZTVkZjY2ODkwMGIxNGU0OTUiLCJ1c2VySWQiOiI2MDAzMTI3NzIifQ==</vt:lpwstr>
  </property>
</Properties>
</file>